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14AC3" w14:textId="6BEFEFBD" w:rsidR="00D622C2" w:rsidRPr="007E4BB2" w:rsidRDefault="00012581" w:rsidP="008C236F">
      <w:pPr>
        <w:shd w:val="clear" w:color="auto" w:fill="FFFFFF"/>
        <w:spacing w:after="100"/>
        <w:jc w:val="both"/>
        <w:rPr>
          <w:rFonts w:ascii="Arial" w:eastAsia="Times New Roman" w:hAnsi="Arial" w:cs="Arial"/>
          <w:color w:val="000000" w:themeColor="text1"/>
          <w:lang w:val="en-GB"/>
        </w:rPr>
      </w:pPr>
      <w:r w:rsidRPr="007E4BB2">
        <w:rPr>
          <w:rFonts w:ascii="Arial" w:eastAsia="Times New Roman" w:hAnsi="Arial" w:cs="Arial"/>
          <w:b/>
          <w:bCs/>
          <w:color w:val="000000" w:themeColor="text1"/>
          <w:lang w:val="en-GB"/>
        </w:rPr>
        <w:t xml:space="preserve">The </w:t>
      </w:r>
      <w:bookmarkStart w:id="0" w:name="_Hlk24195169"/>
      <w:r w:rsidRPr="007E4BB2">
        <w:rPr>
          <w:rFonts w:ascii="Arial" w:eastAsia="Times New Roman" w:hAnsi="Arial" w:cs="Arial"/>
          <w:b/>
          <w:bCs/>
          <w:color w:val="000000" w:themeColor="text1"/>
          <w:lang w:val="en-GB"/>
        </w:rPr>
        <w:t>Collaborative Ocular Tuberculosis Study (COTS)-1</w:t>
      </w:r>
      <w:bookmarkEnd w:id="0"/>
      <w:r w:rsidRPr="007E4BB2">
        <w:rPr>
          <w:rFonts w:ascii="Arial" w:eastAsia="Times New Roman" w:hAnsi="Arial" w:cs="Arial"/>
          <w:b/>
          <w:bCs/>
          <w:color w:val="000000" w:themeColor="text1"/>
          <w:lang w:val="en-GB"/>
        </w:rPr>
        <w:t xml:space="preserve">: A Multinational Review of 165 Patients with </w:t>
      </w:r>
      <w:r w:rsidR="007632ED" w:rsidRPr="007E4BB2">
        <w:rPr>
          <w:rFonts w:ascii="Arial" w:eastAsia="Times New Roman" w:hAnsi="Arial" w:cs="Arial"/>
          <w:b/>
          <w:bCs/>
          <w:color w:val="000000" w:themeColor="text1"/>
          <w:lang w:val="en-GB"/>
        </w:rPr>
        <w:t xml:space="preserve">Tubercular </w:t>
      </w:r>
      <w:r w:rsidRPr="007E4BB2">
        <w:rPr>
          <w:rFonts w:ascii="Arial" w:eastAsia="Times New Roman" w:hAnsi="Arial" w:cs="Arial"/>
          <w:b/>
          <w:bCs/>
          <w:color w:val="000000" w:themeColor="text1"/>
          <w:lang w:val="en-GB"/>
        </w:rPr>
        <w:t>Anterior Uveitis</w:t>
      </w:r>
    </w:p>
    <w:p w14:paraId="4E187D88" w14:textId="77777777" w:rsidR="001E7717" w:rsidRPr="007E4BB2" w:rsidRDefault="001E7717" w:rsidP="001E7717">
      <w:pPr>
        <w:rPr>
          <w:color w:val="000000" w:themeColor="text1"/>
          <w:lang w:val="en-GB"/>
        </w:rPr>
      </w:pPr>
    </w:p>
    <w:p w14:paraId="741511FC" w14:textId="77777777" w:rsidR="00730B01" w:rsidRPr="007E4BB2" w:rsidRDefault="00730B01" w:rsidP="00032E4B">
      <w:pPr>
        <w:contextualSpacing/>
        <w:jc w:val="both"/>
        <w:outlineLvl w:val="0"/>
        <w:rPr>
          <w:rFonts w:ascii="Arial" w:hAnsi="Arial" w:cs="Arial"/>
          <w:b/>
          <w:color w:val="000000" w:themeColor="text1"/>
          <w:lang w:val="en-GB"/>
        </w:rPr>
      </w:pPr>
      <w:r w:rsidRPr="007E4BB2">
        <w:rPr>
          <w:rFonts w:ascii="Arial" w:hAnsi="Arial" w:cs="Arial"/>
          <w:b/>
          <w:color w:val="000000" w:themeColor="text1"/>
          <w:u w:val="single"/>
          <w:lang w:val="en-GB"/>
        </w:rPr>
        <w:t>Authors</w:t>
      </w:r>
      <w:r w:rsidRPr="007E4BB2">
        <w:rPr>
          <w:rFonts w:ascii="Arial" w:hAnsi="Arial" w:cs="Arial"/>
          <w:b/>
          <w:color w:val="000000" w:themeColor="text1"/>
          <w:lang w:val="en-GB"/>
        </w:rPr>
        <w:t>:</w:t>
      </w:r>
    </w:p>
    <w:p w14:paraId="675FDD31" w14:textId="70DCFD91" w:rsidR="00730B01" w:rsidRPr="007E4BB2" w:rsidRDefault="00032412" w:rsidP="00730B01">
      <w:pPr>
        <w:contextualSpacing/>
        <w:jc w:val="both"/>
        <w:rPr>
          <w:rFonts w:ascii="Arial" w:hAnsi="Arial" w:cs="Arial"/>
          <w:color w:val="000000" w:themeColor="text1"/>
          <w:lang w:val="en-GB"/>
        </w:rPr>
      </w:pPr>
      <w:r w:rsidRPr="007E4BB2">
        <w:rPr>
          <w:rFonts w:ascii="Arial" w:hAnsi="Arial" w:cs="Arial"/>
          <w:color w:val="000000" w:themeColor="text1"/>
          <w:lang w:val="en-GB"/>
        </w:rPr>
        <w:t>Rupesh AGRAWAL</w:t>
      </w:r>
      <w:r w:rsidRPr="007E4BB2">
        <w:rPr>
          <w:rFonts w:ascii="Arial" w:hAnsi="Arial" w:cs="Arial"/>
          <w:color w:val="000000" w:themeColor="text1"/>
          <w:vertAlign w:val="superscript"/>
          <w:lang w:val="en-GB"/>
        </w:rPr>
        <w:t>1,2,3,4*</w:t>
      </w:r>
      <w:r w:rsidRPr="007E4BB2">
        <w:rPr>
          <w:rFonts w:ascii="Arial" w:hAnsi="Arial" w:cs="Arial"/>
          <w:color w:val="000000" w:themeColor="text1"/>
          <w:lang w:val="en-GB"/>
        </w:rPr>
        <w:t xml:space="preserve">, </w:t>
      </w:r>
      <w:r w:rsidR="00730B01" w:rsidRPr="007E4BB2">
        <w:rPr>
          <w:rFonts w:ascii="Arial" w:hAnsi="Arial" w:cs="Arial"/>
          <w:color w:val="000000" w:themeColor="text1"/>
          <w:lang w:val="en-GB"/>
        </w:rPr>
        <w:t>Bjorn B</w:t>
      </w:r>
      <w:r w:rsidR="006B0DF0" w:rsidRPr="007E4BB2">
        <w:rPr>
          <w:rFonts w:ascii="Arial" w:hAnsi="Arial" w:cs="Arial"/>
          <w:color w:val="000000" w:themeColor="text1"/>
          <w:lang w:val="en-GB"/>
        </w:rPr>
        <w:t>ETZLER</w:t>
      </w:r>
      <w:r w:rsidR="009C03E8" w:rsidRPr="007E4BB2">
        <w:rPr>
          <w:rFonts w:ascii="Arial" w:hAnsi="Arial" w:cs="Arial"/>
          <w:color w:val="000000" w:themeColor="text1"/>
          <w:vertAlign w:val="superscript"/>
          <w:lang w:val="en-GB"/>
        </w:rPr>
        <w:t>1,4</w:t>
      </w:r>
      <w:r w:rsidRPr="007E4BB2">
        <w:rPr>
          <w:rFonts w:ascii="Arial" w:hAnsi="Arial" w:cs="Arial"/>
          <w:color w:val="000000" w:themeColor="text1"/>
          <w:lang w:val="en-GB"/>
        </w:rPr>
        <w:t>,</w:t>
      </w:r>
      <w:r w:rsidR="00730B01" w:rsidRPr="007E4BB2">
        <w:rPr>
          <w:rFonts w:ascii="Arial" w:hAnsi="Arial" w:cs="Arial"/>
          <w:color w:val="000000" w:themeColor="text1"/>
          <w:lang w:val="en-GB"/>
        </w:rPr>
        <w:t xml:space="preserve"> Ilaria TESTI</w:t>
      </w:r>
      <w:r w:rsidR="00730B01"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Sarakshi MAHAJAN</w:t>
      </w:r>
      <w:r w:rsidR="00730B01" w:rsidRPr="007E4BB2">
        <w:rPr>
          <w:rFonts w:ascii="Arial" w:hAnsi="Arial" w:cs="Arial"/>
          <w:color w:val="000000" w:themeColor="text1"/>
          <w:vertAlign w:val="superscript"/>
          <w:lang w:val="en-GB"/>
        </w:rPr>
        <w:t>5</w:t>
      </w:r>
      <w:r w:rsidR="00730B01" w:rsidRPr="007E4BB2">
        <w:rPr>
          <w:rFonts w:ascii="Arial" w:hAnsi="Arial" w:cs="Arial"/>
          <w:color w:val="000000" w:themeColor="text1"/>
          <w:lang w:val="en-GB"/>
        </w:rPr>
        <w:t>, Aniruddha AGARWAL</w:t>
      </w:r>
      <w:r w:rsidR="00730B01" w:rsidRPr="007E4BB2">
        <w:rPr>
          <w:rFonts w:ascii="Arial" w:hAnsi="Arial" w:cs="Arial"/>
          <w:color w:val="000000" w:themeColor="text1"/>
          <w:vertAlign w:val="superscript"/>
          <w:lang w:val="en-GB"/>
        </w:rPr>
        <w:t>6</w:t>
      </w:r>
      <w:r w:rsidR="00730B01" w:rsidRPr="007E4BB2">
        <w:rPr>
          <w:rFonts w:ascii="Arial" w:hAnsi="Arial" w:cs="Arial"/>
          <w:color w:val="000000" w:themeColor="text1"/>
          <w:lang w:val="en-GB"/>
        </w:rPr>
        <w:t>, Dinesh Visva GUNASEKERAN</w:t>
      </w:r>
      <w:r w:rsidR="00730B01" w:rsidRPr="007E4BB2">
        <w:rPr>
          <w:rFonts w:ascii="Arial" w:hAnsi="Arial" w:cs="Arial"/>
          <w:color w:val="000000" w:themeColor="text1"/>
          <w:vertAlign w:val="superscript"/>
          <w:lang w:val="en-GB"/>
        </w:rPr>
        <w:t>2,3</w:t>
      </w:r>
      <w:r w:rsidR="00730B01" w:rsidRPr="007E4BB2">
        <w:rPr>
          <w:rFonts w:ascii="Arial" w:hAnsi="Arial" w:cs="Arial"/>
          <w:color w:val="000000" w:themeColor="text1"/>
          <w:lang w:val="en-GB"/>
        </w:rPr>
        <w:t>, Dhananjay RAJE</w:t>
      </w:r>
      <w:r w:rsidR="00730B01" w:rsidRPr="007E4BB2">
        <w:rPr>
          <w:rFonts w:ascii="Arial" w:hAnsi="Arial" w:cs="Arial"/>
          <w:color w:val="000000" w:themeColor="text1"/>
          <w:vertAlign w:val="superscript"/>
          <w:lang w:val="en-GB"/>
        </w:rPr>
        <w:t>7</w:t>
      </w:r>
      <w:r w:rsidR="00730B01" w:rsidRPr="007E4BB2">
        <w:rPr>
          <w:rFonts w:ascii="Arial" w:hAnsi="Arial" w:cs="Arial"/>
          <w:color w:val="000000" w:themeColor="text1"/>
          <w:lang w:val="en-GB"/>
        </w:rPr>
        <w:t>, Kanika AGGARWAL</w:t>
      </w:r>
      <w:r w:rsidR="00730B01" w:rsidRPr="007E4BB2">
        <w:rPr>
          <w:rFonts w:ascii="Arial" w:hAnsi="Arial" w:cs="Arial"/>
          <w:color w:val="000000" w:themeColor="text1"/>
          <w:vertAlign w:val="superscript"/>
          <w:lang w:val="en-GB"/>
        </w:rPr>
        <w:t>6</w:t>
      </w:r>
      <w:r w:rsidR="00730B01" w:rsidRPr="007E4BB2">
        <w:rPr>
          <w:rFonts w:ascii="Arial" w:hAnsi="Arial" w:cs="Arial"/>
          <w:color w:val="000000" w:themeColor="text1"/>
          <w:lang w:val="en-GB"/>
        </w:rPr>
        <w:t>, Somasheila I MURTHY</w:t>
      </w:r>
      <w:r w:rsidR="00730B01" w:rsidRPr="007E4BB2">
        <w:rPr>
          <w:rFonts w:ascii="Arial" w:hAnsi="Arial" w:cs="Arial"/>
          <w:color w:val="000000" w:themeColor="text1"/>
          <w:vertAlign w:val="superscript"/>
          <w:lang w:val="en-GB"/>
        </w:rPr>
        <w:t>8</w:t>
      </w:r>
      <w:r w:rsidR="00730B01" w:rsidRPr="007E4BB2">
        <w:rPr>
          <w:rFonts w:ascii="Arial" w:hAnsi="Arial" w:cs="Arial"/>
          <w:color w:val="000000" w:themeColor="text1"/>
          <w:lang w:val="en-GB"/>
        </w:rPr>
        <w:t>, Mark WESTCOTT</w:t>
      </w:r>
      <w:r w:rsidR="00730B01"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xml:space="preserve">, </w:t>
      </w:r>
      <w:r w:rsidR="00730B01" w:rsidRPr="007E4BB2">
        <w:rPr>
          <w:rFonts w:ascii="Arial" w:hAnsi="Arial"/>
          <w:color w:val="000000" w:themeColor="text1"/>
          <w:lang w:val="en-GB"/>
        </w:rPr>
        <w:t>Soon</w:t>
      </w:r>
      <w:r w:rsidR="00C7548D" w:rsidRPr="007E4BB2">
        <w:rPr>
          <w:rFonts w:ascii="Arial" w:hAnsi="Arial" w:cs="Arial"/>
          <w:color w:val="000000" w:themeColor="text1"/>
          <w:lang w:val="en-GB"/>
        </w:rPr>
        <w:t>-</w:t>
      </w:r>
      <w:r w:rsidR="00730B01" w:rsidRPr="007E4BB2">
        <w:rPr>
          <w:rFonts w:ascii="Arial" w:hAnsi="Arial"/>
          <w:color w:val="000000" w:themeColor="text1"/>
          <w:lang w:val="en-GB"/>
        </w:rPr>
        <w:t>Phaik CHEE</w:t>
      </w:r>
      <w:r w:rsidR="00730B01" w:rsidRPr="007E4BB2">
        <w:rPr>
          <w:rFonts w:ascii="Arial" w:hAnsi="Arial"/>
          <w:color w:val="000000" w:themeColor="text1"/>
          <w:vertAlign w:val="superscript"/>
          <w:lang w:val="en-GB"/>
        </w:rPr>
        <w:t xml:space="preserve"> </w:t>
      </w:r>
      <w:r w:rsidR="00C7548D" w:rsidRPr="007E4BB2">
        <w:rPr>
          <w:rFonts w:ascii="Arial" w:hAnsi="Arial" w:cs="Arial"/>
          <w:color w:val="000000" w:themeColor="text1"/>
          <w:vertAlign w:val="superscript"/>
          <w:lang w:val="en-GB"/>
        </w:rPr>
        <w:t>1,</w:t>
      </w:r>
      <w:r w:rsidR="00730B01" w:rsidRPr="007E4BB2">
        <w:rPr>
          <w:rFonts w:ascii="Arial" w:hAnsi="Arial"/>
          <w:color w:val="000000" w:themeColor="text1"/>
          <w:vertAlign w:val="superscript"/>
          <w:lang w:val="en-GB"/>
        </w:rPr>
        <w:t>4,9</w:t>
      </w:r>
      <w:r w:rsidR="00C7548D" w:rsidRPr="007E4BB2">
        <w:rPr>
          <w:rFonts w:ascii="Arial" w:hAnsi="Arial" w:cs="Arial"/>
          <w:color w:val="000000" w:themeColor="text1"/>
          <w:vertAlign w:val="superscript"/>
          <w:lang w:val="en-GB"/>
        </w:rPr>
        <w:t>,10</w:t>
      </w:r>
      <w:r w:rsidR="00730B01" w:rsidRPr="007E4BB2">
        <w:rPr>
          <w:rFonts w:ascii="Arial" w:hAnsi="Arial" w:cs="Arial"/>
          <w:color w:val="000000" w:themeColor="text1"/>
          <w:lang w:val="en-GB"/>
        </w:rPr>
        <w:t>, Peter MC CLUSKEY</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1</w:t>
      </w:r>
      <w:r w:rsidR="00730B01" w:rsidRPr="007E4BB2">
        <w:rPr>
          <w:rFonts w:ascii="Arial" w:hAnsi="Arial" w:cs="Arial"/>
          <w:color w:val="000000" w:themeColor="text1"/>
          <w:lang w:val="en-GB"/>
        </w:rPr>
        <w:t>, Su Ling HO</w:t>
      </w:r>
      <w:r w:rsidR="00730B01" w:rsidRPr="007E4BB2">
        <w:rPr>
          <w:rFonts w:ascii="Arial" w:hAnsi="Arial" w:cs="Arial"/>
          <w:color w:val="000000" w:themeColor="text1"/>
          <w:vertAlign w:val="superscript"/>
          <w:lang w:val="en-GB"/>
        </w:rPr>
        <w:t>2</w:t>
      </w:r>
      <w:r w:rsidR="00730B01" w:rsidRPr="007E4BB2">
        <w:rPr>
          <w:rFonts w:ascii="Arial" w:hAnsi="Arial" w:cs="Arial"/>
          <w:color w:val="000000" w:themeColor="text1"/>
          <w:lang w:val="en-GB"/>
        </w:rPr>
        <w:t>, Stephen TEOH</w:t>
      </w:r>
      <w:r w:rsidR="00730B01" w:rsidRPr="007E4BB2">
        <w:rPr>
          <w:rFonts w:ascii="Arial" w:hAnsi="Arial" w:cs="Arial"/>
          <w:color w:val="000000" w:themeColor="text1"/>
          <w:vertAlign w:val="superscript"/>
          <w:lang w:val="en-GB"/>
        </w:rPr>
        <w:t>2</w:t>
      </w:r>
      <w:r w:rsidR="00730B01" w:rsidRPr="007E4BB2">
        <w:rPr>
          <w:rFonts w:ascii="Arial" w:hAnsi="Arial" w:cs="Arial"/>
          <w:color w:val="000000" w:themeColor="text1"/>
          <w:lang w:val="en-GB"/>
        </w:rPr>
        <w:t>, Luca CIMINO</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2</w:t>
      </w:r>
      <w:r w:rsidR="00730B01" w:rsidRPr="007E4BB2">
        <w:rPr>
          <w:rFonts w:ascii="Arial" w:hAnsi="Arial" w:cs="Arial"/>
          <w:color w:val="000000" w:themeColor="text1"/>
          <w:lang w:val="en-GB"/>
        </w:rPr>
        <w:t>, Jyotirmay BISWAS</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Shishir NARAIN</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4</w:t>
      </w:r>
      <w:r w:rsidR="00730B01" w:rsidRPr="007E4BB2">
        <w:rPr>
          <w:rFonts w:ascii="Arial" w:hAnsi="Arial" w:cs="Arial"/>
          <w:color w:val="000000" w:themeColor="text1"/>
          <w:lang w:val="en-GB"/>
        </w:rPr>
        <w:t>, Manisha AGARWAL</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5</w:t>
      </w:r>
      <w:r w:rsidR="00730B01" w:rsidRPr="007E4BB2">
        <w:rPr>
          <w:rFonts w:ascii="Arial" w:hAnsi="Arial" w:cs="Arial"/>
          <w:color w:val="000000" w:themeColor="text1"/>
          <w:lang w:val="en-GB"/>
        </w:rPr>
        <w:t>, Padmamalini MAHENDRADAS</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6</w:t>
      </w:r>
      <w:r w:rsidR="00730B01" w:rsidRPr="007E4BB2">
        <w:rPr>
          <w:rFonts w:ascii="Arial" w:hAnsi="Arial" w:cs="Arial"/>
          <w:color w:val="000000" w:themeColor="text1"/>
          <w:lang w:val="en-GB"/>
        </w:rPr>
        <w:t>, Moncef KHAIRALLAH</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7</w:t>
      </w:r>
      <w:r w:rsidR="00730B01" w:rsidRPr="007E4BB2">
        <w:rPr>
          <w:rFonts w:ascii="Arial" w:hAnsi="Arial" w:cs="Arial"/>
          <w:color w:val="000000" w:themeColor="text1"/>
          <w:lang w:val="en-GB"/>
        </w:rPr>
        <w:t>, Nicholas JONES</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8</w:t>
      </w:r>
      <w:r w:rsidR="00730B01" w:rsidRPr="007E4BB2">
        <w:rPr>
          <w:rFonts w:ascii="Arial" w:hAnsi="Arial" w:cs="Arial"/>
          <w:color w:val="000000" w:themeColor="text1"/>
          <w:lang w:val="en-GB"/>
        </w:rPr>
        <w:t>, Ilknur TUGAL-TUTKUN</w:t>
      </w:r>
      <w:r w:rsidR="00730B01" w:rsidRPr="007E4BB2">
        <w:rPr>
          <w:rFonts w:ascii="Arial" w:hAnsi="Arial" w:cs="Arial"/>
          <w:color w:val="000000" w:themeColor="text1"/>
          <w:vertAlign w:val="superscript"/>
          <w:lang w:val="en-GB"/>
        </w:rPr>
        <w:t>1</w:t>
      </w:r>
      <w:r w:rsidR="00941BF7" w:rsidRPr="007E4BB2">
        <w:rPr>
          <w:rFonts w:ascii="Arial" w:hAnsi="Arial" w:cs="Arial"/>
          <w:color w:val="000000" w:themeColor="text1"/>
          <w:vertAlign w:val="superscript"/>
          <w:lang w:val="en-GB"/>
        </w:rPr>
        <w:t>9</w:t>
      </w:r>
      <w:r w:rsidR="00730B01" w:rsidRPr="007E4BB2">
        <w:rPr>
          <w:rFonts w:ascii="Arial" w:hAnsi="Arial" w:cs="Arial"/>
          <w:color w:val="000000" w:themeColor="text1"/>
          <w:lang w:val="en-GB"/>
        </w:rPr>
        <w:t>, Kalpana BABU</w:t>
      </w:r>
      <w:r w:rsidR="00941BF7" w:rsidRPr="007E4BB2">
        <w:rPr>
          <w:rFonts w:ascii="Arial" w:hAnsi="Arial" w:cs="Arial"/>
          <w:color w:val="000000" w:themeColor="text1"/>
          <w:vertAlign w:val="superscript"/>
          <w:lang w:val="en-GB"/>
        </w:rPr>
        <w:t>20</w:t>
      </w:r>
      <w:r w:rsidR="00730B01" w:rsidRPr="007E4BB2">
        <w:rPr>
          <w:rFonts w:ascii="Arial" w:hAnsi="Arial" w:cs="Arial"/>
          <w:color w:val="000000" w:themeColor="text1"/>
          <w:lang w:val="en-GB"/>
        </w:rPr>
        <w:t>, Soumayava BASU</w:t>
      </w:r>
      <w:r w:rsidR="00730B01" w:rsidRPr="007E4BB2">
        <w:rPr>
          <w:rFonts w:ascii="Arial" w:hAnsi="Arial" w:cs="Arial"/>
          <w:color w:val="000000" w:themeColor="text1"/>
          <w:vertAlign w:val="superscript"/>
          <w:lang w:val="en-GB"/>
        </w:rPr>
        <w:t>2</w:t>
      </w:r>
      <w:r w:rsidR="00941BF7" w:rsidRPr="007E4BB2">
        <w:rPr>
          <w:rFonts w:ascii="Arial" w:hAnsi="Arial" w:cs="Arial"/>
          <w:color w:val="000000" w:themeColor="text1"/>
          <w:vertAlign w:val="superscript"/>
          <w:lang w:val="en-GB"/>
        </w:rPr>
        <w:t>1</w:t>
      </w:r>
      <w:r w:rsidR="00730B01" w:rsidRPr="007E4BB2">
        <w:rPr>
          <w:rFonts w:ascii="Arial" w:hAnsi="Arial" w:cs="Arial"/>
          <w:color w:val="000000" w:themeColor="text1"/>
          <w:lang w:val="en-GB"/>
        </w:rPr>
        <w:t>, Ester CARREÑO</w:t>
      </w:r>
      <w:r w:rsidR="00730B01" w:rsidRPr="007E4BB2">
        <w:rPr>
          <w:rFonts w:ascii="Arial" w:hAnsi="Arial" w:cs="Arial"/>
          <w:color w:val="000000" w:themeColor="text1"/>
          <w:vertAlign w:val="superscript"/>
          <w:lang w:val="en-GB"/>
        </w:rPr>
        <w:t>2</w:t>
      </w:r>
      <w:r w:rsidR="00941BF7" w:rsidRPr="007E4BB2">
        <w:rPr>
          <w:rFonts w:ascii="Arial" w:hAnsi="Arial" w:cs="Arial"/>
          <w:color w:val="000000" w:themeColor="text1"/>
          <w:vertAlign w:val="superscript"/>
          <w:lang w:val="en-GB"/>
        </w:rPr>
        <w:t>2</w:t>
      </w:r>
      <w:r w:rsidR="00730B01" w:rsidRPr="007E4BB2">
        <w:rPr>
          <w:rFonts w:ascii="Arial" w:hAnsi="Arial" w:cs="Arial"/>
          <w:color w:val="000000" w:themeColor="text1"/>
          <w:lang w:val="en-GB"/>
        </w:rPr>
        <w:t>, Richard LEE</w:t>
      </w:r>
      <w:r w:rsidR="00941BF7"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Hassan AL-DHIBI</w:t>
      </w:r>
      <w:r w:rsidR="00730B01" w:rsidRPr="007E4BB2">
        <w:rPr>
          <w:rFonts w:ascii="Arial" w:hAnsi="Arial" w:cs="Arial"/>
          <w:color w:val="000000" w:themeColor="text1"/>
          <w:vertAlign w:val="superscript"/>
          <w:lang w:val="en-GB"/>
        </w:rPr>
        <w:t>23</w:t>
      </w:r>
      <w:r w:rsidR="00730B01" w:rsidRPr="007E4BB2">
        <w:rPr>
          <w:rFonts w:ascii="Arial" w:hAnsi="Arial" w:cs="Arial"/>
          <w:color w:val="000000" w:themeColor="text1"/>
          <w:lang w:val="en-GB"/>
        </w:rPr>
        <w:t>, Bahram BODAGHI</w:t>
      </w:r>
      <w:r w:rsidR="00730B01" w:rsidRPr="007E4BB2">
        <w:rPr>
          <w:rFonts w:ascii="Arial" w:hAnsi="Arial" w:cs="Arial"/>
          <w:color w:val="000000" w:themeColor="text1"/>
          <w:vertAlign w:val="superscript"/>
          <w:lang w:val="en-GB"/>
        </w:rPr>
        <w:t>24</w:t>
      </w:r>
      <w:r w:rsidR="00730B01" w:rsidRPr="007E4BB2">
        <w:rPr>
          <w:rFonts w:ascii="Arial" w:hAnsi="Arial" w:cs="Arial"/>
          <w:color w:val="000000" w:themeColor="text1"/>
          <w:lang w:val="en-GB"/>
        </w:rPr>
        <w:t>, Alessandro INVERNIZZI</w:t>
      </w:r>
      <w:r w:rsidR="00730B01" w:rsidRPr="007E4BB2">
        <w:rPr>
          <w:rFonts w:ascii="Arial" w:hAnsi="Arial" w:cs="Arial"/>
          <w:color w:val="000000" w:themeColor="text1"/>
          <w:vertAlign w:val="superscript"/>
          <w:lang w:val="en-GB"/>
        </w:rPr>
        <w:t>25</w:t>
      </w:r>
      <w:r w:rsidR="00730B01" w:rsidRPr="007E4BB2">
        <w:rPr>
          <w:rFonts w:ascii="Arial" w:hAnsi="Arial" w:cs="Arial"/>
          <w:color w:val="000000" w:themeColor="text1"/>
          <w:lang w:val="en-GB"/>
        </w:rPr>
        <w:t>, Debra A. GOLDSTEIN</w:t>
      </w:r>
      <w:r w:rsidR="00730B01" w:rsidRPr="007E4BB2">
        <w:rPr>
          <w:rFonts w:ascii="Arial" w:hAnsi="Arial" w:cs="Arial"/>
          <w:color w:val="000000" w:themeColor="text1"/>
          <w:vertAlign w:val="superscript"/>
          <w:lang w:val="en-GB"/>
        </w:rPr>
        <w:t>26</w:t>
      </w:r>
      <w:r w:rsidR="00730B01" w:rsidRPr="007E4BB2">
        <w:rPr>
          <w:rFonts w:ascii="Arial" w:hAnsi="Arial" w:cs="Arial"/>
          <w:color w:val="000000" w:themeColor="text1"/>
          <w:lang w:val="en-GB"/>
        </w:rPr>
        <w:t>, Carl P. HERBORT</w:t>
      </w:r>
      <w:r w:rsidR="00730B01" w:rsidRPr="007E4BB2">
        <w:rPr>
          <w:rFonts w:ascii="Arial" w:hAnsi="Arial" w:cs="Arial"/>
          <w:color w:val="000000" w:themeColor="text1"/>
          <w:vertAlign w:val="superscript"/>
          <w:lang w:val="en-GB"/>
        </w:rPr>
        <w:t>27</w:t>
      </w:r>
      <w:r w:rsidR="00730B01" w:rsidRPr="007E4BB2">
        <w:rPr>
          <w:rFonts w:ascii="Arial" w:hAnsi="Arial" w:cs="Arial"/>
          <w:color w:val="000000" w:themeColor="text1"/>
          <w:lang w:val="en-GB"/>
        </w:rPr>
        <w:t xml:space="preserve">, </w:t>
      </w:r>
      <w:r w:rsidR="00730B01" w:rsidRPr="007E4BB2">
        <w:rPr>
          <w:rFonts w:ascii="Arial" w:hAnsi="Arial" w:cs="Arial"/>
          <w:bCs/>
          <w:color w:val="000000" w:themeColor="text1"/>
          <w:shd w:val="clear" w:color="auto" w:fill="FFFFFF"/>
          <w:lang w:val="en-GB"/>
        </w:rPr>
        <w:t>Talin BARISANI-ASENBAUER</w:t>
      </w:r>
      <w:r w:rsidR="00730B01" w:rsidRPr="007E4BB2">
        <w:rPr>
          <w:rFonts w:ascii="Arial" w:hAnsi="Arial" w:cs="Arial"/>
          <w:bCs/>
          <w:color w:val="000000" w:themeColor="text1"/>
          <w:shd w:val="clear" w:color="auto" w:fill="FFFFFF"/>
          <w:vertAlign w:val="superscript"/>
          <w:lang w:val="en-GB"/>
        </w:rPr>
        <w:t>28</w:t>
      </w:r>
      <w:r w:rsidR="00730B01" w:rsidRPr="007E4BB2">
        <w:rPr>
          <w:rFonts w:ascii="Arial" w:hAnsi="Arial" w:cs="Arial"/>
          <w:color w:val="000000" w:themeColor="text1"/>
          <w:lang w:val="en-GB"/>
        </w:rPr>
        <w:t xml:space="preserve">, </w:t>
      </w:r>
      <w:r w:rsidR="00730B01" w:rsidRPr="007E4BB2">
        <w:rPr>
          <w:rFonts w:ascii="Arial" w:hAnsi="Arial" w:cs="Arial"/>
          <w:bCs/>
          <w:color w:val="000000" w:themeColor="text1"/>
          <w:shd w:val="clear" w:color="auto" w:fill="FFFFFF"/>
          <w:lang w:val="en-GB"/>
        </w:rPr>
        <w:t>Julio J GONZÁLEZ-LÓPEZ</w:t>
      </w:r>
      <w:r w:rsidR="00730B01" w:rsidRPr="007E4BB2">
        <w:rPr>
          <w:rFonts w:ascii="Arial" w:hAnsi="Arial" w:cs="Arial"/>
          <w:bCs/>
          <w:color w:val="000000" w:themeColor="text1"/>
          <w:shd w:val="clear" w:color="auto" w:fill="FFFFFF"/>
          <w:vertAlign w:val="superscript"/>
          <w:lang w:val="en-GB"/>
        </w:rPr>
        <w:t>29</w:t>
      </w:r>
      <w:r w:rsidR="00730B01" w:rsidRPr="007E4BB2">
        <w:rPr>
          <w:rFonts w:ascii="Arial" w:hAnsi="Arial" w:cs="Arial"/>
          <w:color w:val="000000" w:themeColor="text1"/>
          <w:lang w:val="en-GB"/>
        </w:rPr>
        <w:t>, Sofia ANDROUDI</w:t>
      </w:r>
      <w:r w:rsidR="00730B01" w:rsidRPr="007E4BB2">
        <w:rPr>
          <w:rFonts w:ascii="Arial" w:hAnsi="Arial" w:cs="Arial"/>
          <w:color w:val="000000" w:themeColor="text1"/>
          <w:vertAlign w:val="superscript"/>
          <w:lang w:val="en-GB"/>
        </w:rPr>
        <w:t>30</w:t>
      </w:r>
      <w:r w:rsidR="00730B01" w:rsidRPr="007E4BB2">
        <w:rPr>
          <w:rFonts w:ascii="Arial" w:hAnsi="Arial" w:cs="Arial"/>
          <w:color w:val="000000" w:themeColor="text1"/>
          <w:lang w:val="en-GB"/>
        </w:rPr>
        <w:t>, Reema BANSAL</w:t>
      </w:r>
      <w:r w:rsidR="00730B01" w:rsidRPr="007E4BB2">
        <w:rPr>
          <w:rFonts w:ascii="Arial" w:hAnsi="Arial" w:cs="Arial"/>
          <w:color w:val="000000" w:themeColor="text1"/>
          <w:vertAlign w:val="superscript"/>
          <w:lang w:val="en-GB"/>
        </w:rPr>
        <w:t>6</w:t>
      </w:r>
      <w:r w:rsidR="00730B01" w:rsidRPr="007E4BB2">
        <w:rPr>
          <w:rFonts w:ascii="Arial" w:hAnsi="Arial" w:cs="Arial"/>
          <w:color w:val="000000" w:themeColor="text1"/>
          <w:lang w:val="en-GB"/>
        </w:rPr>
        <w:t>, Bruttendu MOHARANA</w:t>
      </w:r>
      <w:r w:rsidR="00730B01" w:rsidRPr="007E4BB2">
        <w:rPr>
          <w:rFonts w:ascii="Arial" w:hAnsi="Arial" w:cs="Arial"/>
          <w:color w:val="000000" w:themeColor="text1"/>
          <w:vertAlign w:val="superscript"/>
          <w:lang w:val="en-GB"/>
        </w:rPr>
        <w:t>6</w:t>
      </w:r>
      <w:r w:rsidR="001A54A6">
        <w:rPr>
          <w:rFonts w:ascii="Arial" w:hAnsi="Arial" w:cs="Arial"/>
          <w:color w:val="000000" w:themeColor="text1"/>
          <w:lang w:val="en-GB"/>
        </w:rPr>
        <w:t xml:space="preserve">, Simona </w:t>
      </w:r>
      <w:r w:rsidR="00730B01" w:rsidRPr="007E4BB2">
        <w:rPr>
          <w:rFonts w:ascii="Arial" w:hAnsi="Arial" w:cs="Arial"/>
          <w:color w:val="000000" w:themeColor="text1"/>
          <w:lang w:val="en-GB"/>
        </w:rPr>
        <w:t>ESPOSTI</w:t>
      </w:r>
      <w:r w:rsidR="00730B01"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Anastasia TASIOPOULOU</w:t>
      </w:r>
      <w:r w:rsidR="00CF267F"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Sengal NADARAJAH</w:t>
      </w:r>
      <w:r w:rsidR="00CF267F"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Mamta AGARWAL</w:t>
      </w:r>
      <w:r w:rsidR="00730B01" w:rsidRPr="007E4BB2">
        <w:rPr>
          <w:rFonts w:ascii="Arial" w:hAnsi="Arial" w:cs="Arial"/>
          <w:color w:val="000000" w:themeColor="text1"/>
          <w:vertAlign w:val="superscript"/>
          <w:lang w:val="en-GB"/>
        </w:rPr>
        <w:t>1</w:t>
      </w:r>
      <w:r w:rsidR="00CF267F"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Sharanaya ABRAHAM</w:t>
      </w:r>
      <w:r w:rsidR="00730B01" w:rsidRPr="007E4BB2">
        <w:rPr>
          <w:rFonts w:ascii="Arial" w:hAnsi="Arial" w:cs="Arial"/>
          <w:color w:val="000000" w:themeColor="text1"/>
          <w:vertAlign w:val="superscript"/>
          <w:lang w:val="en-GB"/>
        </w:rPr>
        <w:t>1</w:t>
      </w:r>
      <w:r w:rsidR="00D9608B"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Ruchi VALA</w:t>
      </w:r>
      <w:r w:rsidR="00730B01" w:rsidRPr="007E4BB2">
        <w:rPr>
          <w:rFonts w:ascii="Arial" w:hAnsi="Arial" w:cs="Arial"/>
          <w:color w:val="000000" w:themeColor="text1"/>
          <w:vertAlign w:val="superscript"/>
          <w:lang w:val="en-GB"/>
        </w:rPr>
        <w:t>1</w:t>
      </w:r>
      <w:r w:rsidR="00D9608B" w:rsidRPr="007E4BB2">
        <w:rPr>
          <w:rFonts w:ascii="Arial" w:hAnsi="Arial" w:cs="Arial"/>
          <w:color w:val="000000" w:themeColor="text1"/>
          <w:vertAlign w:val="superscript"/>
          <w:lang w:val="en-GB"/>
        </w:rPr>
        <w:t>6</w:t>
      </w:r>
      <w:r w:rsidR="00730B01" w:rsidRPr="007E4BB2">
        <w:rPr>
          <w:rFonts w:ascii="Arial" w:hAnsi="Arial" w:cs="Arial"/>
          <w:color w:val="000000" w:themeColor="text1"/>
          <w:lang w:val="en-GB"/>
        </w:rPr>
        <w:t>, Ramandeep SINGH</w:t>
      </w:r>
      <w:r w:rsidR="00730B01" w:rsidRPr="007E4BB2">
        <w:rPr>
          <w:rFonts w:ascii="Arial" w:hAnsi="Arial" w:cs="Arial"/>
          <w:color w:val="000000" w:themeColor="text1"/>
          <w:vertAlign w:val="superscript"/>
          <w:lang w:val="en-GB"/>
        </w:rPr>
        <w:t>6</w:t>
      </w:r>
      <w:r w:rsidR="00730B01" w:rsidRPr="007E4BB2">
        <w:rPr>
          <w:rFonts w:ascii="Arial" w:hAnsi="Arial" w:cs="Arial"/>
          <w:color w:val="000000" w:themeColor="text1"/>
          <w:lang w:val="en-GB"/>
        </w:rPr>
        <w:t>, Aman SHARMA</w:t>
      </w:r>
      <w:r w:rsidR="00730B01" w:rsidRPr="007E4BB2">
        <w:rPr>
          <w:rFonts w:ascii="Arial" w:hAnsi="Arial" w:cs="Arial"/>
          <w:color w:val="000000" w:themeColor="text1"/>
          <w:vertAlign w:val="superscript"/>
          <w:lang w:val="en-GB"/>
        </w:rPr>
        <w:t>31</w:t>
      </w:r>
      <w:r w:rsidR="00730B01" w:rsidRPr="007E4BB2">
        <w:rPr>
          <w:rFonts w:ascii="Arial" w:hAnsi="Arial" w:cs="Arial"/>
          <w:color w:val="000000" w:themeColor="text1"/>
          <w:lang w:val="en-GB"/>
        </w:rPr>
        <w:t>, Kusum SHARMA</w:t>
      </w:r>
      <w:r w:rsidR="00730B01" w:rsidRPr="007E4BB2">
        <w:rPr>
          <w:rFonts w:ascii="Arial" w:hAnsi="Arial" w:cs="Arial"/>
          <w:color w:val="000000" w:themeColor="text1"/>
          <w:vertAlign w:val="superscript"/>
          <w:lang w:val="en-GB"/>
        </w:rPr>
        <w:t>32</w:t>
      </w:r>
      <w:r w:rsidR="00730B01" w:rsidRPr="007E4BB2">
        <w:rPr>
          <w:rFonts w:ascii="Arial" w:hAnsi="Arial" w:cs="Arial"/>
          <w:color w:val="000000" w:themeColor="text1"/>
          <w:lang w:val="en-GB"/>
        </w:rPr>
        <w:t>, Manfred ZIERHUT</w:t>
      </w:r>
      <w:r w:rsidR="00730B01" w:rsidRPr="007E4BB2">
        <w:rPr>
          <w:rFonts w:ascii="Arial" w:hAnsi="Arial" w:cs="Arial"/>
          <w:color w:val="000000" w:themeColor="text1"/>
          <w:vertAlign w:val="superscript"/>
          <w:lang w:val="en-GB"/>
        </w:rPr>
        <w:t>33</w:t>
      </w:r>
      <w:r w:rsidR="00730B01" w:rsidRPr="007E4BB2">
        <w:rPr>
          <w:rFonts w:ascii="Arial" w:hAnsi="Arial" w:cs="Arial"/>
          <w:color w:val="000000" w:themeColor="text1"/>
          <w:lang w:val="en-GB"/>
        </w:rPr>
        <w:t>, Onn Min KON</w:t>
      </w:r>
      <w:r w:rsidR="00730B01" w:rsidRPr="007E4BB2">
        <w:rPr>
          <w:rFonts w:ascii="Arial" w:hAnsi="Arial" w:cs="Arial"/>
          <w:color w:val="000000" w:themeColor="text1"/>
          <w:vertAlign w:val="superscript"/>
          <w:lang w:val="en-GB"/>
        </w:rPr>
        <w:t>3</w:t>
      </w:r>
      <w:r w:rsidRPr="007E4BB2">
        <w:rPr>
          <w:rFonts w:ascii="Arial" w:hAnsi="Arial" w:cs="Arial"/>
          <w:color w:val="000000" w:themeColor="text1"/>
          <w:vertAlign w:val="superscript"/>
          <w:lang w:val="en-GB"/>
        </w:rPr>
        <w:t>4</w:t>
      </w:r>
      <w:r w:rsidR="00730B01" w:rsidRPr="007E4BB2">
        <w:rPr>
          <w:rFonts w:ascii="Arial" w:hAnsi="Arial" w:cs="Arial"/>
          <w:color w:val="000000" w:themeColor="text1"/>
          <w:lang w:val="en-GB"/>
        </w:rPr>
        <w:t>, Emmett T. C</w:t>
      </w:r>
      <w:r w:rsidR="00CE0D3F" w:rsidRPr="007E4BB2">
        <w:rPr>
          <w:rFonts w:ascii="Arial" w:hAnsi="Arial" w:cs="Arial"/>
          <w:color w:val="000000" w:themeColor="text1"/>
          <w:lang w:val="en-GB"/>
        </w:rPr>
        <w:t>UNNINGHAM</w:t>
      </w:r>
      <w:r w:rsidR="00730B01" w:rsidRPr="007E4BB2">
        <w:rPr>
          <w:rFonts w:ascii="Arial" w:hAnsi="Arial" w:cs="Arial"/>
          <w:color w:val="000000" w:themeColor="text1"/>
          <w:vertAlign w:val="superscript"/>
          <w:lang w:val="en-GB"/>
        </w:rPr>
        <w:t>3</w:t>
      </w:r>
      <w:r w:rsidRPr="007E4BB2">
        <w:rPr>
          <w:rFonts w:ascii="Arial" w:hAnsi="Arial" w:cs="Arial"/>
          <w:color w:val="000000" w:themeColor="text1"/>
          <w:vertAlign w:val="superscript"/>
          <w:lang w:val="en-GB"/>
        </w:rPr>
        <w:t>5</w:t>
      </w:r>
      <w:r w:rsidR="00730B01" w:rsidRPr="007E4BB2">
        <w:rPr>
          <w:rFonts w:ascii="Arial" w:hAnsi="Arial" w:cs="Arial"/>
          <w:color w:val="000000" w:themeColor="text1"/>
          <w:lang w:val="en-GB"/>
        </w:rPr>
        <w:t xml:space="preserve">, John </w:t>
      </w:r>
      <w:r w:rsidR="000141E9" w:rsidRPr="007E4BB2">
        <w:rPr>
          <w:rFonts w:ascii="Arial" w:hAnsi="Arial" w:cs="Arial"/>
          <w:color w:val="000000" w:themeColor="text1"/>
          <w:lang w:val="en-GB"/>
        </w:rPr>
        <w:t xml:space="preserve">H. </w:t>
      </w:r>
      <w:r w:rsidR="00CE0D3F" w:rsidRPr="007E4BB2">
        <w:rPr>
          <w:rFonts w:ascii="Arial" w:hAnsi="Arial" w:cs="Arial"/>
          <w:color w:val="000000" w:themeColor="text1"/>
          <w:lang w:val="en-GB"/>
        </w:rPr>
        <w:t>KEMPEN</w:t>
      </w:r>
      <w:r w:rsidR="00730B01" w:rsidRPr="007E4BB2">
        <w:rPr>
          <w:rFonts w:ascii="Arial" w:hAnsi="Arial" w:cs="Arial"/>
          <w:color w:val="000000" w:themeColor="text1"/>
          <w:vertAlign w:val="superscript"/>
          <w:lang w:val="en-GB"/>
        </w:rPr>
        <w:t>3</w:t>
      </w:r>
      <w:r w:rsidRPr="007E4BB2">
        <w:rPr>
          <w:rFonts w:ascii="Arial" w:hAnsi="Arial" w:cs="Arial"/>
          <w:color w:val="000000" w:themeColor="text1"/>
          <w:vertAlign w:val="superscript"/>
          <w:lang w:val="en-GB"/>
        </w:rPr>
        <w:t>6,</w:t>
      </w:r>
      <w:r w:rsidR="00730B01" w:rsidRPr="007E4BB2">
        <w:rPr>
          <w:rFonts w:ascii="Arial" w:hAnsi="Arial" w:cs="Arial"/>
          <w:color w:val="000000" w:themeColor="text1"/>
          <w:vertAlign w:val="superscript"/>
          <w:lang w:val="en-GB"/>
        </w:rPr>
        <w:t>3</w:t>
      </w:r>
      <w:r w:rsidRPr="007E4BB2">
        <w:rPr>
          <w:rFonts w:ascii="Arial" w:hAnsi="Arial" w:cs="Arial"/>
          <w:color w:val="000000" w:themeColor="text1"/>
          <w:vertAlign w:val="superscript"/>
          <w:lang w:val="en-GB"/>
        </w:rPr>
        <w:t>7</w:t>
      </w:r>
      <w:r w:rsidR="00730B01" w:rsidRPr="007E4BB2">
        <w:rPr>
          <w:rFonts w:ascii="Arial" w:hAnsi="Arial" w:cs="Arial"/>
          <w:color w:val="000000" w:themeColor="text1"/>
          <w:lang w:val="en-GB"/>
        </w:rPr>
        <w:t>, Quan Dong NGUYEN</w:t>
      </w:r>
      <w:r w:rsidR="00730B01" w:rsidRPr="007E4BB2">
        <w:rPr>
          <w:rFonts w:ascii="Arial" w:hAnsi="Arial" w:cs="Arial"/>
          <w:color w:val="000000" w:themeColor="text1"/>
          <w:vertAlign w:val="superscript"/>
          <w:lang w:val="en-GB"/>
        </w:rPr>
        <w:t>5</w:t>
      </w:r>
      <w:r w:rsidR="00730B01" w:rsidRPr="007E4BB2">
        <w:rPr>
          <w:rFonts w:ascii="Arial" w:hAnsi="Arial" w:cs="Arial"/>
          <w:color w:val="000000" w:themeColor="text1"/>
          <w:lang w:val="en-GB"/>
        </w:rPr>
        <w:t>, Carlos PAVESIO</w:t>
      </w:r>
      <w:r w:rsidR="00730B01" w:rsidRPr="007E4BB2">
        <w:rPr>
          <w:rFonts w:ascii="Arial" w:hAnsi="Arial" w:cs="Arial"/>
          <w:color w:val="000000" w:themeColor="text1"/>
          <w:vertAlign w:val="superscript"/>
          <w:lang w:val="en-GB"/>
        </w:rPr>
        <w:t>3</w:t>
      </w:r>
      <w:r w:rsidR="00730B01" w:rsidRPr="007E4BB2">
        <w:rPr>
          <w:rFonts w:ascii="Arial" w:hAnsi="Arial" w:cs="Arial"/>
          <w:color w:val="000000" w:themeColor="text1"/>
          <w:lang w:val="en-GB"/>
        </w:rPr>
        <w:t>, Vishali GUPTA</w:t>
      </w:r>
      <w:r w:rsidR="00730B01" w:rsidRPr="007E4BB2">
        <w:rPr>
          <w:rFonts w:ascii="Arial" w:hAnsi="Arial" w:cs="Arial"/>
          <w:color w:val="000000" w:themeColor="text1"/>
          <w:vertAlign w:val="superscript"/>
          <w:lang w:val="en-GB"/>
        </w:rPr>
        <w:t>6</w:t>
      </w:r>
      <w:r w:rsidR="00730B01" w:rsidRPr="007E4BB2">
        <w:rPr>
          <w:rFonts w:ascii="Arial" w:hAnsi="Arial" w:cs="Arial"/>
          <w:color w:val="000000" w:themeColor="text1"/>
          <w:lang w:val="en-GB"/>
        </w:rPr>
        <w:t>.</w:t>
      </w:r>
    </w:p>
    <w:p w14:paraId="63B58953" w14:textId="77777777" w:rsidR="00730B01" w:rsidRPr="007E4BB2" w:rsidRDefault="00730B01" w:rsidP="00730B01">
      <w:pPr>
        <w:contextualSpacing/>
        <w:jc w:val="both"/>
        <w:rPr>
          <w:rFonts w:ascii="Arial" w:hAnsi="Arial" w:cs="Arial"/>
          <w:b/>
          <w:color w:val="000000" w:themeColor="text1"/>
          <w:u w:val="single"/>
          <w:lang w:val="en-GB"/>
        </w:rPr>
      </w:pPr>
    </w:p>
    <w:p w14:paraId="01157B7B" w14:textId="77777777" w:rsidR="00730B01" w:rsidRPr="007E4BB2" w:rsidRDefault="00730B01" w:rsidP="00032E4B">
      <w:pPr>
        <w:contextualSpacing/>
        <w:jc w:val="both"/>
        <w:outlineLvl w:val="0"/>
        <w:rPr>
          <w:rFonts w:ascii="Arial" w:hAnsi="Arial" w:cs="Arial"/>
          <w:b/>
          <w:color w:val="000000" w:themeColor="text1"/>
          <w:u w:val="single"/>
          <w:lang w:val="en-GB"/>
        </w:rPr>
      </w:pPr>
      <w:r w:rsidRPr="007E4BB2">
        <w:rPr>
          <w:rFonts w:ascii="Arial" w:hAnsi="Arial" w:cs="Arial"/>
          <w:b/>
          <w:color w:val="000000" w:themeColor="text1"/>
          <w:u w:val="single"/>
          <w:lang w:val="en-GB"/>
        </w:rPr>
        <w:t>Affiliations</w:t>
      </w:r>
    </w:p>
    <w:p w14:paraId="38DE9B34" w14:textId="77777777" w:rsidR="00730B01" w:rsidRPr="007E4BB2" w:rsidRDefault="00730B01" w:rsidP="00D165EC">
      <w:pPr>
        <w:pStyle w:val="ListParagraph"/>
        <w:numPr>
          <w:ilvl w:val="0"/>
          <w:numId w:val="9"/>
        </w:numPr>
        <w:jc w:val="both"/>
        <w:rPr>
          <w:rFonts w:ascii="Arial" w:hAnsi="Arial" w:cs="Arial"/>
          <w:color w:val="000000" w:themeColor="text1"/>
          <w:u w:val="single"/>
          <w:lang w:val="en-GB"/>
        </w:rPr>
      </w:pPr>
      <w:r w:rsidRPr="007E4BB2">
        <w:rPr>
          <w:rFonts w:ascii="Arial" w:hAnsi="Arial" w:cs="Arial"/>
          <w:color w:val="000000" w:themeColor="text1"/>
          <w:u w:val="single"/>
          <w:lang w:val="en-GB"/>
        </w:rPr>
        <w:t>Yong Loo Lin School of Medicine, National University of Singapore, Singapore</w:t>
      </w:r>
    </w:p>
    <w:p w14:paraId="257A4EEA" w14:textId="4EF4DFCC" w:rsidR="00730B01" w:rsidRPr="007E4BB2" w:rsidRDefault="00730B01" w:rsidP="00D165EC">
      <w:pPr>
        <w:pStyle w:val="ListParagraph"/>
        <w:numPr>
          <w:ilvl w:val="0"/>
          <w:numId w:val="9"/>
        </w:numPr>
        <w:jc w:val="both"/>
        <w:rPr>
          <w:rFonts w:ascii="Arial" w:hAnsi="Arial" w:cs="Arial"/>
          <w:color w:val="000000" w:themeColor="text1"/>
          <w:u w:val="single"/>
          <w:lang w:val="en-GB"/>
        </w:rPr>
      </w:pPr>
      <w:r w:rsidRPr="007E4BB2">
        <w:rPr>
          <w:rFonts w:ascii="Arial" w:hAnsi="Arial" w:cs="Arial"/>
          <w:color w:val="000000" w:themeColor="text1"/>
          <w:lang w:val="en-GB"/>
        </w:rPr>
        <w:t>National Healthcare Group Eye Institute, Tan Tock Seng Hospital, Singapore</w:t>
      </w:r>
    </w:p>
    <w:p w14:paraId="6032287E"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Moorfields Eye Hospital, NHS Foundation Trust, London, United Kingdom</w:t>
      </w:r>
    </w:p>
    <w:p w14:paraId="7F486088"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Singapore Eye Research Institute, Singapore</w:t>
      </w:r>
    </w:p>
    <w:p w14:paraId="16AC3DCA"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Byres Eye Institute, Stanford University, Palo Alto, California, United States of America</w:t>
      </w:r>
    </w:p>
    <w:p w14:paraId="68CB35F0"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Advanced Eye Centre, Postgraduate Institute of Medical Education and Research (PGIMER), Chandigarh</w:t>
      </w:r>
    </w:p>
    <w:p w14:paraId="56E123EF"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MDS Bioanalytics, India</w:t>
      </w:r>
    </w:p>
    <w:p w14:paraId="2DADF954" w14:textId="7D7A8A34" w:rsidR="00C7548D" w:rsidRPr="007E4BB2" w:rsidRDefault="00730B01" w:rsidP="00E13ADB">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Tej Kohli Cornea Institute, LV Prasad Eye Institute, Kallam Anji Reddy Campus, Hyderabad, India</w:t>
      </w:r>
    </w:p>
    <w:p w14:paraId="391BBCC2" w14:textId="0D45213F" w:rsidR="00C7548D" w:rsidRPr="007E4BB2" w:rsidRDefault="00C7548D" w:rsidP="00E13ADB">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Singapore National Eye Centre, Singapore</w:t>
      </w:r>
    </w:p>
    <w:p w14:paraId="6B2D0D70" w14:textId="78252DD3" w:rsidR="00C7548D" w:rsidRPr="007E4BB2" w:rsidRDefault="00C7548D" w:rsidP="00E13ADB">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Ophthalmology &amp; Visual Sciences Academic Clinical Program, Duke-NUS Medical School</w:t>
      </w:r>
    </w:p>
    <w:p w14:paraId="22ABEE33"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Clinical Ophthalmology &amp; Eye Health, Central Clinical School, Save Sight Institute, The University of Sydney, Sydney, Australia</w:t>
      </w:r>
    </w:p>
    <w:p w14:paraId="38DDE89A"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 xml:space="preserve">Ocular Immunology Unit, Azienda USL IRCCS, Reggio Emilia, Italy </w:t>
      </w:r>
    </w:p>
    <w:p w14:paraId="34314020"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Ophthalmology, Sankara Nethralaya, Chennai, India</w:t>
      </w:r>
      <w:r w:rsidRPr="007E4BB2">
        <w:rPr>
          <w:rFonts w:ascii="MS Mincho" w:eastAsia="MS Mincho" w:hAnsi="MS Mincho" w:cs="MS Mincho"/>
          <w:color w:val="000000" w:themeColor="text1"/>
          <w:lang w:val="en-GB"/>
        </w:rPr>
        <w:t> </w:t>
      </w:r>
    </w:p>
    <w:p w14:paraId="6075DFD8"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Ophthalmology, Shroff Eye Centre, New Delhi, India</w:t>
      </w:r>
    </w:p>
    <w:p w14:paraId="2519419B"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Ophthalmology, Dr Shroff’s Charity Eye Hospital Daryaganj, New Delhi, India</w:t>
      </w:r>
    </w:p>
    <w:p w14:paraId="54F68C82"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Uveitis and Ocular Immunology, Narayana Nethralaya, Bangalore, India</w:t>
      </w:r>
    </w:p>
    <w:p w14:paraId="11792FB8"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Ophthalmology, Fattouma Bourguiba University Hospital, Faculty of Medicine, University of Monastir, Tunisia</w:t>
      </w:r>
    </w:p>
    <w:p w14:paraId="71286D2C"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Ophthalmology, University of Manchester, Manchester, United Kingdom</w:t>
      </w:r>
    </w:p>
    <w:p w14:paraId="36F12E31"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Istanbul University, Istanbul Faculty of Medicine, Department of Ophthalmology, Turkey</w:t>
      </w:r>
    </w:p>
    <w:p w14:paraId="5D85D55B"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Prabha Eye Clinic &amp; Research centre, Vittala International Institute of Ophthalmology, Bangalore, India</w:t>
      </w:r>
    </w:p>
    <w:p w14:paraId="7256EFCD"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LV Prasad Eye Institute, Department of Ophthalmology, Bhubaneswar, India</w:t>
      </w:r>
    </w:p>
    <w:p w14:paraId="0C3A9352" w14:textId="77777777" w:rsidR="00730B01" w:rsidRPr="00A13067" w:rsidRDefault="00730B01" w:rsidP="00D165EC">
      <w:pPr>
        <w:pStyle w:val="ListParagraph"/>
        <w:numPr>
          <w:ilvl w:val="0"/>
          <w:numId w:val="9"/>
        </w:numPr>
        <w:spacing w:after="0" w:line="240" w:lineRule="auto"/>
        <w:jc w:val="both"/>
        <w:rPr>
          <w:rFonts w:ascii="Arial" w:hAnsi="Arial"/>
          <w:color w:val="000000" w:themeColor="text1"/>
          <w:lang w:val="pt-BR"/>
        </w:rPr>
      </w:pPr>
      <w:r w:rsidRPr="00A13067">
        <w:rPr>
          <w:rFonts w:ascii="Arial" w:hAnsi="Arial"/>
          <w:color w:val="000000" w:themeColor="text1"/>
          <w:lang w:val="pt-BR"/>
        </w:rPr>
        <w:t>Hospital Universitario Fundacion Jimenez Diaz, Madrid, Spain</w:t>
      </w:r>
    </w:p>
    <w:p w14:paraId="300F016D"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King Khaled Eye Specialist Hospital, Department of Ophthalmology, Riyadh, Kingdom of Saudi Arabia</w:t>
      </w:r>
    </w:p>
    <w:p w14:paraId="4AB67C8D"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shd w:val="clear" w:color="auto" w:fill="FFFFFF"/>
          <w:lang w:val="en-GB"/>
        </w:rPr>
      </w:pPr>
      <w:r w:rsidRPr="007E4BB2">
        <w:rPr>
          <w:rFonts w:ascii="Arial" w:hAnsi="Arial" w:cs="Arial"/>
          <w:color w:val="000000" w:themeColor="text1"/>
          <w:lang w:val="en-GB"/>
        </w:rPr>
        <w:lastRenderedPageBreak/>
        <w:t>DHU SightRestore</w:t>
      </w:r>
      <w:r w:rsidRPr="007E4BB2">
        <w:rPr>
          <w:rFonts w:ascii="Arial" w:hAnsi="Arial" w:cs="Arial"/>
          <w:color w:val="000000" w:themeColor="text1"/>
          <w:shd w:val="clear" w:color="auto" w:fill="FFFFFF"/>
          <w:lang w:val="en-GB"/>
        </w:rPr>
        <w:t>, Department of Ophthalmology, Sorbonne University, Paris, France</w:t>
      </w:r>
      <w:r w:rsidRPr="007E4BB2">
        <w:rPr>
          <w:rFonts w:ascii="MS Mincho" w:eastAsia="MS Mincho" w:hAnsi="MS Mincho" w:cs="MS Mincho"/>
          <w:color w:val="000000" w:themeColor="text1"/>
          <w:shd w:val="clear" w:color="auto" w:fill="FFFFFF"/>
          <w:lang w:val="en-GB"/>
        </w:rPr>
        <w:t> </w:t>
      </w:r>
    </w:p>
    <w:p w14:paraId="55D511C7" w14:textId="72E595EA" w:rsidR="00730B01" w:rsidRPr="007E4BB2" w:rsidRDefault="00730B01" w:rsidP="00D165EC">
      <w:pPr>
        <w:pStyle w:val="ListParagraph"/>
        <w:numPr>
          <w:ilvl w:val="0"/>
          <w:numId w:val="9"/>
        </w:numPr>
        <w:spacing w:after="0" w:line="240" w:lineRule="auto"/>
        <w:jc w:val="both"/>
        <w:rPr>
          <w:rFonts w:ascii="Arial" w:eastAsia="Times New Roman" w:hAnsi="Arial" w:cs="Arial"/>
          <w:color w:val="000000" w:themeColor="text1"/>
          <w:lang w:val="en-GB"/>
        </w:rPr>
      </w:pPr>
      <w:r w:rsidRPr="007E4BB2">
        <w:rPr>
          <w:rFonts w:ascii="Arial" w:hAnsi="Arial" w:cs="Arial"/>
          <w:color w:val="000000" w:themeColor="text1"/>
          <w:shd w:val="clear" w:color="auto" w:fill="FFFFFF"/>
          <w:lang w:val="en-GB"/>
        </w:rPr>
        <w:t>Eye Clinic, Department of Biomedical and Clinical Science “L. Sacco”, Luigi Sacco Hospital</w:t>
      </w:r>
      <w:r w:rsidRPr="007E4BB2">
        <w:rPr>
          <w:rFonts w:ascii="Arial" w:hAnsi="Arial" w:cs="Arial"/>
          <w:color w:val="000000" w:themeColor="text1"/>
          <w:lang w:val="en-GB"/>
        </w:rPr>
        <w:t>, University of Milan, Italy</w:t>
      </w:r>
    </w:p>
    <w:p w14:paraId="6A17CFFD"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Northwestern University, Feinberg School of Medicine, Department of Ophthalmology.   Chicago, Illinois, USA</w:t>
      </w:r>
    </w:p>
    <w:p w14:paraId="2E930ECD"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Centre for Ophthalmic Specialised Care &amp; University of Lausanne, Lausanne, Switzerland</w:t>
      </w:r>
    </w:p>
    <w:p w14:paraId="5AABABE8"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The Centre for Ocular Inflammation and Infection (OCUVAC), Laura Bassi Centre of Expertise Center of Pathophysiology, Infectiology and Immunology, Medical University of Vienna, Vienna, Austria</w:t>
      </w:r>
    </w:p>
    <w:p w14:paraId="06EED088"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Ramón y Cajal University Hospital, Department of Ophthalmology, Madrid, Spain</w:t>
      </w:r>
      <w:r w:rsidRPr="007E4BB2">
        <w:rPr>
          <w:rFonts w:ascii="MS Mincho" w:eastAsia="MS Mincho" w:hAnsi="MS Mincho" w:cs="MS Mincho"/>
          <w:color w:val="000000" w:themeColor="text1"/>
          <w:lang w:val="en-GB"/>
        </w:rPr>
        <w:t> </w:t>
      </w:r>
    </w:p>
    <w:p w14:paraId="12C29E71"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Ophthalmology, University of Thessaly, Greece</w:t>
      </w:r>
    </w:p>
    <w:p w14:paraId="4F450EE5"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Rheumatology, PGIMER, Chandigarh, India</w:t>
      </w:r>
    </w:p>
    <w:p w14:paraId="275949B9"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Microbiology, PGIMER, Chandigarh, India</w:t>
      </w:r>
    </w:p>
    <w:p w14:paraId="276E1294"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Centre of Ophthalmology, Department of Ophthalmology, University of Tuebingen, Germany</w:t>
      </w:r>
    </w:p>
    <w:p w14:paraId="4DE61847"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Chest and Allergy Clinic, St Mary’s Hospital, Imperial College Healthcare NHS Trust, London, United Kingdom</w:t>
      </w:r>
    </w:p>
    <w:p w14:paraId="0F3E3509"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 xml:space="preserve">The Francis I. Proctor Foundation, UCSF School of Medicine, San Francisco, California, United States </w:t>
      </w:r>
    </w:p>
    <w:p w14:paraId="60855A8E"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Department of Ophthalmology, Massachusetts Eye and Ear, Harvard Medical School, Boston, Massachusetts, United States</w:t>
      </w:r>
    </w:p>
    <w:p w14:paraId="76EFF3F1" w14:textId="77777777" w:rsidR="00730B01" w:rsidRPr="007E4BB2" w:rsidRDefault="00730B01" w:rsidP="00D165EC">
      <w:pPr>
        <w:pStyle w:val="ListParagraph"/>
        <w:numPr>
          <w:ilvl w:val="0"/>
          <w:numId w:val="9"/>
        </w:numPr>
        <w:spacing w:after="0" w:line="240" w:lineRule="auto"/>
        <w:jc w:val="both"/>
        <w:rPr>
          <w:rFonts w:ascii="Arial" w:hAnsi="Arial" w:cs="Arial"/>
          <w:color w:val="000000" w:themeColor="text1"/>
          <w:lang w:val="en-GB"/>
        </w:rPr>
      </w:pPr>
      <w:r w:rsidRPr="007E4BB2">
        <w:rPr>
          <w:rFonts w:ascii="Arial" w:hAnsi="Arial" w:cs="Arial"/>
          <w:color w:val="000000" w:themeColor="text1"/>
          <w:lang w:val="en-GB"/>
        </w:rPr>
        <w:t xml:space="preserve">MCM Eye Unit, MyungSung Christian Medical Center and MyungSung Medical School, Addis Ababa, Ethiopia </w:t>
      </w:r>
    </w:p>
    <w:p w14:paraId="6E6E5624" w14:textId="77777777" w:rsidR="00730B01" w:rsidRPr="007E4BB2" w:rsidRDefault="00730B01" w:rsidP="00730B01">
      <w:pPr>
        <w:contextualSpacing/>
        <w:jc w:val="both"/>
        <w:rPr>
          <w:rFonts w:ascii="Arial" w:hAnsi="Arial" w:cs="Arial"/>
          <w:color w:val="000000" w:themeColor="text1"/>
          <w:lang w:val="en-GB"/>
        </w:rPr>
      </w:pPr>
    </w:p>
    <w:p w14:paraId="19EB8B02" w14:textId="77777777" w:rsidR="00730B01" w:rsidRPr="007E4BB2" w:rsidRDefault="00730B01" w:rsidP="00730B01">
      <w:pPr>
        <w:ind w:left="284"/>
        <w:jc w:val="both"/>
        <w:rPr>
          <w:rFonts w:ascii="Arial" w:hAnsi="Arial" w:cs="Arial"/>
          <w:color w:val="000000" w:themeColor="text1"/>
          <w:lang w:val="en-GB"/>
        </w:rPr>
      </w:pPr>
    </w:p>
    <w:p w14:paraId="7C407CCD" w14:textId="77777777" w:rsidR="00730B01" w:rsidRPr="007E4BB2" w:rsidRDefault="00730B01" w:rsidP="00032E4B">
      <w:pPr>
        <w:spacing w:line="276" w:lineRule="auto"/>
        <w:jc w:val="both"/>
        <w:outlineLvl w:val="0"/>
        <w:rPr>
          <w:rFonts w:ascii="Arial" w:hAnsi="Arial" w:cs="Arial"/>
          <w:b/>
          <w:color w:val="000000" w:themeColor="text1"/>
          <w:lang w:val="en-GB"/>
        </w:rPr>
      </w:pPr>
      <w:r w:rsidRPr="007E4BB2">
        <w:rPr>
          <w:rFonts w:ascii="Arial" w:hAnsi="Arial" w:cs="Arial"/>
          <w:b/>
          <w:color w:val="000000" w:themeColor="text1"/>
          <w:lang w:val="en-GB"/>
        </w:rPr>
        <w:t>Corresponding author:</w:t>
      </w:r>
    </w:p>
    <w:p w14:paraId="5100C3B3" w14:textId="77777777" w:rsidR="00730B01" w:rsidRPr="007E4BB2" w:rsidRDefault="00730B01" w:rsidP="00032E4B">
      <w:pPr>
        <w:spacing w:line="276" w:lineRule="auto"/>
        <w:contextualSpacing/>
        <w:jc w:val="both"/>
        <w:outlineLvl w:val="0"/>
        <w:rPr>
          <w:rFonts w:ascii="Arial" w:hAnsi="Arial" w:cs="Arial"/>
          <w:color w:val="000000" w:themeColor="text1"/>
          <w:lang w:val="en-GB"/>
        </w:rPr>
      </w:pPr>
      <w:r w:rsidRPr="007E4BB2">
        <w:rPr>
          <w:rFonts w:ascii="Arial" w:hAnsi="Arial" w:cs="Arial"/>
          <w:color w:val="000000" w:themeColor="text1"/>
          <w:lang w:val="en-GB"/>
        </w:rPr>
        <w:t>Vishali Gupta, MD</w:t>
      </w:r>
    </w:p>
    <w:p w14:paraId="2560945A" w14:textId="77777777" w:rsidR="00730B01" w:rsidRPr="007E4BB2" w:rsidRDefault="00730B01" w:rsidP="00730B01">
      <w:pPr>
        <w:spacing w:line="276" w:lineRule="auto"/>
        <w:contextualSpacing/>
        <w:jc w:val="both"/>
        <w:rPr>
          <w:rFonts w:ascii="Arial" w:hAnsi="Arial" w:cs="Arial"/>
          <w:color w:val="000000" w:themeColor="text1"/>
          <w:lang w:val="en-GB"/>
        </w:rPr>
      </w:pPr>
      <w:r w:rsidRPr="007E4BB2">
        <w:rPr>
          <w:rFonts w:ascii="Arial" w:hAnsi="Arial" w:cs="Arial"/>
          <w:color w:val="000000" w:themeColor="text1"/>
          <w:lang w:val="en-GB"/>
        </w:rPr>
        <w:t xml:space="preserve">Professor of Ophthalmology, </w:t>
      </w:r>
    </w:p>
    <w:p w14:paraId="052810DF" w14:textId="77777777" w:rsidR="00730B01" w:rsidRPr="007E4BB2" w:rsidRDefault="00730B01" w:rsidP="00730B01">
      <w:pPr>
        <w:spacing w:line="276" w:lineRule="auto"/>
        <w:contextualSpacing/>
        <w:jc w:val="both"/>
        <w:rPr>
          <w:rFonts w:ascii="Arial" w:hAnsi="Arial" w:cs="Arial"/>
          <w:color w:val="000000" w:themeColor="text1"/>
          <w:lang w:val="en-GB"/>
        </w:rPr>
      </w:pPr>
      <w:r w:rsidRPr="007E4BB2">
        <w:rPr>
          <w:rFonts w:ascii="Arial" w:hAnsi="Arial" w:cs="Arial"/>
          <w:color w:val="000000" w:themeColor="text1"/>
          <w:lang w:val="en-GB"/>
        </w:rPr>
        <w:t xml:space="preserve">Advanced Eye Centre, </w:t>
      </w:r>
    </w:p>
    <w:p w14:paraId="6D1BFC1F" w14:textId="77777777" w:rsidR="00730B01" w:rsidRPr="007E4BB2" w:rsidRDefault="00730B01" w:rsidP="00730B01">
      <w:pPr>
        <w:spacing w:line="276" w:lineRule="auto"/>
        <w:contextualSpacing/>
        <w:jc w:val="both"/>
        <w:rPr>
          <w:rFonts w:ascii="Arial" w:hAnsi="Arial" w:cs="Arial"/>
          <w:color w:val="000000" w:themeColor="text1"/>
          <w:lang w:val="en-GB"/>
        </w:rPr>
      </w:pPr>
      <w:r w:rsidRPr="007E4BB2">
        <w:rPr>
          <w:rFonts w:ascii="Arial" w:hAnsi="Arial" w:cs="Arial"/>
          <w:color w:val="000000" w:themeColor="text1"/>
          <w:lang w:val="en-GB"/>
        </w:rPr>
        <w:t>Post graduate Institute of Medical Education and Research (PGIMER),</w:t>
      </w:r>
    </w:p>
    <w:p w14:paraId="65A42B8B" w14:textId="77777777" w:rsidR="00730B01" w:rsidRPr="007E4BB2" w:rsidRDefault="00730B01" w:rsidP="00730B01">
      <w:pPr>
        <w:spacing w:line="276" w:lineRule="auto"/>
        <w:contextualSpacing/>
        <w:jc w:val="both"/>
        <w:rPr>
          <w:rFonts w:ascii="Arial" w:hAnsi="Arial" w:cs="Arial"/>
          <w:color w:val="000000" w:themeColor="text1"/>
          <w:lang w:val="en-GB"/>
        </w:rPr>
      </w:pPr>
      <w:r w:rsidRPr="007E4BB2">
        <w:rPr>
          <w:rFonts w:ascii="Arial" w:hAnsi="Arial" w:cs="Arial"/>
          <w:color w:val="000000" w:themeColor="text1"/>
          <w:lang w:val="en-GB"/>
        </w:rPr>
        <w:t>Chandigarh, India.</w:t>
      </w:r>
    </w:p>
    <w:p w14:paraId="66275E1E" w14:textId="77777777" w:rsidR="00730B01" w:rsidRPr="007E4BB2" w:rsidRDefault="00730B01" w:rsidP="00032E4B">
      <w:pPr>
        <w:spacing w:line="276" w:lineRule="auto"/>
        <w:contextualSpacing/>
        <w:jc w:val="both"/>
        <w:outlineLvl w:val="0"/>
        <w:rPr>
          <w:rFonts w:ascii="Arial" w:hAnsi="Arial" w:cs="Arial"/>
          <w:color w:val="000000" w:themeColor="text1"/>
          <w:lang w:val="en-GB"/>
        </w:rPr>
      </w:pPr>
      <w:r w:rsidRPr="007E4BB2">
        <w:rPr>
          <w:rFonts w:ascii="Arial" w:hAnsi="Arial" w:cs="Arial"/>
          <w:color w:val="000000" w:themeColor="text1"/>
          <w:lang w:val="en-GB"/>
        </w:rPr>
        <w:t xml:space="preserve">Email: </w:t>
      </w:r>
      <w:hyperlink r:id="rId8" w:history="1">
        <w:r w:rsidRPr="007E4BB2">
          <w:rPr>
            <w:rStyle w:val="Hyperlink"/>
            <w:rFonts w:ascii="Arial" w:hAnsi="Arial" w:cs="Arial"/>
            <w:color w:val="000000" w:themeColor="text1"/>
            <w:lang w:val="en-GB"/>
          </w:rPr>
          <w:t>vishalisara@yahoo.co.in</w:t>
        </w:r>
      </w:hyperlink>
      <w:r w:rsidRPr="007E4BB2">
        <w:rPr>
          <w:rFonts w:ascii="Arial" w:hAnsi="Arial" w:cs="Arial"/>
          <w:color w:val="000000" w:themeColor="text1"/>
          <w:lang w:val="en-GB"/>
        </w:rPr>
        <w:t xml:space="preserve"> </w:t>
      </w:r>
    </w:p>
    <w:p w14:paraId="0F5290F3" w14:textId="77777777" w:rsidR="00730B01" w:rsidRPr="007E4BB2" w:rsidRDefault="00730B01" w:rsidP="00032E4B">
      <w:pPr>
        <w:spacing w:line="276" w:lineRule="auto"/>
        <w:contextualSpacing/>
        <w:jc w:val="both"/>
        <w:outlineLvl w:val="0"/>
        <w:rPr>
          <w:rFonts w:ascii="Arial" w:hAnsi="Arial" w:cs="Arial"/>
          <w:color w:val="000000" w:themeColor="text1"/>
          <w:lang w:val="en-GB"/>
        </w:rPr>
      </w:pPr>
      <w:r w:rsidRPr="007E4BB2">
        <w:rPr>
          <w:rFonts w:ascii="Arial" w:hAnsi="Arial" w:cs="Arial"/>
          <w:color w:val="000000" w:themeColor="text1"/>
          <w:lang w:val="en-GB"/>
        </w:rPr>
        <w:t>Contact number: +919417565506</w:t>
      </w:r>
    </w:p>
    <w:p w14:paraId="17D57C7A" w14:textId="77777777" w:rsidR="00730B01" w:rsidRPr="007E4BB2" w:rsidRDefault="00730B01" w:rsidP="001E7717">
      <w:pPr>
        <w:rPr>
          <w:color w:val="000000" w:themeColor="text1"/>
          <w:lang w:val="en-GB"/>
        </w:rPr>
      </w:pPr>
    </w:p>
    <w:p w14:paraId="6D8F6AE7" w14:textId="77777777" w:rsidR="00730B01" w:rsidRPr="007E4BB2" w:rsidRDefault="00730B01" w:rsidP="001E7717">
      <w:pPr>
        <w:rPr>
          <w:color w:val="000000" w:themeColor="text1"/>
          <w:lang w:val="en-GB"/>
        </w:rPr>
      </w:pPr>
    </w:p>
    <w:p w14:paraId="0C7840AB" w14:textId="77777777" w:rsidR="00730B01" w:rsidRPr="007E4BB2" w:rsidRDefault="00730B01" w:rsidP="001E7717">
      <w:pPr>
        <w:rPr>
          <w:color w:val="000000" w:themeColor="text1"/>
          <w:lang w:val="en-GB"/>
        </w:rPr>
      </w:pPr>
    </w:p>
    <w:p w14:paraId="7C55983D" w14:textId="77777777" w:rsidR="00730B01" w:rsidRPr="007E4BB2" w:rsidRDefault="00730B01" w:rsidP="001E7717">
      <w:pPr>
        <w:rPr>
          <w:color w:val="000000" w:themeColor="text1"/>
          <w:lang w:val="en-GB"/>
        </w:rPr>
      </w:pPr>
    </w:p>
    <w:p w14:paraId="7ABE5E3B" w14:textId="77777777" w:rsidR="00730B01" w:rsidRPr="007E4BB2" w:rsidRDefault="00730B01" w:rsidP="001E7717">
      <w:pPr>
        <w:rPr>
          <w:color w:val="000000" w:themeColor="text1"/>
          <w:lang w:val="en-GB"/>
        </w:rPr>
      </w:pPr>
    </w:p>
    <w:p w14:paraId="74320A39" w14:textId="77777777" w:rsidR="00730B01" w:rsidRPr="007E4BB2" w:rsidRDefault="00730B01" w:rsidP="001E7717">
      <w:pPr>
        <w:rPr>
          <w:color w:val="000000" w:themeColor="text1"/>
          <w:lang w:val="en-GB"/>
        </w:rPr>
      </w:pPr>
    </w:p>
    <w:p w14:paraId="3EBF123C" w14:textId="77777777" w:rsidR="00730B01" w:rsidRPr="007E4BB2" w:rsidRDefault="00730B01" w:rsidP="001E7717">
      <w:pPr>
        <w:rPr>
          <w:color w:val="000000" w:themeColor="text1"/>
          <w:lang w:val="en-GB"/>
        </w:rPr>
      </w:pPr>
    </w:p>
    <w:p w14:paraId="0D0B7D96" w14:textId="77777777" w:rsidR="00184577" w:rsidRPr="007E4BB2" w:rsidRDefault="00184577" w:rsidP="001E7717">
      <w:pPr>
        <w:rPr>
          <w:color w:val="000000" w:themeColor="text1"/>
          <w:lang w:val="en-GB"/>
        </w:rPr>
      </w:pPr>
    </w:p>
    <w:p w14:paraId="432B666E" w14:textId="77777777" w:rsidR="00730B01" w:rsidRPr="007E4BB2" w:rsidRDefault="00730B01" w:rsidP="001E7717">
      <w:pPr>
        <w:rPr>
          <w:color w:val="000000" w:themeColor="text1"/>
          <w:lang w:val="en-GB"/>
        </w:rPr>
      </w:pPr>
    </w:p>
    <w:p w14:paraId="7305739B" w14:textId="77777777" w:rsidR="00730B01" w:rsidRPr="007E4BB2" w:rsidRDefault="00730B01" w:rsidP="001E7717">
      <w:pPr>
        <w:rPr>
          <w:color w:val="000000" w:themeColor="text1"/>
          <w:lang w:val="en-GB"/>
        </w:rPr>
      </w:pPr>
    </w:p>
    <w:p w14:paraId="144140DD" w14:textId="77777777" w:rsidR="00846563" w:rsidRPr="007E4BB2" w:rsidRDefault="00846563" w:rsidP="00C55C7B">
      <w:pPr>
        <w:shd w:val="clear" w:color="auto" w:fill="FFFFFF"/>
        <w:spacing w:after="100"/>
        <w:rPr>
          <w:rFonts w:cstheme="minorHAnsi"/>
          <w:b/>
          <w:bCs/>
          <w:color w:val="000000" w:themeColor="text1"/>
          <w:lang w:val="en-GB"/>
        </w:rPr>
      </w:pPr>
    </w:p>
    <w:p w14:paraId="0A3F9CEE" w14:textId="77777777" w:rsidR="008C236F" w:rsidRPr="007E4BB2" w:rsidRDefault="008C236F" w:rsidP="00032E4B">
      <w:pPr>
        <w:shd w:val="clear" w:color="auto" w:fill="FFFFFF"/>
        <w:spacing w:after="100"/>
        <w:jc w:val="center"/>
        <w:outlineLvl w:val="0"/>
        <w:rPr>
          <w:rFonts w:ascii="Arial" w:hAnsi="Arial" w:cs="Arial"/>
          <w:b/>
          <w:bCs/>
          <w:color w:val="000000" w:themeColor="text1"/>
          <w:lang w:val="en-GB"/>
        </w:rPr>
      </w:pPr>
      <w:bookmarkStart w:id="1" w:name="_Hlk24195200"/>
    </w:p>
    <w:p w14:paraId="45741507" w14:textId="77777777" w:rsidR="008C236F" w:rsidRPr="007E4BB2" w:rsidRDefault="008C236F" w:rsidP="00032E4B">
      <w:pPr>
        <w:shd w:val="clear" w:color="auto" w:fill="FFFFFF"/>
        <w:spacing w:after="100"/>
        <w:jc w:val="center"/>
        <w:outlineLvl w:val="0"/>
        <w:rPr>
          <w:rFonts w:ascii="Arial" w:hAnsi="Arial" w:cs="Arial"/>
          <w:b/>
          <w:bCs/>
          <w:color w:val="000000" w:themeColor="text1"/>
          <w:lang w:val="en-GB"/>
        </w:rPr>
      </w:pPr>
    </w:p>
    <w:p w14:paraId="11577AB9" w14:textId="77777777" w:rsidR="008C236F" w:rsidRPr="007E4BB2" w:rsidRDefault="008C236F" w:rsidP="00032E4B">
      <w:pPr>
        <w:shd w:val="clear" w:color="auto" w:fill="FFFFFF"/>
        <w:spacing w:after="100"/>
        <w:jc w:val="center"/>
        <w:outlineLvl w:val="0"/>
        <w:rPr>
          <w:rFonts w:ascii="Arial" w:hAnsi="Arial" w:cs="Arial"/>
          <w:b/>
          <w:bCs/>
          <w:color w:val="000000" w:themeColor="text1"/>
          <w:lang w:val="en-GB"/>
        </w:rPr>
      </w:pPr>
    </w:p>
    <w:p w14:paraId="640BC221" w14:textId="77777777" w:rsidR="008C236F" w:rsidRPr="007E4BB2" w:rsidRDefault="008C236F" w:rsidP="00032E4B">
      <w:pPr>
        <w:shd w:val="clear" w:color="auto" w:fill="FFFFFF"/>
        <w:spacing w:after="100"/>
        <w:jc w:val="center"/>
        <w:outlineLvl w:val="0"/>
        <w:rPr>
          <w:rFonts w:ascii="Arial" w:hAnsi="Arial" w:cs="Arial"/>
          <w:b/>
          <w:bCs/>
          <w:color w:val="000000" w:themeColor="text1"/>
          <w:lang w:val="en-GB"/>
        </w:rPr>
      </w:pPr>
    </w:p>
    <w:p w14:paraId="32234B4C" w14:textId="77777777" w:rsidR="008C236F" w:rsidRPr="007E4BB2" w:rsidRDefault="008C236F" w:rsidP="00032E4B">
      <w:pPr>
        <w:shd w:val="clear" w:color="auto" w:fill="FFFFFF"/>
        <w:spacing w:after="100"/>
        <w:jc w:val="center"/>
        <w:outlineLvl w:val="0"/>
        <w:rPr>
          <w:rFonts w:ascii="Arial" w:hAnsi="Arial" w:cs="Arial"/>
          <w:b/>
          <w:bCs/>
          <w:color w:val="000000" w:themeColor="text1"/>
          <w:lang w:val="en-GB"/>
        </w:rPr>
      </w:pPr>
    </w:p>
    <w:p w14:paraId="15C75F16" w14:textId="37128859" w:rsidR="008635D8" w:rsidRPr="007E4BB2" w:rsidRDefault="004B2E8B" w:rsidP="008C236F">
      <w:pPr>
        <w:shd w:val="clear" w:color="auto" w:fill="FFFFFF"/>
        <w:spacing w:after="100"/>
        <w:outlineLvl w:val="0"/>
        <w:rPr>
          <w:rFonts w:ascii="Arial" w:hAnsi="Arial" w:cs="Arial"/>
          <w:b/>
          <w:bCs/>
          <w:color w:val="000000" w:themeColor="text1"/>
          <w:lang w:val="en-GB"/>
        </w:rPr>
      </w:pPr>
      <w:r w:rsidRPr="007E4BB2">
        <w:rPr>
          <w:rFonts w:ascii="Arial" w:hAnsi="Arial" w:cs="Arial"/>
          <w:b/>
          <w:bCs/>
          <w:color w:val="000000" w:themeColor="text1"/>
          <w:lang w:val="en-GB"/>
        </w:rPr>
        <w:lastRenderedPageBreak/>
        <w:t>ABSTRACT</w:t>
      </w:r>
    </w:p>
    <w:bookmarkEnd w:id="1"/>
    <w:p w14:paraId="341DB79D" w14:textId="4D4C4CC2" w:rsidR="00023D66" w:rsidRPr="007E4BB2" w:rsidRDefault="00023D66" w:rsidP="008635D8">
      <w:pPr>
        <w:shd w:val="clear" w:color="auto" w:fill="FFFFFF"/>
        <w:spacing w:after="100" w:line="360" w:lineRule="auto"/>
        <w:jc w:val="both"/>
        <w:rPr>
          <w:rFonts w:ascii="Arial" w:hAnsi="Arial" w:cs="Arial"/>
          <w:color w:val="000000" w:themeColor="text1"/>
          <w:lang w:val="en-GB"/>
        </w:rPr>
      </w:pPr>
      <w:r w:rsidRPr="007E4BB2">
        <w:rPr>
          <w:rFonts w:ascii="Arial" w:hAnsi="Arial" w:cs="Arial"/>
          <w:b/>
          <w:bCs/>
          <w:color w:val="000000" w:themeColor="text1"/>
          <w:lang w:val="en-GB"/>
        </w:rPr>
        <w:t>Purpose:</w:t>
      </w:r>
      <w:r w:rsidRPr="007E4BB2">
        <w:rPr>
          <w:rFonts w:ascii="Arial" w:hAnsi="Arial" w:cs="Arial"/>
          <w:color w:val="000000" w:themeColor="text1"/>
          <w:lang w:val="en-GB"/>
        </w:rPr>
        <w:t xml:space="preserve"> The C</w:t>
      </w:r>
      <w:r w:rsidR="00D22CA4" w:rsidRPr="007E4BB2">
        <w:rPr>
          <w:rFonts w:ascii="Arial" w:hAnsi="Arial" w:cs="Arial"/>
          <w:color w:val="000000" w:themeColor="text1"/>
          <w:lang w:val="en-GB"/>
        </w:rPr>
        <w:t xml:space="preserve">ollaborative </w:t>
      </w:r>
      <w:r w:rsidRPr="007E4BB2">
        <w:rPr>
          <w:rFonts w:ascii="Arial" w:hAnsi="Arial" w:cs="Arial"/>
          <w:color w:val="000000" w:themeColor="text1"/>
          <w:lang w:val="en-GB"/>
        </w:rPr>
        <w:t>O</w:t>
      </w:r>
      <w:r w:rsidR="00D22CA4" w:rsidRPr="007E4BB2">
        <w:rPr>
          <w:rFonts w:ascii="Arial" w:hAnsi="Arial" w:cs="Arial"/>
          <w:color w:val="000000" w:themeColor="text1"/>
          <w:lang w:val="en-GB"/>
        </w:rPr>
        <w:t xml:space="preserve">cular </w:t>
      </w:r>
      <w:r w:rsidRPr="007E4BB2">
        <w:rPr>
          <w:rFonts w:ascii="Arial" w:hAnsi="Arial" w:cs="Arial"/>
          <w:color w:val="000000" w:themeColor="text1"/>
          <w:lang w:val="en-GB"/>
        </w:rPr>
        <w:t>T</w:t>
      </w:r>
      <w:r w:rsidR="00D22CA4" w:rsidRPr="007E4BB2">
        <w:rPr>
          <w:rFonts w:ascii="Arial" w:hAnsi="Arial" w:cs="Arial"/>
          <w:color w:val="000000" w:themeColor="text1"/>
          <w:lang w:val="en-GB"/>
        </w:rPr>
        <w:t xml:space="preserve">uberculosis </w:t>
      </w:r>
      <w:r w:rsidRPr="007E4BB2">
        <w:rPr>
          <w:rFonts w:ascii="Arial" w:hAnsi="Arial" w:cs="Arial"/>
          <w:color w:val="000000" w:themeColor="text1"/>
          <w:lang w:val="en-GB"/>
        </w:rPr>
        <w:t>S</w:t>
      </w:r>
      <w:r w:rsidR="00D22CA4" w:rsidRPr="007E4BB2">
        <w:rPr>
          <w:rFonts w:ascii="Arial" w:hAnsi="Arial" w:cs="Arial"/>
          <w:color w:val="000000" w:themeColor="text1"/>
          <w:lang w:val="en-GB"/>
        </w:rPr>
        <w:t xml:space="preserve">tudy (COTS) </w:t>
      </w:r>
      <w:r w:rsidRPr="007E4BB2">
        <w:rPr>
          <w:rFonts w:ascii="Arial" w:hAnsi="Arial" w:cs="Arial"/>
          <w:color w:val="000000" w:themeColor="text1"/>
          <w:lang w:val="en-GB"/>
        </w:rPr>
        <w:t xml:space="preserve">Group </w:t>
      </w:r>
      <w:r w:rsidR="003070DE" w:rsidRPr="007E4BB2">
        <w:rPr>
          <w:rFonts w:ascii="Arial" w:hAnsi="Arial" w:cs="Arial"/>
          <w:color w:val="000000" w:themeColor="text1"/>
          <w:lang w:val="en-GB"/>
        </w:rPr>
        <w:t>sought to address the diagnostic</w:t>
      </w:r>
      <w:r w:rsidR="00E77D54" w:rsidRPr="007E4BB2">
        <w:rPr>
          <w:rFonts w:ascii="Arial" w:hAnsi="Arial" w:cs="Arial"/>
          <w:color w:val="000000" w:themeColor="text1"/>
          <w:lang w:val="en-GB"/>
        </w:rPr>
        <w:t xml:space="preserve"> uncertainty through </w:t>
      </w:r>
      <w:r w:rsidRPr="007E4BB2">
        <w:rPr>
          <w:rFonts w:ascii="Arial" w:hAnsi="Arial" w:cs="Arial"/>
          <w:color w:val="000000" w:themeColor="text1"/>
          <w:lang w:val="en-GB"/>
        </w:rPr>
        <w:t xml:space="preserve">retrospective </w:t>
      </w:r>
      <w:r w:rsidR="00AA6B99" w:rsidRPr="007E4BB2">
        <w:rPr>
          <w:rFonts w:ascii="Arial" w:hAnsi="Arial" w:cs="Arial"/>
          <w:color w:val="000000" w:themeColor="text1"/>
          <w:lang w:val="en-GB"/>
        </w:rPr>
        <w:t xml:space="preserve">cohort </w:t>
      </w:r>
      <w:r w:rsidRPr="007E4BB2">
        <w:rPr>
          <w:rFonts w:ascii="Arial" w:hAnsi="Arial" w:cs="Arial"/>
          <w:color w:val="000000" w:themeColor="text1"/>
          <w:lang w:val="en-GB"/>
        </w:rPr>
        <w:t xml:space="preserve">analysis </w:t>
      </w:r>
      <w:r w:rsidR="00E77D54" w:rsidRPr="007E4BB2">
        <w:rPr>
          <w:rFonts w:ascii="Arial" w:hAnsi="Arial" w:cs="Arial"/>
          <w:color w:val="000000" w:themeColor="text1"/>
          <w:lang w:val="en-GB"/>
        </w:rPr>
        <w:t xml:space="preserve">of </w:t>
      </w:r>
      <w:r w:rsidRPr="007E4BB2">
        <w:rPr>
          <w:rFonts w:ascii="Arial" w:hAnsi="Arial" w:cs="Arial"/>
          <w:color w:val="000000" w:themeColor="text1"/>
          <w:lang w:val="en-GB"/>
        </w:rPr>
        <w:t xml:space="preserve">treatment regimens and </w:t>
      </w:r>
      <w:r w:rsidR="00D22CA4" w:rsidRPr="007E4BB2">
        <w:rPr>
          <w:rFonts w:ascii="Arial" w:hAnsi="Arial" w:cs="Arial"/>
          <w:color w:val="000000" w:themeColor="text1"/>
          <w:lang w:val="en-GB"/>
        </w:rPr>
        <w:t xml:space="preserve">therapeutic </w:t>
      </w:r>
      <w:r w:rsidRPr="007E4BB2">
        <w:rPr>
          <w:rFonts w:ascii="Arial" w:hAnsi="Arial" w:cs="Arial"/>
          <w:color w:val="000000" w:themeColor="text1"/>
          <w:lang w:val="en-GB"/>
        </w:rPr>
        <w:t xml:space="preserve">outcomes </w:t>
      </w:r>
      <w:r w:rsidR="00E77D54" w:rsidRPr="007E4BB2">
        <w:rPr>
          <w:rFonts w:ascii="Arial" w:hAnsi="Arial" w:cs="Arial"/>
          <w:color w:val="000000" w:themeColor="text1"/>
          <w:lang w:val="en-GB"/>
        </w:rPr>
        <w:t xml:space="preserve">for </w:t>
      </w:r>
      <w:r w:rsidR="00D22CA4" w:rsidRPr="007E4BB2">
        <w:rPr>
          <w:rFonts w:ascii="Arial" w:hAnsi="Arial" w:cs="Arial"/>
          <w:color w:val="000000" w:themeColor="text1"/>
          <w:lang w:val="en-GB"/>
        </w:rPr>
        <w:t>patients with</w:t>
      </w:r>
      <w:r w:rsidRPr="007E4BB2">
        <w:rPr>
          <w:rFonts w:ascii="Arial" w:hAnsi="Arial" w:cs="Arial"/>
          <w:color w:val="000000" w:themeColor="text1"/>
          <w:lang w:val="en-GB"/>
        </w:rPr>
        <w:t xml:space="preserve"> </w:t>
      </w:r>
      <w:r w:rsidR="003070DE" w:rsidRPr="007E4BB2">
        <w:rPr>
          <w:rFonts w:ascii="Arial" w:hAnsi="Arial" w:cs="Arial"/>
          <w:color w:val="000000" w:themeColor="text1"/>
          <w:lang w:val="en-GB"/>
        </w:rPr>
        <w:t>tubercular Anterior Uveitis (</w:t>
      </w:r>
      <w:r w:rsidRPr="007E4BB2">
        <w:rPr>
          <w:rFonts w:ascii="Arial" w:hAnsi="Arial" w:cs="Arial"/>
          <w:color w:val="000000" w:themeColor="text1"/>
          <w:lang w:val="en-GB"/>
        </w:rPr>
        <w:t>TAU</w:t>
      </w:r>
      <w:r w:rsidR="003070DE" w:rsidRPr="007E4BB2">
        <w:rPr>
          <w:rFonts w:ascii="Arial" w:hAnsi="Arial" w:cs="Arial"/>
          <w:color w:val="000000" w:themeColor="text1"/>
          <w:lang w:val="en-GB"/>
        </w:rPr>
        <w:t>)</w:t>
      </w:r>
      <w:r w:rsidRPr="007E4BB2">
        <w:rPr>
          <w:rFonts w:ascii="Arial" w:hAnsi="Arial" w:cs="Arial"/>
          <w:color w:val="000000" w:themeColor="text1"/>
          <w:lang w:val="en-GB"/>
        </w:rPr>
        <w:t xml:space="preserve"> across international centres.</w:t>
      </w:r>
    </w:p>
    <w:p w14:paraId="296C9478" w14:textId="7B6D0987" w:rsidR="00CE038A" w:rsidRPr="007E4BB2" w:rsidRDefault="00CE038A" w:rsidP="008635D8">
      <w:pPr>
        <w:shd w:val="clear" w:color="auto" w:fill="FFFFFF"/>
        <w:spacing w:after="100" w:line="360" w:lineRule="auto"/>
        <w:jc w:val="both"/>
        <w:rPr>
          <w:rFonts w:ascii="Arial" w:hAnsi="Arial" w:cs="Arial"/>
          <w:color w:val="000000" w:themeColor="text1"/>
          <w:lang w:val="en-GB"/>
        </w:rPr>
      </w:pPr>
      <w:r w:rsidRPr="007E4BB2">
        <w:rPr>
          <w:rFonts w:ascii="Arial" w:hAnsi="Arial" w:cs="Arial"/>
          <w:b/>
          <w:bCs/>
          <w:color w:val="000000" w:themeColor="text1"/>
          <w:lang w:val="en-GB"/>
        </w:rPr>
        <w:t>Methods</w:t>
      </w:r>
      <w:r w:rsidRPr="007E4BB2">
        <w:rPr>
          <w:rFonts w:ascii="Arial" w:hAnsi="Arial" w:cs="Arial"/>
          <w:color w:val="000000" w:themeColor="text1"/>
          <w:lang w:val="en-GB"/>
        </w:rPr>
        <w:t xml:space="preserve">: Multicentre retrospective </w:t>
      </w:r>
      <w:r w:rsidR="00D22CA4" w:rsidRPr="007E4BB2">
        <w:rPr>
          <w:rFonts w:ascii="Arial" w:hAnsi="Arial" w:cs="Arial"/>
          <w:color w:val="000000" w:themeColor="text1"/>
          <w:lang w:val="en-GB"/>
        </w:rPr>
        <w:t xml:space="preserve">analysis </w:t>
      </w:r>
      <w:r w:rsidRPr="007E4BB2">
        <w:rPr>
          <w:rFonts w:ascii="Arial" w:hAnsi="Arial" w:cs="Arial"/>
          <w:color w:val="000000" w:themeColor="text1"/>
          <w:lang w:val="en-GB"/>
        </w:rPr>
        <w:t xml:space="preserve">of patients </w:t>
      </w:r>
      <w:r w:rsidR="009061F7" w:rsidRPr="007E4BB2">
        <w:rPr>
          <w:rFonts w:ascii="Arial" w:hAnsi="Arial" w:cs="Arial"/>
          <w:color w:val="000000" w:themeColor="text1"/>
          <w:lang w:val="en-GB"/>
        </w:rPr>
        <w:t xml:space="preserve">diagnosed </w:t>
      </w:r>
      <w:r w:rsidRPr="007E4BB2">
        <w:rPr>
          <w:rFonts w:ascii="Arial" w:hAnsi="Arial" w:cs="Arial"/>
          <w:color w:val="000000" w:themeColor="text1"/>
          <w:lang w:val="en-GB"/>
        </w:rPr>
        <w:t xml:space="preserve">with TAU </w:t>
      </w:r>
      <w:r w:rsidR="009061F7" w:rsidRPr="007E4BB2">
        <w:rPr>
          <w:rFonts w:ascii="Arial" w:hAnsi="Arial" w:cs="Arial"/>
          <w:color w:val="000000" w:themeColor="text1"/>
          <w:lang w:val="en-GB"/>
        </w:rPr>
        <w:t xml:space="preserve">between </w:t>
      </w:r>
      <w:r w:rsidRPr="007E4BB2">
        <w:rPr>
          <w:rFonts w:ascii="Arial" w:hAnsi="Arial" w:cs="Arial"/>
          <w:color w:val="000000" w:themeColor="text1"/>
          <w:lang w:val="en-GB"/>
        </w:rPr>
        <w:t xml:space="preserve">January 2004 </w:t>
      </w:r>
      <w:r w:rsidR="009061F7" w:rsidRPr="007E4BB2">
        <w:rPr>
          <w:rFonts w:ascii="Arial" w:hAnsi="Arial" w:cs="Arial"/>
          <w:color w:val="000000" w:themeColor="text1"/>
          <w:lang w:val="en-GB"/>
        </w:rPr>
        <w:t xml:space="preserve">to </w:t>
      </w:r>
      <w:r w:rsidRPr="007E4BB2">
        <w:rPr>
          <w:rFonts w:ascii="Arial" w:hAnsi="Arial" w:cs="Arial"/>
          <w:color w:val="000000" w:themeColor="text1"/>
          <w:lang w:val="en-GB"/>
        </w:rPr>
        <w:t>December 2014</w:t>
      </w:r>
      <w:r w:rsidR="009061F7" w:rsidRPr="007E4BB2">
        <w:rPr>
          <w:rFonts w:ascii="Arial" w:hAnsi="Arial" w:cs="Arial"/>
          <w:color w:val="000000" w:themeColor="text1"/>
          <w:lang w:val="en-GB"/>
        </w:rPr>
        <w:t xml:space="preserve"> that had</w:t>
      </w:r>
      <w:r w:rsidRPr="007E4BB2">
        <w:rPr>
          <w:rFonts w:ascii="Arial" w:hAnsi="Arial" w:cs="Arial"/>
          <w:color w:val="000000" w:themeColor="text1"/>
          <w:lang w:val="en-GB"/>
        </w:rPr>
        <w:t xml:space="preserve"> a minimum follow-up of 1 year.</w:t>
      </w:r>
    </w:p>
    <w:p w14:paraId="3EFB027E" w14:textId="6FAF7D5E" w:rsidR="00CE038A" w:rsidRPr="007E4BB2" w:rsidRDefault="00CE038A" w:rsidP="008635D8">
      <w:pPr>
        <w:shd w:val="clear" w:color="auto" w:fill="FFFFFF"/>
        <w:spacing w:after="100" w:line="360" w:lineRule="auto"/>
        <w:jc w:val="both"/>
        <w:rPr>
          <w:rFonts w:ascii="Arial" w:hAnsi="Arial" w:cs="Arial"/>
          <w:color w:val="000000" w:themeColor="text1"/>
          <w:lang w:val="en-GB"/>
        </w:rPr>
      </w:pPr>
      <w:r w:rsidRPr="007E4BB2">
        <w:rPr>
          <w:rFonts w:ascii="Arial" w:hAnsi="Arial" w:cs="Arial"/>
          <w:b/>
          <w:bCs/>
          <w:color w:val="000000" w:themeColor="text1"/>
          <w:lang w:val="en-GB"/>
        </w:rPr>
        <w:t>Results</w:t>
      </w:r>
      <w:r w:rsidRPr="007E4BB2">
        <w:rPr>
          <w:rFonts w:ascii="Arial" w:hAnsi="Arial" w:cs="Arial"/>
          <w:color w:val="000000" w:themeColor="text1"/>
          <w:lang w:val="en-GB"/>
        </w:rPr>
        <w:t>:</w:t>
      </w:r>
      <w:r w:rsidR="002659AA" w:rsidRPr="007E4BB2">
        <w:rPr>
          <w:rFonts w:ascii="Arial" w:hAnsi="Arial" w:cs="Arial"/>
          <w:color w:val="000000" w:themeColor="text1"/>
          <w:lang w:val="en-GB"/>
        </w:rPr>
        <w:t xml:space="preserve"> </w:t>
      </w:r>
      <w:r w:rsidR="00D22CA4" w:rsidRPr="007E4BB2">
        <w:rPr>
          <w:rFonts w:ascii="Arial" w:hAnsi="Arial" w:cs="Arial"/>
          <w:color w:val="000000" w:themeColor="text1"/>
          <w:lang w:val="en-GB"/>
        </w:rPr>
        <w:t>One hundred and sixty-five</w:t>
      </w:r>
      <w:r w:rsidR="002659AA" w:rsidRPr="007E4BB2">
        <w:rPr>
          <w:rFonts w:ascii="Arial" w:hAnsi="Arial" w:cs="Arial"/>
          <w:color w:val="000000" w:themeColor="text1"/>
          <w:lang w:val="en-GB"/>
        </w:rPr>
        <w:t xml:space="preserve"> patients were included. </w:t>
      </w:r>
      <w:r w:rsidR="003948F9" w:rsidRPr="007E4BB2">
        <w:rPr>
          <w:rFonts w:ascii="Arial" w:hAnsi="Arial" w:cs="Arial"/>
          <w:color w:val="000000" w:themeColor="text1"/>
          <w:lang w:val="en-GB"/>
        </w:rPr>
        <w:t xml:space="preserve">One hundred and seven </w:t>
      </w:r>
      <w:r w:rsidR="00D22CA4" w:rsidRPr="007E4BB2">
        <w:rPr>
          <w:rFonts w:ascii="Arial" w:hAnsi="Arial" w:cs="Arial"/>
          <w:color w:val="000000" w:themeColor="text1"/>
          <w:lang w:val="en-GB"/>
        </w:rPr>
        <w:t xml:space="preserve">subjects </w:t>
      </w:r>
      <w:r w:rsidR="0044219C" w:rsidRPr="007E4BB2">
        <w:rPr>
          <w:rFonts w:ascii="Arial" w:hAnsi="Arial" w:cs="Arial"/>
          <w:color w:val="000000" w:themeColor="text1"/>
          <w:lang w:val="en-GB"/>
        </w:rPr>
        <w:t>received</w:t>
      </w:r>
      <w:r w:rsidR="003948F9" w:rsidRPr="007E4BB2">
        <w:rPr>
          <w:rFonts w:ascii="Arial" w:hAnsi="Arial" w:cs="Arial"/>
          <w:color w:val="000000" w:themeColor="text1"/>
          <w:lang w:val="en-GB"/>
        </w:rPr>
        <w:t xml:space="preserve"> </w:t>
      </w:r>
      <w:r w:rsidR="00D22CA4" w:rsidRPr="007E4BB2">
        <w:rPr>
          <w:rFonts w:ascii="Arial" w:hAnsi="Arial" w:cs="Arial"/>
          <w:color w:val="000000" w:themeColor="text1"/>
          <w:lang w:val="en-GB"/>
        </w:rPr>
        <w:t>antitubercular therapy (</w:t>
      </w:r>
      <w:r w:rsidR="003948F9" w:rsidRPr="007E4BB2">
        <w:rPr>
          <w:rFonts w:ascii="Arial" w:hAnsi="Arial" w:cs="Arial"/>
          <w:color w:val="000000" w:themeColor="text1"/>
          <w:lang w:val="en-GB"/>
        </w:rPr>
        <w:t>ATT</w:t>
      </w:r>
      <w:r w:rsidR="00D22CA4" w:rsidRPr="007E4BB2">
        <w:rPr>
          <w:rFonts w:ascii="Arial" w:hAnsi="Arial" w:cs="Arial"/>
          <w:color w:val="000000" w:themeColor="text1"/>
          <w:lang w:val="en-GB"/>
        </w:rPr>
        <w:t>)</w:t>
      </w:r>
      <w:r w:rsidR="003948F9" w:rsidRPr="007E4BB2">
        <w:rPr>
          <w:rFonts w:ascii="Arial" w:hAnsi="Arial" w:cs="Arial"/>
          <w:color w:val="000000" w:themeColor="text1"/>
          <w:lang w:val="en-GB"/>
        </w:rPr>
        <w:t xml:space="preserve"> (n = 107/165; 64.9%) </w:t>
      </w:r>
      <w:r w:rsidR="006F76FF" w:rsidRPr="007E4BB2">
        <w:rPr>
          <w:rFonts w:ascii="Arial" w:hAnsi="Arial" w:cs="Arial"/>
          <w:color w:val="000000" w:themeColor="text1"/>
          <w:lang w:val="en-GB"/>
        </w:rPr>
        <w:t>with all the patients receiving topical steroid therapy</w:t>
      </w:r>
      <w:r w:rsidR="003948F9" w:rsidRPr="007E4BB2">
        <w:rPr>
          <w:rFonts w:ascii="Arial" w:hAnsi="Arial" w:cs="Arial"/>
          <w:color w:val="000000" w:themeColor="text1"/>
          <w:lang w:val="en-GB"/>
        </w:rPr>
        <w:t>. Treatment failure was noted in 17 patients (n = 17/165; 10.3%)</w:t>
      </w:r>
      <w:r w:rsidR="00AA6B99" w:rsidRPr="007E4BB2">
        <w:rPr>
          <w:rFonts w:ascii="Arial" w:hAnsi="Arial" w:cs="Arial"/>
          <w:color w:val="000000" w:themeColor="text1"/>
          <w:lang w:val="en-GB"/>
        </w:rPr>
        <w:t>,</w:t>
      </w:r>
      <w:r w:rsidR="00D22CA4" w:rsidRPr="007E4BB2">
        <w:rPr>
          <w:rFonts w:ascii="Arial" w:hAnsi="Arial" w:cs="Arial"/>
          <w:color w:val="000000" w:themeColor="text1"/>
          <w:lang w:val="en-GB"/>
        </w:rPr>
        <w:t xml:space="preserve"> more frequently </w:t>
      </w:r>
      <w:r w:rsidR="0044219C" w:rsidRPr="007E4BB2">
        <w:rPr>
          <w:rFonts w:ascii="Arial" w:hAnsi="Arial" w:cs="Arial"/>
          <w:color w:val="000000" w:themeColor="text1"/>
          <w:lang w:val="en-GB"/>
        </w:rPr>
        <w:t>described</w:t>
      </w:r>
      <w:r w:rsidR="006A6D1A" w:rsidRPr="007E4BB2">
        <w:rPr>
          <w:rFonts w:ascii="Arial" w:hAnsi="Arial" w:cs="Arial"/>
          <w:color w:val="000000" w:themeColor="text1"/>
          <w:lang w:val="en-GB"/>
        </w:rPr>
        <w:t xml:space="preserve"> </w:t>
      </w:r>
      <w:r w:rsidR="00D22CA4" w:rsidRPr="007E4BB2">
        <w:rPr>
          <w:rFonts w:ascii="Arial" w:hAnsi="Arial" w:cs="Arial"/>
          <w:color w:val="000000" w:themeColor="text1"/>
          <w:lang w:val="en-GB"/>
        </w:rPr>
        <w:t xml:space="preserve">in patients </w:t>
      </w:r>
      <w:r w:rsidR="0044219C" w:rsidRPr="007E4BB2">
        <w:rPr>
          <w:rFonts w:ascii="Arial" w:hAnsi="Arial" w:cs="Arial"/>
          <w:color w:val="000000" w:themeColor="text1"/>
          <w:lang w:val="en-GB"/>
        </w:rPr>
        <w:t xml:space="preserve">that </w:t>
      </w:r>
      <w:r w:rsidR="00D22CA4" w:rsidRPr="007E4BB2">
        <w:rPr>
          <w:rFonts w:ascii="Arial" w:hAnsi="Arial" w:cs="Arial"/>
          <w:color w:val="000000" w:themeColor="text1"/>
          <w:lang w:val="en-GB"/>
        </w:rPr>
        <w:t xml:space="preserve">received ATT (n = 13/107, 12.2%), than those </w:t>
      </w:r>
      <w:r w:rsidR="0044219C" w:rsidRPr="007E4BB2">
        <w:rPr>
          <w:rFonts w:ascii="Arial" w:hAnsi="Arial" w:cs="Arial"/>
          <w:color w:val="000000" w:themeColor="text1"/>
          <w:lang w:val="en-GB"/>
        </w:rPr>
        <w:t>that did not receive</w:t>
      </w:r>
      <w:r w:rsidR="00D22CA4" w:rsidRPr="007E4BB2">
        <w:rPr>
          <w:rFonts w:ascii="Arial" w:hAnsi="Arial" w:cs="Arial"/>
          <w:color w:val="000000" w:themeColor="text1"/>
          <w:lang w:val="en-GB"/>
        </w:rPr>
        <w:t xml:space="preserve"> ATT (n = 4/58, 6.9%).</w:t>
      </w:r>
    </w:p>
    <w:p w14:paraId="64A32830" w14:textId="6B632A30" w:rsidR="00CE038A" w:rsidRPr="007E4BB2" w:rsidRDefault="00CE038A" w:rsidP="008635D8">
      <w:pPr>
        <w:shd w:val="clear" w:color="auto" w:fill="FFFFFF"/>
        <w:spacing w:after="100" w:line="360" w:lineRule="auto"/>
        <w:jc w:val="both"/>
        <w:rPr>
          <w:rFonts w:ascii="Arial" w:hAnsi="Arial" w:cs="Arial"/>
          <w:color w:val="000000" w:themeColor="text1"/>
          <w:lang w:val="en-GB"/>
        </w:rPr>
      </w:pPr>
      <w:r w:rsidRPr="007E4BB2">
        <w:rPr>
          <w:rFonts w:ascii="Arial" w:hAnsi="Arial" w:cs="Arial"/>
          <w:b/>
          <w:bCs/>
          <w:color w:val="000000" w:themeColor="text1"/>
          <w:lang w:val="en-GB"/>
        </w:rPr>
        <w:t>Conclusion</w:t>
      </w:r>
      <w:r w:rsidR="008635D8" w:rsidRPr="007E4BB2">
        <w:rPr>
          <w:rFonts w:ascii="Arial" w:hAnsi="Arial" w:cs="Arial"/>
          <w:color w:val="000000" w:themeColor="text1"/>
          <w:lang w:val="en-GB"/>
        </w:rPr>
        <w:t>:</w:t>
      </w:r>
      <w:r w:rsidR="0086553B" w:rsidRPr="007E4BB2">
        <w:rPr>
          <w:rFonts w:ascii="Arial" w:hAnsi="Arial" w:cs="Arial"/>
          <w:color w:val="000000" w:themeColor="text1"/>
          <w:lang w:val="en-GB"/>
        </w:rPr>
        <w:t xml:space="preserve"> </w:t>
      </w:r>
      <w:r w:rsidR="0044219C" w:rsidRPr="007E4BB2">
        <w:rPr>
          <w:rFonts w:ascii="Arial" w:hAnsi="Arial" w:cs="Arial"/>
          <w:color w:val="000000" w:themeColor="text1"/>
          <w:lang w:val="en-GB"/>
        </w:rPr>
        <w:t xml:space="preserve">In this retrospective study, </w:t>
      </w:r>
      <w:r w:rsidR="0046508A" w:rsidRPr="007E4BB2">
        <w:rPr>
          <w:rFonts w:ascii="Arial" w:hAnsi="Arial" w:cs="Arial"/>
          <w:color w:val="000000" w:themeColor="text1"/>
          <w:lang w:val="en-GB"/>
        </w:rPr>
        <w:t>addition of ATT did not have</w:t>
      </w:r>
      <w:r w:rsidR="003070DE" w:rsidRPr="007E4BB2">
        <w:rPr>
          <w:rFonts w:ascii="Arial" w:hAnsi="Arial" w:cs="Arial"/>
          <w:color w:val="000000" w:themeColor="text1"/>
          <w:lang w:val="en-GB"/>
        </w:rPr>
        <w:t xml:space="preserve"> any statistically significant impact on outcome in patients with </w:t>
      </w:r>
      <w:r w:rsidR="00D22CA4" w:rsidRPr="007E4BB2">
        <w:rPr>
          <w:rFonts w:ascii="Arial" w:hAnsi="Arial" w:cs="Arial"/>
          <w:color w:val="000000" w:themeColor="text1"/>
          <w:lang w:val="en-GB"/>
        </w:rPr>
        <w:t>TAU</w:t>
      </w:r>
      <w:r w:rsidR="0086553B" w:rsidRPr="007E4BB2">
        <w:rPr>
          <w:rFonts w:ascii="Arial" w:hAnsi="Arial" w:cs="Arial"/>
          <w:color w:val="000000" w:themeColor="text1"/>
          <w:lang w:val="en-GB"/>
        </w:rPr>
        <w:t xml:space="preserve">. </w:t>
      </w:r>
    </w:p>
    <w:p w14:paraId="51D0D6CB" w14:textId="77777777" w:rsidR="00730B01" w:rsidRPr="007E4BB2" w:rsidRDefault="00730B01" w:rsidP="00EA56B7">
      <w:pPr>
        <w:shd w:val="clear" w:color="auto" w:fill="FFFFFF"/>
        <w:spacing w:after="100"/>
        <w:jc w:val="both"/>
        <w:rPr>
          <w:rFonts w:ascii="Arial" w:hAnsi="Arial" w:cs="Arial"/>
          <w:b/>
          <w:bCs/>
          <w:color w:val="000000" w:themeColor="text1"/>
          <w:lang w:val="en-GB"/>
        </w:rPr>
      </w:pPr>
    </w:p>
    <w:p w14:paraId="53CD1771" w14:textId="77777777" w:rsidR="00730B01" w:rsidRPr="007E4BB2" w:rsidRDefault="00730B01" w:rsidP="00EA56B7">
      <w:pPr>
        <w:shd w:val="clear" w:color="auto" w:fill="FFFFFF"/>
        <w:spacing w:after="100"/>
        <w:jc w:val="both"/>
        <w:rPr>
          <w:rFonts w:ascii="Arial" w:hAnsi="Arial" w:cs="Arial"/>
          <w:b/>
          <w:bCs/>
          <w:color w:val="000000" w:themeColor="text1"/>
          <w:lang w:val="en-GB"/>
        </w:rPr>
      </w:pPr>
    </w:p>
    <w:p w14:paraId="7B04D4C4" w14:textId="3337CAF0" w:rsidR="00EA56B7" w:rsidRPr="007E4BB2" w:rsidRDefault="00EA56B7" w:rsidP="008C236F">
      <w:pPr>
        <w:shd w:val="clear" w:color="auto" w:fill="FFFFFF"/>
        <w:spacing w:line="360" w:lineRule="auto"/>
        <w:jc w:val="both"/>
        <w:rPr>
          <w:rFonts w:ascii="Arial" w:hAnsi="Arial" w:cs="Arial"/>
          <w:color w:val="000000" w:themeColor="text1"/>
          <w:lang w:val="en-GB"/>
        </w:rPr>
      </w:pPr>
      <w:r w:rsidRPr="007E4BB2">
        <w:rPr>
          <w:rFonts w:ascii="Arial" w:hAnsi="Arial" w:cs="Arial"/>
          <w:b/>
          <w:bCs/>
          <w:color w:val="000000" w:themeColor="text1"/>
          <w:lang w:val="en-GB"/>
        </w:rPr>
        <w:t>Keywords:</w:t>
      </w:r>
      <w:r w:rsidR="003070DE" w:rsidRPr="007E4BB2">
        <w:rPr>
          <w:rFonts w:ascii="Arial" w:hAnsi="Arial" w:cs="Arial"/>
          <w:color w:val="000000" w:themeColor="text1"/>
          <w:lang w:val="en-GB"/>
        </w:rPr>
        <w:t xml:space="preserve"> Anti-tubercular therapy;</w:t>
      </w:r>
      <w:r w:rsidRPr="007E4BB2">
        <w:rPr>
          <w:rFonts w:ascii="Arial" w:hAnsi="Arial" w:cs="Arial"/>
          <w:color w:val="000000" w:themeColor="text1"/>
          <w:lang w:val="en-GB"/>
        </w:rPr>
        <w:t xml:space="preserve"> </w:t>
      </w:r>
      <w:r w:rsidR="00730B01" w:rsidRPr="007E4BB2">
        <w:rPr>
          <w:rFonts w:ascii="Arial" w:hAnsi="Arial" w:cs="Arial"/>
          <w:color w:val="000000" w:themeColor="text1"/>
          <w:lang w:val="en-GB"/>
        </w:rPr>
        <w:t xml:space="preserve">tubercular </w:t>
      </w:r>
      <w:r w:rsidR="003070DE" w:rsidRPr="007E4BB2">
        <w:rPr>
          <w:rFonts w:ascii="Arial" w:hAnsi="Arial" w:cs="Arial"/>
          <w:color w:val="000000" w:themeColor="text1"/>
          <w:lang w:val="en-GB"/>
        </w:rPr>
        <w:t xml:space="preserve">anterior uveitis; ocular tuberculosis; </w:t>
      </w:r>
      <w:r w:rsidRPr="007E4BB2">
        <w:rPr>
          <w:rFonts w:ascii="Arial" w:hAnsi="Arial" w:cs="Arial"/>
          <w:color w:val="000000" w:themeColor="text1"/>
          <w:lang w:val="en-GB"/>
        </w:rPr>
        <w:t>uveitis</w:t>
      </w:r>
      <w:r w:rsidR="003070DE" w:rsidRPr="007E4BB2">
        <w:rPr>
          <w:rFonts w:ascii="Arial" w:hAnsi="Arial" w:cs="Arial"/>
          <w:color w:val="000000" w:themeColor="text1"/>
          <w:lang w:val="en-GB"/>
        </w:rPr>
        <w:t xml:space="preserve">; </w:t>
      </w:r>
      <w:r w:rsidR="00730B01" w:rsidRPr="007E4BB2">
        <w:rPr>
          <w:rFonts w:ascii="Arial" w:hAnsi="Arial" w:cs="Arial"/>
          <w:color w:val="000000" w:themeColor="text1"/>
          <w:lang w:val="en-GB"/>
        </w:rPr>
        <w:t>Collaborative Ocular Tuberculosis Study (COTS)</w:t>
      </w:r>
    </w:p>
    <w:p w14:paraId="255D0A7D" w14:textId="77777777" w:rsidR="00023D66" w:rsidRPr="007E4BB2" w:rsidRDefault="00023D66" w:rsidP="008C236F">
      <w:pPr>
        <w:shd w:val="clear" w:color="auto" w:fill="FFFFFF"/>
        <w:spacing w:line="360" w:lineRule="auto"/>
        <w:jc w:val="both"/>
        <w:rPr>
          <w:rFonts w:ascii="Arial" w:hAnsi="Arial" w:cs="Arial"/>
          <w:color w:val="000000" w:themeColor="text1"/>
          <w:lang w:val="en-GB"/>
        </w:rPr>
      </w:pPr>
    </w:p>
    <w:p w14:paraId="4EA2A77F" w14:textId="77777777" w:rsidR="007632ED" w:rsidRPr="007E4BB2" w:rsidRDefault="007632ED" w:rsidP="00023D66">
      <w:pPr>
        <w:shd w:val="clear" w:color="auto" w:fill="FFFFFF"/>
        <w:spacing w:after="100" w:line="360" w:lineRule="auto"/>
        <w:jc w:val="both"/>
        <w:rPr>
          <w:rFonts w:cstheme="minorHAnsi"/>
          <w:color w:val="000000" w:themeColor="text1"/>
          <w:lang w:val="en-GB"/>
        </w:rPr>
      </w:pPr>
    </w:p>
    <w:p w14:paraId="5100A1CE" w14:textId="77777777" w:rsidR="007632ED" w:rsidRPr="007E4BB2" w:rsidRDefault="007632ED" w:rsidP="00023D66">
      <w:pPr>
        <w:shd w:val="clear" w:color="auto" w:fill="FFFFFF"/>
        <w:spacing w:after="100" w:line="360" w:lineRule="auto"/>
        <w:jc w:val="both"/>
        <w:rPr>
          <w:rFonts w:cstheme="minorHAnsi"/>
          <w:color w:val="000000" w:themeColor="text1"/>
          <w:lang w:val="en-GB"/>
        </w:rPr>
      </w:pPr>
    </w:p>
    <w:p w14:paraId="204C408B" w14:textId="77777777" w:rsidR="007632ED" w:rsidRPr="007E4BB2" w:rsidRDefault="007632ED" w:rsidP="00023D66">
      <w:pPr>
        <w:shd w:val="clear" w:color="auto" w:fill="FFFFFF"/>
        <w:spacing w:after="100" w:line="360" w:lineRule="auto"/>
        <w:jc w:val="both"/>
        <w:rPr>
          <w:rFonts w:cstheme="minorHAnsi"/>
          <w:color w:val="000000" w:themeColor="text1"/>
          <w:lang w:val="en-GB"/>
        </w:rPr>
      </w:pPr>
    </w:p>
    <w:p w14:paraId="2854CCC5" w14:textId="2E70DEE1" w:rsidR="007632ED" w:rsidRPr="007E4BB2" w:rsidRDefault="007632ED" w:rsidP="00023D66">
      <w:pPr>
        <w:shd w:val="clear" w:color="auto" w:fill="FFFFFF"/>
        <w:spacing w:after="100" w:line="360" w:lineRule="auto"/>
        <w:jc w:val="both"/>
        <w:rPr>
          <w:rFonts w:cstheme="minorHAnsi"/>
          <w:color w:val="000000" w:themeColor="text1"/>
          <w:lang w:val="en-GB"/>
        </w:rPr>
      </w:pPr>
    </w:p>
    <w:p w14:paraId="3B231C4E" w14:textId="77777777" w:rsidR="00C55C7B" w:rsidRPr="007E4BB2" w:rsidRDefault="00C55C7B" w:rsidP="00023D66">
      <w:pPr>
        <w:shd w:val="clear" w:color="auto" w:fill="FFFFFF"/>
        <w:spacing w:after="100" w:line="360" w:lineRule="auto"/>
        <w:jc w:val="both"/>
        <w:rPr>
          <w:rFonts w:cstheme="minorHAnsi"/>
          <w:color w:val="000000" w:themeColor="text1"/>
          <w:lang w:val="en-GB"/>
        </w:rPr>
      </w:pPr>
    </w:p>
    <w:p w14:paraId="584064DA" w14:textId="24E3FA1A" w:rsidR="007632ED" w:rsidRPr="007E4BB2" w:rsidRDefault="007632ED" w:rsidP="00023D66">
      <w:pPr>
        <w:shd w:val="clear" w:color="auto" w:fill="FFFFFF"/>
        <w:spacing w:after="100" w:line="360" w:lineRule="auto"/>
        <w:jc w:val="both"/>
        <w:rPr>
          <w:rFonts w:cstheme="minorHAnsi"/>
          <w:color w:val="000000" w:themeColor="text1"/>
          <w:lang w:val="en-GB"/>
        </w:rPr>
      </w:pPr>
    </w:p>
    <w:p w14:paraId="58FE7137" w14:textId="344A268B" w:rsidR="00000137" w:rsidRPr="007E4BB2" w:rsidRDefault="00000137" w:rsidP="00023D66">
      <w:pPr>
        <w:shd w:val="clear" w:color="auto" w:fill="FFFFFF"/>
        <w:spacing w:after="100" w:line="360" w:lineRule="auto"/>
        <w:jc w:val="both"/>
        <w:rPr>
          <w:rFonts w:cstheme="minorHAnsi"/>
          <w:color w:val="000000" w:themeColor="text1"/>
          <w:lang w:val="en-GB"/>
        </w:rPr>
      </w:pPr>
    </w:p>
    <w:p w14:paraId="1BB57AFD" w14:textId="77777777" w:rsidR="00000137" w:rsidRPr="007E4BB2" w:rsidRDefault="00000137" w:rsidP="00023D66">
      <w:pPr>
        <w:shd w:val="clear" w:color="auto" w:fill="FFFFFF"/>
        <w:spacing w:after="100" w:line="360" w:lineRule="auto"/>
        <w:jc w:val="both"/>
        <w:rPr>
          <w:rFonts w:cstheme="minorHAnsi"/>
          <w:color w:val="000000" w:themeColor="text1"/>
          <w:lang w:val="en-GB"/>
        </w:rPr>
      </w:pPr>
    </w:p>
    <w:p w14:paraId="548C2A12" w14:textId="1C3C033F" w:rsidR="003070DE" w:rsidRPr="007E4BB2" w:rsidRDefault="003070DE" w:rsidP="00023D66">
      <w:pPr>
        <w:shd w:val="clear" w:color="auto" w:fill="FFFFFF"/>
        <w:spacing w:after="100" w:line="360" w:lineRule="auto"/>
        <w:jc w:val="both"/>
        <w:rPr>
          <w:rFonts w:cstheme="minorHAnsi"/>
          <w:color w:val="000000" w:themeColor="text1"/>
          <w:lang w:val="en-GB"/>
        </w:rPr>
      </w:pPr>
    </w:p>
    <w:p w14:paraId="68A9B6A5" w14:textId="77777777" w:rsidR="00730B01" w:rsidRPr="007E4BB2" w:rsidRDefault="00730B01" w:rsidP="00D165EC">
      <w:pPr>
        <w:shd w:val="clear" w:color="auto" w:fill="FFFFFF"/>
        <w:spacing w:after="100"/>
        <w:rPr>
          <w:rFonts w:cstheme="minorHAnsi"/>
          <w:b/>
          <w:bCs/>
          <w:caps/>
          <w:color w:val="000000" w:themeColor="text1"/>
          <w:lang w:val="en-GB"/>
        </w:rPr>
      </w:pPr>
    </w:p>
    <w:p w14:paraId="1E8F3E50" w14:textId="77777777" w:rsidR="008C236F" w:rsidRPr="007E4BB2" w:rsidRDefault="008C236F" w:rsidP="00BE35E0">
      <w:pPr>
        <w:shd w:val="clear" w:color="auto" w:fill="FFFFFF"/>
        <w:spacing w:after="100"/>
        <w:outlineLvl w:val="0"/>
        <w:rPr>
          <w:rFonts w:ascii="Arial" w:hAnsi="Arial" w:cs="Arial"/>
          <w:b/>
          <w:bCs/>
          <w:caps/>
          <w:color w:val="000000" w:themeColor="text1"/>
          <w:lang w:val="en-GB"/>
        </w:rPr>
      </w:pPr>
    </w:p>
    <w:p w14:paraId="78564F1D" w14:textId="77777777" w:rsidR="008C236F" w:rsidRPr="007E4BB2" w:rsidRDefault="008C236F" w:rsidP="00BE35E0">
      <w:pPr>
        <w:shd w:val="clear" w:color="auto" w:fill="FFFFFF"/>
        <w:spacing w:after="100"/>
        <w:outlineLvl w:val="0"/>
        <w:rPr>
          <w:rFonts w:ascii="Arial" w:hAnsi="Arial" w:cs="Arial"/>
          <w:b/>
          <w:bCs/>
          <w:caps/>
          <w:color w:val="000000" w:themeColor="text1"/>
          <w:lang w:val="en-GB"/>
        </w:rPr>
      </w:pPr>
    </w:p>
    <w:p w14:paraId="7EAE4502" w14:textId="6696CD40" w:rsidR="004B2E8B" w:rsidRPr="007E4BB2" w:rsidRDefault="00A23E6B" w:rsidP="00BE35E0">
      <w:pPr>
        <w:shd w:val="clear" w:color="auto" w:fill="FFFFFF"/>
        <w:spacing w:after="100"/>
        <w:outlineLvl w:val="0"/>
        <w:rPr>
          <w:rFonts w:ascii="Arial" w:hAnsi="Arial" w:cs="Arial"/>
          <w:b/>
          <w:bCs/>
          <w:caps/>
          <w:color w:val="000000" w:themeColor="text1"/>
          <w:lang w:val="en-GB"/>
        </w:rPr>
      </w:pPr>
      <w:r w:rsidRPr="007E4BB2">
        <w:rPr>
          <w:rFonts w:ascii="Arial" w:hAnsi="Arial" w:cs="Arial"/>
          <w:b/>
          <w:bCs/>
          <w:caps/>
          <w:color w:val="000000" w:themeColor="text1"/>
          <w:lang w:val="en-GB"/>
        </w:rPr>
        <w:lastRenderedPageBreak/>
        <w:t>Introduction</w:t>
      </w:r>
    </w:p>
    <w:p w14:paraId="424CFB79" w14:textId="77777777" w:rsidR="00BE35E0" w:rsidRPr="007E4BB2" w:rsidRDefault="00BE35E0" w:rsidP="00BE35E0">
      <w:pPr>
        <w:shd w:val="clear" w:color="auto" w:fill="FFFFFF"/>
        <w:spacing w:after="100"/>
        <w:outlineLvl w:val="0"/>
        <w:rPr>
          <w:rFonts w:ascii="Arial" w:hAnsi="Arial" w:cs="Arial"/>
          <w:b/>
          <w:bCs/>
          <w:caps/>
          <w:color w:val="000000" w:themeColor="text1"/>
          <w:lang w:val="en-GB"/>
        </w:rPr>
      </w:pPr>
    </w:p>
    <w:p w14:paraId="4ECC4B61" w14:textId="09FF55F6" w:rsidR="00FC5A4A" w:rsidRPr="007E4BB2" w:rsidRDefault="00A23E6B" w:rsidP="00FC5A4A">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Tuberculosis</w:t>
      </w:r>
      <w:r w:rsidR="00D22CA4" w:rsidRPr="007E4BB2">
        <w:rPr>
          <w:rFonts w:ascii="Arial" w:hAnsi="Arial" w:cs="Arial"/>
          <w:color w:val="000000" w:themeColor="text1"/>
          <w:lang w:val="en-GB"/>
        </w:rPr>
        <w:t xml:space="preserve"> (TB)</w:t>
      </w:r>
      <w:r w:rsidR="00BF4A68" w:rsidRPr="007E4BB2">
        <w:rPr>
          <w:rFonts w:ascii="Arial" w:hAnsi="Arial" w:cs="Arial"/>
          <w:color w:val="000000" w:themeColor="text1"/>
          <w:lang w:val="en-GB"/>
        </w:rPr>
        <w:t xml:space="preserve"> is one of the most significant global diseases with a substantial burden on healthcare system</w:t>
      </w:r>
      <w:r w:rsidR="00642426" w:rsidRPr="007E4BB2">
        <w:rPr>
          <w:rFonts w:ascii="Arial" w:hAnsi="Arial" w:cs="Arial"/>
          <w:color w:val="000000" w:themeColor="text1"/>
          <w:lang w:val="en-GB"/>
        </w:rPr>
        <w:t xml:space="preserve">s </w:t>
      </w:r>
      <w:r w:rsidR="000B102D" w:rsidRPr="007E4BB2">
        <w:rPr>
          <w:rFonts w:ascii="Arial" w:hAnsi="Arial" w:cs="Arial"/>
          <w:color w:val="000000" w:themeColor="text1"/>
          <w:lang w:val="en-GB"/>
        </w:rPr>
        <w:t>worldwide</w:t>
      </w:r>
      <w:r w:rsidR="00C07D9E" w:rsidRPr="007E4BB2">
        <w:rPr>
          <w:rFonts w:ascii="Arial" w:hAnsi="Arial" w:cs="Arial"/>
          <w:color w:val="000000" w:themeColor="text1"/>
          <w:lang w:val="en-GB"/>
        </w:rPr>
        <w:t>,</w:t>
      </w:r>
      <w:r w:rsidR="00CB0A49" w:rsidRPr="007E4BB2">
        <w:rPr>
          <w:rFonts w:ascii="Arial" w:hAnsi="Arial" w:cs="Arial"/>
          <w:color w:val="000000" w:themeColor="text1"/>
          <w:lang w:val="en-GB"/>
        </w:rPr>
        <w:t xml:space="preserve"> </w:t>
      </w:r>
      <w:r w:rsidR="00C07D9E" w:rsidRPr="007E4BB2">
        <w:rPr>
          <w:rFonts w:ascii="Arial" w:hAnsi="Arial" w:cs="Arial"/>
          <w:color w:val="000000" w:themeColor="text1"/>
          <w:lang w:val="en-GB"/>
        </w:rPr>
        <w:t>with the World Health Organization estimating that TB costs the world over $21 billion each year collectively</w:t>
      </w:r>
      <w:r w:rsidR="00BF4A68" w:rsidRPr="007E4BB2">
        <w:rPr>
          <w:rFonts w:ascii="Arial" w:hAnsi="Arial" w:cs="Arial"/>
          <w:color w:val="000000" w:themeColor="text1"/>
          <w:lang w:val="en-GB"/>
        </w:rPr>
        <w:t>.</w:t>
      </w:r>
      <w:r w:rsidR="00CB0A49" w:rsidRPr="007E4BB2">
        <w:rPr>
          <w:rFonts w:ascii="Arial" w:hAnsi="Arial" w:cs="Arial"/>
          <w:color w:val="000000" w:themeColor="text1"/>
          <w:vertAlign w:val="superscript"/>
          <w:lang w:val="en-GB"/>
        </w:rPr>
        <w:t>1</w:t>
      </w:r>
      <w:r w:rsidR="00411C30" w:rsidRPr="007E4BB2">
        <w:rPr>
          <w:rFonts w:ascii="Arial" w:hAnsi="Arial" w:cs="Arial"/>
          <w:color w:val="000000" w:themeColor="text1"/>
          <w:lang w:val="en-GB"/>
        </w:rPr>
        <w:t xml:space="preserve"> The </w:t>
      </w:r>
      <w:r w:rsidR="00642426" w:rsidRPr="007E4BB2">
        <w:rPr>
          <w:rFonts w:ascii="Arial" w:hAnsi="Arial" w:cs="Arial"/>
          <w:color w:val="000000" w:themeColor="text1"/>
          <w:lang w:val="en-GB"/>
        </w:rPr>
        <w:t>large pool</w:t>
      </w:r>
      <w:r w:rsidR="00411C30" w:rsidRPr="007E4BB2">
        <w:rPr>
          <w:rFonts w:ascii="Arial" w:hAnsi="Arial" w:cs="Arial"/>
          <w:color w:val="000000" w:themeColor="text1"/>
          <w:lang w:val="en-GB"/>
        </w:rPr>
        <w:t xml:space="preserve"> of</w:t>
      </w:r>
      <w:r w:rsidR="00237D1D" w:rsidRPr="007E4BB2">
        <w:rPr>
          <w:rFonts w:ascii="Arial" w:hAnsi="Arial" w:cs="Arial"/>
          <w:color w:val="000000" w:themeColor="text1"/>
          <w:lang w:val="en-GB"/>
        </w:rPr>
        <w:t xml:space="preserve"> </w:t>
      </w:r>
      <w:r w:rsidR="00642426" w:rsidRPr="007E4BB2">
        <w:rPr>
          <w:rFonts w:ascii="Arial" w:hAnsi="Arial" w:cs="Arial"/>
          <w:color w:val="000000" w:themeColor="text1"/>
          <w:lang w:val="en-GB"/>
        </w:rPr>
        <w:t xml:space="preserve">latent </w:t>
      </w:r>
      <w:r w:rsidR="002647C7" w:rsidRPr="007E4BB2">
        <w:rPr>
          <w:rFonts w:ascii="Arial" w:hAnsi="Arial" w:cs="Arial"/>
          <w:i/>
          <w:color w:val="000000" w:themeColor="text1"/>
          <w:lang w:val="en-GB"/>
        </w:rPr>
        <w:t xml:space="preserve">Mycobacterium </w:t>
      </w:r>
      <w:r w:rsidR="006A6D1A" w:rsidRPr="007E4BB2">
        <w:rPr>
          <w:rFonts w:ascii="Arial" w:hAnsi="Arial" w:cs="Arial"/>
          <w:i/>
          <w:color w:val="000000" w:themeColor="text1"/>
          <w:lang w:val="en-GB"/>
        </w:rPr>
        <w:t>tuberculosis (Mtb)</w:t>
      </w:r>
      <w:r w:rsidR="006A6D1A" w:rsidRPr="007E4BB2">
        <w:rPr>
          <w:rFonts w:ascii="Arial" w:hAnsi="Arial" w:cs="Arial"/>
          <w:color w:val="000000" w:themeColor="text1"/>
          <w:lang w:val="en-GB"/>
        </w:rPr>
        <w:t xml:space="preserve"> </w:t>
      </w:r>
      <w:r w:rsidR="00411C30" w:rsidRPr="007E4BB2">
        <w:rPr>
          <w:rFonts w:ascii="Arial" w:hAnsi="Arial" w:cs="Arial"/>
          <w:color w:val="000000" w:themeColor="text1"/>
          <w:lang w:val="en-GB"/>
        </w:rPr>
        <w:t xml:space="preserve">contributes to the difficulty of its eradication. It is estimated that </w:t>
      </w:r>
      <w:r w:rsidR="00D22CA4" w:rsidRPr="007E4BB2">
        <w:rPr>
          <w:rFonts w:ascii="Arial" w:hAnsi="Arial" w:cs="Arial"/>
          <w:color w:val="000000" w:themeColor="text1"/>
          <w:lang w:val="en-GB"/>
        </w:rPr>
        <w:t xml:space="preserve">around </w:t>
      </w:r>
      <w:r w:rsidR="00411C30" w:rsidRPr="007E4BB2">
        <w:rPr>
          <w:rFonts w:ascii="Arial" w:hAnsi="Arial" w:cs="Arial"/>
          <w:color w:val="000000" w:themeColor="text1"/>
          <w:lang w:val="en-GB"/>
        </w:rPr>
        <w:t xml:space="preserve">a third of the global population </w:t>
      </w:r>
      <w:r w:rsidR="00D22CA4" w:rsidRPr="007E4BB2">
        <w:rPr>
          <w:rFonts w:ascii="Arial" w:hAnsi="Arial" w:cs="Arial"/>
          <w:color w:val="000000" w:themeColor="text1"/>
          <w:lang w:val="en-GB"/>
        </w:rPr>
        <w:t xml:space="preserve">has been </w:t>
      </w:r>
      <w:r w:rsidR="00411C30" w:rsidRPr="007E4BB2">
        <w:rPr>
          <w:rFonts w:ascii="Arial" w:hAnsi="Arial" w:cs="Arial"/>
          <w:color w:val="000000" w:themeColor="text1"/>
          <w:lang w:val="en-GB"/>
        </w:rPr>
        <w:t xml:space="preserve">infected </w:t>
      </w:r>
      <w:r w:rsidR="00D22CA4" w:rsidRPr="007E4BB2">
        <w:rPr>
          <w:rFonts w:ascii="Arial" w:hAnsi="Arial" w:cs="Arial"/>
          <w:color w:val="000000" w:themeColor="text1"/>
          <w:lang w:val="en-GB"/>
        </w:rPr>
        <w:t xml:space="preserve">by </w:t>
      </w:r>
      <w:r w:rsidR="0098555E" w:rsidRPr="007E4BB2">
        <w:rPr>
          <w:rFonts w:ascii="Arial" w:hAnsi="Arial" w:cs="Arial"/>
          <w:i/>
          <w:color w:val="000000" w:themeColor="text1"/>
          <w:lang w:val="en-GB"/>
        </w:rPr>
        <w:t>Mtb</w:t>
      </w:r>
      <w:r w:rsidR="00411C30" w:rsidRPr="007E4BB2">
        <w:rPr>
          <w:rFonts w:ascii="Arial" w:hAnsi="Arial" w:cs="Arial"/>
          <w:color w:val="000000" w:themeColor="text1"/>
          <w:lang w:val="en-GB"/>
        </w:rPr>
        <w:t xml:space="preserve">, </w:t>
      </w:r>
      <w:r w:rsidR="00D22CA4" w:rsidRPr="007E4BB2">
        <w:rPr>
          <w:rFonts w:ascii="Arial" w:hAnsi="Arial" w:cs="Arial"/>
          <w:color w:val="000000" w:themeColor="text1"/>
          <w:lang w:val="en-GB"/>
        </w:rPr>
        <w:t xml:space="preserve">and </w:t>
      </w:r>
      <w:r w:rsidR="00411C30" w:rsidRPr="007E4BB2">
        <w:rPr>
          <w:rFonts w:ascii="Arial" w:hAnsi="Arial" w:cs="Arial"/>
          <w:color w:val="000000" w:themeColor="text1"/>
          <w:lang w:val="en-GB"/>
        </w:rPr>
        <w:t xml:space="preserve">most of </w:t>
      </w:r>
      <w:r w:rsidR="00D22CA4" w:rsidRPr="007E4BB2">
        <w:rPr>
          <w:rFonts w:ascii="Arial" w:hAnsi="Arial" w:cs="Arial"/>
          <w:color w:val="000000" w:themeColor="text1"/>
          <w:lang w:val="en-GB"/>
        </w:rPr>
        <w:t xml:space="preserve">them </w:t>
      </w:r>
      <w:r w:rsidR="00411C30" w:rsidRPr="007E4BB2">
        <w:rPr>
          <w:rFonts w:ascii="Arial" w:hAnsi="Arial" w:cs="Arial"/>
          <w:color w:val="000000" w:themeColor="text1"/>
          <w:lang w:val="en-GB"/>
        </w:rPr>
        <w:t>are asymptomatic.</w:t>
      </w:r>
      <w:r w:rsidR="00CB0A49" w:rsidRPr="007E4BB2">
        <w:rPr>
          <w:rFonts w:ascii="Arial" w:hAnsi="Arial" w:cs="Arial"/>
          <w:color w:val="000000" w:themeColor="text1"/>
          <w:vertAlign w:val="superscript"/>
          <w:lang w:val="en-GB"/>
        </w:rPr>
        <w:t>2</w:t>
      </w:r>
      <w:r w:rsidR="00BF4A68" w:rsidRPr="007E4BB2">
        <w:rPr>
          <w:rFonts w:ascii="Arial" w:hAnsi="Arial" w:cs="Arial"/>
          <w:color w:val="000000" w:themeColor="text1"/>
          <w:lang w:val="en-GB"/>
        </w:rPr>
        <w:t xml:space="preserve"> </w:t>
      </w:r>
      <w:r w:rsidR="00822E0B" w:rsidRPr="007E4BB2">
        <w:rPr>
          <w:rFonts w:ascii="Arial" w:hAnsi="Arial" w:cs="Arial"/>
          <w:color w:val="000000" w:themeColor="text1"/>
          <w:lang w:val="en-GB"/>
        </w:rPr>
        <w:t xml:space="preserve">When active, </w:t>
      </w:r>
      <w:r w:rsidR="0098555E" w:rsidRPr="007E4BB2">
        <w:rPr>
          <w:rFonts w:ascii="Arial" w:hAnsi="Arial" w:cs="Arial"/>
          <w:i/>
          <w:color w:val="000000" w:themeColor="text1"/>
          <w:lang w:val="en-GB"/>
        </w:rPr>
        <w:t xml:space="preserve">Mtb </w:t>
      </w:r>
      <w:r w:rsidR="00822E0B" w:rsidRPr="007E4BB2">
        <w:rPr>
          <w:rFonts w:ascii="Arial" w:hAnsi="Arial" w:cs="Arial"/>
          <w:color w:val="000000" w:themeColor="text1"/>
          <w:lang w:val="en-GB"/>
        </w:rPr>
        <w:t>may disseminate haematogenously from the pulmonary tissue, resulting in extrapulmonary manifestatio</w:t>
      </w:r>
      <w:r w:rsidR="00D22CA4" w:rsidRPr="007E4BB2">
        <w:rPr>
          <w:rFonts w:ascii="Arial" w:hAnsi="Arial" w:cs="Arial"/>
          <w:color w:val="000000" w:themeColor="text1"/>
          <w:lang w:val="en-GB"/>
        </w:rPr>
        <w:t xml:space="preserve">ns. </w:t>
      </w:r>
      <w:r w:rsidR="00411C30" w:rsidRPr="007E4BB2">
        <w:rPr>
          <w:rFonts w:ascii="Arial" w:hAnsi="Arial" w:cs="Arial"/>
          <w:color w:val="000000" w:themeColor="text1"/>
          <w:lang w:val="en-GB"/>
        </w:rPr>
        <w:t>Ocular T</w:t>
      </w:r>
      <w:r w:rsidR="00BF4A68" w:rsidRPr="007E4BB2">
        <w:rPr>
          <w:rFonts w:ascii="Arial" w:hAnsi="Arial" w:cs="Arial"/>
          <w:color w:val="000000" w:themeColor="text1"/>
          <w:lang w:val="en-GB"/>
        </w:rPr>
        <w:t xml:space="preserve">uberculosis (OTB) is </w:t>
      </w:r>
      <w:r w:rsidR="00D22CA4" w:rsidRPr="007E4BB2">
        <w:rPr>
          <w:rFonts w:ascii="Arial" w:hAnsi="Arial" w:cs="Arial"/>
          <w:color w:val="000000" w:themeColor="text1"/>
          <w:lang w:val="en-GB"/>
        </w:rPr>
        <w:t>one of the extrapulmonary</w:t>
      </w:r>
      <w:r w:rsidR="00822E0B" w:rsidRPr="007E4BB2">
        <w:rPr>
          <w:rFonts w:ascii="Arial" w:hAnsi="Arial" w:cs="Arial"/>
          <w:color w:val="000000" w:themeColor="text1"/>
          <w:lang w:val="en-GB"/>
        </w:rPr>
        <w:t xml:space="preserve"> </w:t>
      </w:r>
      <w:r w:rsidR="00BF4A68" w:rsidRPr="007E4BB2">
        <w:rPr>
          <w:rFonts w:ascii="Arial" w:hAnsi="Arial" w:cs="Arial"/>
          <w:color w:val="000000" w:themeColor="text1"/>
          <w:lang w:val="en-GB"/>
        </w:rPr>
        <w:t>manifestation</w:t>
      </w:r>
      <w:r w:rsidR="00D22CA4" w:rsidRPr="007E4BB2">
        <w:rPr>
          <w:rFonts w:ascii="Arial" w:hAnsi="Arial" w:cs="Arial"/>
          <w:color w:val="000000" w:themeColor="text1"/>
          <w:lang w:val="en-GB"/>
        </w:rPr>
        <w:t>s of the disease. R</w:t>
      </w:r>
      <w:r w:rsidR="00BF4A68" w:rsidRPr="007E4BB2">
        <w:rPr>
          <w:rFonts w:ascii="Arial" w:hAnsi="Arial" w:cs="Arial"/>
          <w:color w:val="000000" w:themeColor="text1"/>
          <w:lang w:val="en-GB"/>
        </w:rPr>
        <w:t>eports on its incidence and prevalence vary amongst global centres due to epidemiological differences.</w:t>
      </w:r>
      <w:r w:rsidR="00CB0A49" w:rsidRPr="007E4BB2">
        <w:rPr>
          <w:rFonts w:ascii="Arial" w:hAnsi="Arial" w:cs="Arial"/>
          <w:color w:val="000000" w:themeColor="text1"/>
          <w:vertAlign w:val="superscript"/>
          <w:lang w:val="en-GB"/>
        </w:rPr>
        <w:t>3</w:t>
      </w:r>
      <w:r w:rsidR="00BC49B5" w:rsidRPr="007E4BB2">
        <w:rPr>
          <w:rFonts w:ascii="Arial" w:hAnsi="Arial" w:cs="Arial"/>
          <w:color w:val="000000" w:themeColor="text1"/>
          <w:lang w:val="en-GB"/>
        </w:rPr>
        <w:t xml:space="preserve"> </w:t>
      </w:r>
      <w:r w:rsidR="00704841" w:rsidRPr="007E4BB2">
        <w:rPr>
          <w:rFonts w:ascii="Arial" w:hAnsi="Arial" w:cs="Arial"/>
          <w:color w:val="000000" w:themeColor="text1"/>
          <w:lang w:val="en-GB"/>
        </w:rPr>
        <w:t>Estimates from cross-sectional studies place TB incidence in non-endemic regions, such as Europe and USA, at 1% - 4%, while it might be as high as 10%–26% in highly endemic regions</w:t>
      </w:r>
      <w:r w:rsidR="00D22CA4" w:rsidRPr="007E4BB2">
        <w:rPr>
          <w:rFonts w:ascii="Arial" w:hAnsi="Arial" w:cs="Arial"/>
          <w:color w:val="000000" w:themeColor="text1"/>
          <w:lang w:val="en-GB"/>
        </w:rPr>
        <w:t xml:space="preserve">, </w:t>
      </w:r>
      <w:r w:rsidR="00704841" w:rsidRPr="007E4BB2">
        <w:rPr>
          <w:rFonts w:ascii="Arial" w:hAnsi="Arial" w:cs="Arial"/>
          <w:color w:val="000000" w:themeColor="text1"/>
          <w:lang w:val="en-GB"/>
        </w:rPr>
        <w:t>such as India and Saudi Arabia</w:t>
      </w:r>
      <w:r w:rsidR="00DC6649" w:rsidRPr="007E4BB2">
        <w:rPr>
          <w:rFonts w:ascii="Arial" w:hAnsi="Arial" w:cs="Arial"/>
          <w:color w:val="000000" w:themeColor="text1"/>
          <w:lang w:val="en-GB"/>
        </w:rPr>
        <w:t>.</w:t>
      </w:r>
      <w:r w:rsidR="00CB0A49" w:rsidRPr="007E4BB2">
        <w:rPr>
          <w:rFonts w:ascii="Arial" w:hAnsi="Arial" w:cs="Arial"/>
          <w:color w:val="000000" w:themeColor="text1"/>
          <w:vertAlign w:val="superscript"/>
          <w:lang w:val="en-GB"/>
        </w:rPr>
        <w:t>4</w:t>
      </w:r>
      <w:r w:rsidR="00FC5A4A" w:rsidRPr="007E4BB2">
        <w:rPr>
          <w:rFonts w:ascii="Arial" w:hAnsi="Arial" w:cs="Arial"/>
          <w:color w:val="000000" w:themeColor="text1"/>
          <w:lang w:val="en-GB"/>
        </w:rPr>
        <w:t xml:space="preserve"> </w:t>
      </w:r>
    </w:p>
    <w:p w14:paraId="67E799E4" w14:textId="1BDAD363" w:rsidR="00704841" w:rsidRPr="007E4BB2" w:rsidRDefault="00FC5A4A" w:rsidP="00021ADE">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Uveitis is the most common presentation of OTB</w:t>
      </w:r>
      <w:r w:rsidR="00D22CA4" w:rsidRPr="007E4BB2">
        <w:rPr>
          <w:rFonts w:ascii="Arial" w:hAnsi="Arial" w:cs="Arial"/>
          <w:color w:val="000000" w:themeColor="text1"/>
          <w:lang w:val="en-GB"/>
        </w:rPr>
        <w:t xml:space="preserve">. </w:t>
      </w:r>
      <w:r w:rsidRPr="007E4BB2">
        <w:rPr>
          <w:rFonts w:ascii="Arial" w:hAnsi="Arial" w:cs="Arial"/>
          <w:color w:val="000000" w:themeColor="text1"/>
          <w:lang w:val="en-GB"/>
        </w:rPr>
        <w:t>Gupta et al. described the distribution of uveal involvement in patients with a presumptive diagnosis of</w:t>
      </w:r>
      <w:r w:rsidR="00D22CA4" w:rsidRPr="007E4BB2">
        <w:rPr>
          <w:rFonts w:ascii="Arial" w:hAnsi="Arial" w:cs="Arial"/>
          <w:color w:val="000000" w:themeColor="text1"/>
          <w:lang w:val="en-GB"/>
        </w:rPr>
        <w:t xml:space="preserve"> tubercular uveitis (</w:t>
      </w:r>
      <w:r w:rsidRPr="007E4BB2">
        <w:rPr>
          <w:rFonts w:ascii="Arial" w:hAnsi="Arial" w:cs="Arial"/>
          <w:color w:val="000000" w:themeColor="text1"/>
          <w:lang w:val="en-GB"/>
        </w:rPr>
        <w:t>TBU</w:t>
      </w:r>
      <w:r w:rsidR="00D22CA4" w:rsidRPr="007E4BB2">
        <w:rPr>
          <w:rFonts w:ascii="Arial" w:hAnsi="Arial" w:cs="Arial"/>
          <w:color w:val="000000" w:themeColor="text1"/>
          <w:lang w:val="en-GB"/>
        </w:rPr>
        <w:t>)</w:t>
      </w:r>
      <w:r w:rsidRPr="007E4BB2">
        <w:rPr>
          <w:rFonts w:ascii="Arial" w:hAnsi="Arial" w:cs="Arial"/>
          <w:color w:val="000000" w:themeColor="text1"/>
          <w:lang w:val="en-GB"/>
        </w:rPr>
        <w:t>.</w:t>
      </w:r>
      <w:r w:rsidR="00CB0A49" w:rsidRPr="007E4BB2">
        <w:rPr>
          <w:rFonts w:ascii="Arial" w:hAnsi="Arial" w:cs="Arial"/>
          <w:color w:val="000000" w:themeColor="text1"/>
          <w:vertAlign w:val="superscript"/>
          <w:lang w:val="en-GB"/>
        </w:rPr>
        <w:t>5</w:t>
      </w:r>
      <w:r w:rsidRPr="007E4BB2">
        <w:rPr>
          <w:rFonts w:ascii="Arial" w:hAnsi="Arial" w:cs="Arial"/>
          <w:color w:val="000000" w:themeColor="text1"/>
          <w:lang w:val="en-GB"/>
        </w:rPr>
        <w:t xml:space="preserve"> Out of 182 participants, 70 (39%) had posterior uveitis, 53 (29%) had anterior uveitis, 29 (16%) had intermediate uveitis, and 30 (16%) had panuveitis. </w:t>
      </w:r>
    </w:p>
    <w:p w14:paraId="28CB70DC" w14:textId="13B62519" w:rsidR="004E3ED8" w:rsidRPr="007E4BB2" w:rsidRDefault="00642426" w:rsidP="00021ADE">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The d</w:t>
      </w:r>
      <w:r w:rsidR="00C15EBE" w:rsidRPr="007E4BB2">
        <w:rPr>
          <w:rFonts w:ascii="Arial" w:hAnsi="Arial" w:cs="Arial"/>
          <w:color w:val="000000" w:themeColor="text1"/>
          <w:lang w:val="en-GB"/>
        </w:rPr>
        <w:t>iagnosis of OTB is usually presumpti</w:t>
      </w:r>
      <w:r w:rsidR="00CB0A49" w:rsidRPr="007E4BB2">
        <w:rPr>
          <w:rFonts w:ascii="Arial" w:hAnsi="Arial" w:cs="Arial"/>
          <w:color w:val="000000" w:themeColor="text1"/>
          <w:lang w:val="en-GB"/>
        </w:rPr>
        <w:t>ve</w:t>
      </w:r>
      <w:r w:rsidR="00C15EBE" w:rsidRPr="007E4BB2">
        <w:rPr>
          <w:rFonts w:ascii="Arial" w:hAnsi="Arial" w:cs="Arial"/>
          <w:color w:val="000000" w:themeColor="text1"/>
          <w:lang w:val="en-GB"/>
        </w:rPr>
        <w:t xml:space="preserve">, made empirically in the presence of corroborating features, </w:t>
      </w:r>
      <w:r w:rsidR="00E61404" w:rsidRPr="007E4BB2">
        <w:rPr>
          <w:rFonts w:ascii="Arial" w:hAnsi="Arial" w:cs="Arial"/>
          <w:color w:val="000000" w:themeColor="text1"/>
          <w:lang w:val="en-GB"/>
        </w:rPr>
        <w:t xml:space="preserve">exclusion </w:t>
      </w:r>
      <w:r w:rsidR="00C15EBE" w:rsidRPr="007E4BB2">
        <w:rPr>
          <w:rFonts w:ascii="Arial" w:hAnsi="Arial" w:cs="Arial"/>
          <w:color w:val="000000" w:themeColor="text1"/>
          <w:lang w:val="en-GB"/>
        </w:rPr>
        <w:t xml:space="preserve"> of differential</w:t>
      </w:r>
      <w:r w:rsidR="00AA6B99" w:rsidRPr="007E4BB2">
        <w:rPr>
          <w:rFonts w:ascii="Arial" w:hAnsi="Arial" w:cs="Arial"/>
          <w:color w:val="000000" w:themeColor="text1"/>
          <w:lang w:val="en-GB"/>
        </w:rPr>
        <w:t xml:space="preserve"> diagnose</w:t>
      </w:r>
      <w:r w:rsidR="00C15EBE" w:rsidRPr="007E4BB2">
        <w:rPr>
          <w:rFonts w:ascii="Arial" w:hAnsi="Arial" w:cs="Arial"/>
          <w:color w:val="000000" w:themeColor="text1"/>
          <w:lang w:val="en-GB"/>
        </w:rPr>
        <w:t xml:space="preserve">s, and physician expertise </w:t>
      </w:r>
      <w:r w:rsidR="00AA6B99" w:rsidRPr="007E4BB2">
        <w:rPr>
          <w:rFonts w:ascii="Arial" w:hAnsi="Arial" w:cs="Arial"/>
          <w:color w:val="000000" w:themeColor="text1"/>
          <w:lang w:val="en-GB"/>
        </w:rPr>
        <w:t xml:space="preserve">taking into account the </w:t>
      </w:r>
      <w:r w:rsidR="00C15EBE" w:rsidRPr="007E4BB2">
        <w:rPr>
          <w:rFonts w:ascii="Arial" w:hAnsi="Arial" w:cs="Arial"/>
          <w:color w:val="000000" w:themeColor="text1"/>
          <w:lang w:val="en-GB"/>
        </w:rPr>
        <w:t>local epidemiology.</w:t>
      </w:r>
      <w:r w:rsidR="00CB0A49" w:rsidRPr="007E4BB2">
        <w:rPr>
          <w:rFonts w:ascii="Arial" w:hAnsi="Arial" w:cs="Arial"/>
          <w:color w:val="000000" w:themeColor="text1"/>
          <w:vertAlign w:val="superscript"/>
          <w:lang w:val="en-GB"/>
        </w:rPr>
        <w:t>6,7</w:t>
      </w:r>
      <w:r w:rsidR="00C15EBE" w:rsidRPr="007E4BB2">
        <w:rPr>
          <w:rFonts w:ascii="Arial" w:hAnsi="Arial" w:cs="Arial"/>
          <w:color w:val="000000" w:themeColor="text1"/>
          <w:lang w:val="en-GB"/>
        </w:rPr>
        <w:t xml:space="preserve"> The traditional time-consuming method of culturing ocular fluid-derived samples for the presence of </w:t>
      </w:r>
      <w:r w:rsidR="00C15EBE" w:rsidRPr="007E4BB2">
        <w:rPr>
          <w:rFonts w:ascii="Arial" w:hAnsi="Arial" w:cs="Arial"/>
          <w:i/>
          <w:iCs/>
          <w:color w:val="000000" w:themeColor="text1"/>
          <w:lang w:val="en-GB"/>
        </w:rPr>
        <w:t>M.</w:t>
      </w:r>
      <w:r w:rsidR="00AA6B99" w:rsidRPr="007E4BB2">
        <w:rPr>
          <w:rFonts w:ascii="Arial" w:hAnsi="Arial" w:cs="Arial"/>
          <w:i/>
          <w:iCs/>
          <w:color w:val="000000" w:themeColor="text1"/>
          <w:lang w:val="en-GB"/>
        </w:rPr>
        <w:t xml:space="preserve"> </w:t>
      </w:r>
      <w:r w:rsidR="00C15EBE" w:rsidRPr="007E4BB2">
        <w:rPr>
          <w:rFonts w:ascii="Arial" w:hAnsi="Arial" w:cs="Arial"/>
          <w:i/>
          <w:iCs/>
          <w:color w:val="000000" w:themeColor="text1"/>
          <w:lang w:val="en-GB"/>
        </w:rPr>
        <w:t>tuberculosis</w:t>
      </w:r>
      <w:r w:rsidR="0098555E" w:rsidRPr="007E4BB2" w:rsidDel="0098555E">
        <w:rPr>
          <w:rFonts w:ascii="Arial" w:hAnsi="Arial" w:cs="Arial"/>
          <w:i/>
          <w:color w:val="000000" w:themeColor="text1"/>
          <w:lang w:val="en-GB"/>
        </w:rPr>
        <w:t xml:space="preserve"> </w:t>
      </w:r>
      <w:r w:rsidR="00C15EBE" w:rsidRPr="007E4BB2">
        <w:rPr>
          <w:rFonts w:ascii="Arial" w:hAnsi="Arial" w:cs="Arial"/>
          <w:color w:val="000000" w:themeColor="text1"/>
          <w:lang w:val="en-GB"/>
        </w:rPr>
        <w:t xml:space="preserve">remains the only unambiguous clinical diagnostic test of active TB to date, </w:t>
      </w:r>
      <w:r w:rsidR="000B102D" w:rsidRPr="007E4BB2">
        <w:rPr>
          <w:rFonts w:ascii="Arial" w:hAnsi="Arial" w:cs="Arial"/>
          <w:color w:val="000000" w:themeColor="text1"/>
          <w:lang w:val="en-GB"/>
        </w:rPr>
        <w:t xml:space="preserve">with associated risks given that it is an invasive test. Furthermore, </w:t>
      </w:r>
      <w:r w:rsidR="00C15EBE" w:rsidRPr="007E4BB2">
        <w:rPr>
          <w:rFonts w:ascii="Arial" w:hAnsi="Arial" w:cs="Arial"/>
          <w:color w:val="000000" w:themeColor="text1"/>
          <w:lang w:val="en-GB"/>
        </w:rPr>
        <w:t xml:space="preserve">clinicians face difficulties when electing to use other tests, such as </w:t>
      </w:r>
      <w:r w:rsidRPr="007E4BB2">
        <w:rPr>
          <w:rFonts w:ascii="Arial" w:hAnsi="Arial" w:cs="Arial"/>
          <w:color w:val="000000" w:themeColor="text1"/>
          <w:lang w:val="en-GB"/>
        </w:rPr>
        <w:t>Interferon Gamma Release Assays (IGRA)</w:t>
      </w:r>
      <w:r w:rsidR="00C15EBE" w:rsidRPr="007E4BB2">
        <w:rPr>
          <w:rFonts w:ascii="Arial" w:hAnsi="Arial" w:cs="Arial"/>
          <w:color w:val="000000" w:themeColor="text1"/>
          <w:lang w:val="en-GB"/>
        </w:rPr>
        <w:t>, Mantoux Skin Test</w:t>
      </w:r>
      <w:r w:rsidRPr="007E4BB2">
        <w:rPr>
          <w:rFonts w:ascii="Arial" w:hAnsi="Arial" w:cs="Arial"/>
          <w:color w:val="000000" w:themeColor="text1"/>
          <w:lang w:val="en-GB"/>
        </w:rPr>
        <w:t>s</w:t>
      </w:r>
      <w:r w:rsidR="00D22CA4" w:rsidRPr="007E4BB2">
        <w:rPr>
          <w:rFonts w:ascii="Arial" w:hAnsi="Arial" w:cs="Arial"/>
          <w:color w:val="000000" w:themeColor="text1"/>
          <w:lang w:val="en-GB"/>
        </w:rPr>
        <w:t xml:space="preserve">, chest X-Rays, </w:t>
      </w:r>
      <w:r w:rsidR="00C15EBE" w:rsidRPr="007E4BB2">
        <w:rPr>
          <w:rFonts w:ascii="Arial" w:hAnsi="Arial" w:cs="Arial"/>
          <w:color w:val="000000" w:themeColor="text1"/>
          <w:lang w:val="en-GB"/>
        </w:rPr>
        <w:t xml:space="preserve"> and polymerase chain reaction (PCR) assays </w:t>
      </w:r>
      <w:r w:rsidR="000B102D" w:rsidRPr="007E4BB2">
        <w:rPr>
          <w:rFonts w:ascii="Arial" w:hAnsi="Arial" w:cs="Arial"/>
          <w:color w:val="000000" w:themeColor="text1"/>
          <w:lang w:val="en-GB"/>
        </w:rPr>
        <w:t>given variable performance of these tests in terms of sensitivity and specificity for the detection of TB</w:t>
      </w:r>
      <w:r w:rsidR="00C15EBE" w:rsidRPr="007E4BB2">
        <w:rPr>
          <w:rFonts w:ascii="Arial" w:hAnsi="Arial" w:cs="Arial"/>
          <w:color w:val="000000" w:themeColor="text1"/>
          <w:lang w:val="en-GB"/>
        </w:rPr>
        <w:t>.</w:t>
      </w:r>
      <w:r w:rsidR="00CB0A49" w:rsidRPr="007E4BB2">
        <w:rPr>
          <w:rFonts w:ascii="Arial" w:hAnsi="Arial" w:cs="Arial"/>
          <w:color w:val="000000" w:themeColor="text1"/>
          <w:vertAlign w:val="superscript"/>
          <w:lang w:val="en-GB"/>
        </w:rPr>
        <w:t>3,5,6,8-10</w:t>
      </w:r>
      <w:r w:rsidR="00C15EBE" w:rsidRPr="007E4BB2">
        <w:rPr>
          <w:rFonts w:ascii="Arial" w:hAnsi="Arial" w:cs="Arial"/>
          <w:color w:val="000000" w:themeColor="text1"/>
          <w:lang w:val="en-GB"/>
        </w:rPr>
        <w:t xml:space="preserve"> </w:t>
      </w:r>
      <w:r w:rsidR="000B102D" w:rsidRPr="007E4BB2">
        <w:rPr>
          <w:rFonts w:ascii="Arial" w:hAnsi="Arial" w:cs="Arial"/>
          <w:color w:val="000000" w:themeColor="text1"/>
          <w:lang w:val="en-GB"/>
        </w:rPr>
        <w:t>The</w:t>
      </w:r>
      <w:r w:rsidRPr="007E4BB2">
        <w:rPr>
          <w:rFonts w:ascii="Arial" w:hAnsi="Arial" w:cs="Arial"/>
          <w:color w:val="000000" w:themeColor="text1"/>
          <w:lang w:val="en-GB"/>
        </w:rPr>
        <w:t xml:space="preserve"> c</w:t>
      </w:r>
      <w:r w:rsidR="00C15EBE" w:rsidRPr="007E4BB2">
        <w:rPr>
          <w:rFonts w:ascii="Arial" w:hAnsi="Arial" w:cs="Arial"/>
          <w:color w:val="000000" w:themeColor="text1"/>
          <w:lang w:val="en-GB"/>
        </w:rPr>
        <w:t xml:space="preserve">ombination of nonspecific </w:t>
      </w:r>
      <w:r w:rsidR="00D22CA4" w:rsidRPr="007E4BB2">
        <w:rPr>
          <w:rFonts w:ascii="Arial" w:hAnsi="Arial" w:cs="Arial"/>
          <w:color w:val="000000" w:themeColor="text1"/>
          <w:lang w:val="en-GB"/>
        </w:rPr>
        <w:t xml:space="preserve">clinical manifestations </w:t>
      </w:r>
      <w:r w:rsidR="00C15EBE" w:rsidRPr="007E4BB2">
        <w:rPr>
          <w:rFonts w:ascii="Arial" w:hAnsi="Arial" w:cs="Arial"/>
          <w:color w:val="000000" w:themeColor="text1"/>
          <w:lang w:val="en-GB"/>
        </w:rPr>
        <w:t xml:space="preserve">of OTB and </w:t>
      </w:r>
      <w:r w:rsidRPr="007E4BB2">
        <w:rPr>
          <w:rFonts w:ascii="Arial" w:hAnsi="Arial" w:cs="Arial"/>
          <w:color w:val="000000" w:themeColor="text1"/>
          <w:lang w:val="en-GB"/>
        </w:rPr>
        <w:t xml:space="preserve">the </w:t>
      </w:r>
      <w:r w:rsidR="00C15EBE" w:rsidRPr="007E4BB2">
        <w:rPr>
          <w:rFonts w:ascii="Arial" w:hAnsi="Arial" w:cs="Arial"/>
          <w:color w:val="000000" w:themeColor="text1"/>
          <w:lang w:val="en-GB"/>
        </w:rPr>
        <w:t xml:space="preserve">lack of </w:t>
      </w:r>
      <w:r w:rsidRPr="007E4BB2">
        <w:rPr>
          <w:rFonts w:ascii="Arial" w:hAnsi="Arial" w:cs="Arial"/>
          <w:color w:val="000000" w:themeColor="text1"/>
          <w:lang w:val="en-GB"/>
        </w:rPr>
        <w:t>definitive</w:t>
      </w:r>
      <w:r w:rsidR="0098555E" w:rsidRPr="007E4BB2">
        <w:rPr>
          <w:rFonts w:ascii="Arial" w:hAnsi="Arial" w:cs="Arial"/>
          <w:color w:val="000000" w:themeColor="text1"/>
          <w:lang w:val="en-GB"/>
        </w:rPr>
        <w:t xml:space="preserve"> </w:t>
      </w:r>
      <w:r w:rsidR="00C15EBE" w:rsidRPr="007E4BB2">
        <w:rPr>
          <w:rFonts w:ascii="Arial" w:hAnsi="Arial" w:cs="Arial"/>
          <w:color w:val="000000" w:themeColor="text1"/>
          <w:lang w:val="en-GB"/>
        </w:rPr>
        <w:t xml:space="preserve">diagnostic tests have led to differences in clinical </w:t>
      </w:r>
      <w:r w:rsidR="00E61404" w:rsidRPr="007E4BB2">
        <w:rPr>
          <w:rFonts w:ascii="Arial" w:hAnsi="Arial" w:cs="Arial"/>
          <w:color w:val="000000" w:themeColor="text1"/>
          <w:lang w:val="en-GB"/>
        </w:rPr>
        <w:t>decisions</w:t>
      </w:r>
      <w:r w:rsidR="00C15EBE" w:rsidRPr="007E4BB2">
        <w:rPr>
          <w:rFonts w:ascii="Arial" w:hAnsi="Arial" w:cs="Arial"/>
          <w:color w:val="000000" w:themeColor="text1"/>
          <w:lang w:val="en-GB"/>
        </w:rPr>
        <w:t xml:space="preserve"> on when to initiate </w:t>
      </w:r>
      <w:r w:rsidR="00D22CA4" w:rsidRPr="007E4BB2">
        <w:rPr>
          <w:rFonts w:ascii="Arial" w:hAnsi="Arial" w:cs="Arial"/>
          <w:color w:val="000000" w:themeColor="text1"/>
          <w:lang w:val="en-GB"/>
        </w:rPr>
        <w:t>a</w:t>
      </w:r>
      <w:r w:rsidR="00C15EBE" w:rsidRPr="007E4BB2">
        <w:rPr>
          <w:rFonts w:ascii="Arial" w:hAnsi="Arial" w:cs="Arial"/>
          <w:color w:val="000000" w:themeColor="text1"/>
          <w:lang w:val="en-GB"/>
        </w:rPr>
        <w:t xml:space="preserve">nti-tubercular </w:t>
      </w:r>
      <w:r w:rsidR="0031685B" w:rsidRPr="007E4BB2">
        <w:rPr>
          <w:rFonts w:ascii="Arial" w:hAnsi="Arial" w:cs="Arial"/>
          <w:color w:val="000000" w:themeColor="text1"/>
          <w:lang w:val="en-GB"/>
        </w:rPr>
        <w:t>t</w:t>
      </w:r>
      <w:r w:rsidR="00C15EBE" w:rsidRPr="007E4BB2">
        <w:rPr>
          <w:rFonts w:ascii="Arial" w:hAnsi="Arial" w:cs="Arial"/>
          <w:color w:val="000000" w:themeColor="text1"/>
          <w:lang w:val="en-GB"/>
        </w:rPr>
        <w:t>herapy (ATT)</w:t>
      </w:r>
      <w:r w:rsidR="000B102D" w:rsidRPr="007E4BB2">
        <w:rPr>
          <w:rFonts w:ascii="Arial" w:hAnsi="Arial" w:cs="Arial"/>
          <w:color w:val="000000" w:themeColor="text1"/>
          <w:lang w:val="en-GB"/>
        </w:rPr>
        <w:t xml:space="preserve"> for OTB patients</w:t>
      </w:r>
      <w:r w:rsidR="00C15EBE" w:rsidRPr="007E4BB2">
        <w:rPr>
          <w:rFonts w:ascii="Arial" w:hAnsi="Arial" w:cs="Arial"/>
          <w:color w:val="000000" w:themeColor="text1"/>
          <w:lang w:val="en-GB"/>
        </w:rPr>
        <w:t xml:space="preserve">, and how regimens should vary based on </w:t>
      </w:r>
      <w:r w:rsidR="00AA6B99" w:rsidRPr="007E4BB2">
        <w:rPr>
          <w:rFonts w:ascii="Arial" w:hAnsi="Arial" w:cs="Arial"/>
          <w:color w:val="000000" w:themeColor="text1"/>
          <w:lang w:val="en-GB"/>
        </w:rPr>
        <w:t xml:space="preserve">specific </w:t>
      </w:r>
      <w:r w:rsidR="00D22CA4" w:rsidRPr="007E4BB2">
        <w:rPr>
          <w:rFonts w:ascii="Arial" w:hAnsi="Arial" w:cs="Arial"/>
          <w:color w:val="000000" w:themeColor="text1"/>
          <w:lang w:val="en-GB"/>
        </w:rPr>
        <w:t xml:space="preserve">clinical </w:t>
      </w:r>
      <w:r w:rsidR="000B102D" w:rsidRPr="007E4BB2">
        <w:rPr>
          <w:rFonts w:ascii="Arial" w:hAnsi="Arial" w:cs="Arial"/>
          <w:color w:val="000000" w:themeColor="text1"/>
          <w:lang w:val="en-GB"/>
        </w:rPr>
        <w:t>phenotype</w:t>
      </w:r>
      <w:r w:rsidR="00C15EBE" w:rsidRPr="007E4BB2">
        <w:rPr>
          <w:rFonts w:ascii="Arial" w:hAnsi="Arial" w:cs="Arial"/>
          <w:color w:val="000000" w:themeColor="text1"/>
          <w:lang w:val="en-GB"/>
        </w:rPr>
        <w:t xml:space="preserve">. Since the infection itself is often challenging to </w:t>
      </w:r>
      <w:r w:rsidR="00C15EBE" w:rsidRPr="007E4BB2">
        <w:rPr>
          <w:rFonts w:ascii="Arial" w:hAnsi="Arial" w:cs="Arial"/>
          <w:color w:val="000000" w:themeColor="text1"/>
          <w:lang w:val="en-GB"/>
        </w:rPr>
        <w:lastRenderedPageBreak/>
        <w:t xml:space="preserve">detect, most literature has highlighted a diagnostic uncertainty and an inability to propose </w:t>
      </w:r>
      <w:r w:rsidRPr="007E4BB2">
        <w:rPr>
          <w:rFonts w:ascii="Arial" w:hAnsi="Arial" w:cs="Arial"/>
          <w:color w:val="000000" w:themeColor="text1"/>
          <w:lang w:val="en-GB"/>
        </w:rPr>
        <w:t xml:space="preserve">proven </w:t>
      </w:r>
      <w:r w:rsidR="00C15EBE" w:rsidRPr="007E4BB2">
        <w:rPr>
          <w:rFonts w:ascii="Arial" w:hAnsi="Arial" w:cs="Arial"/>
          <w:color w:val="000000" w:themeColor="text1"/>
          <w:lang w:val="en-GB"/>
        </w:rPr>
        <w:t>treatment guidelines</w:t>
      </w:r>
      <w:r w:rsidR="004E3ED8" w:rsidRPr="007E4BB2">
        <w:rPr>
          <w:rFonts w:ascii="Arial" w:hAnsi="Arial" w:cs="Arial"/>
          <w:color w:val="000000" w:themeColor="text1"/>
          <w:lang w:val="en-GB"/>
        </w:rPr>
        <w:t xml:space="preserve"> for OTB. </w:t>
      </w:r>
    </w:p>
    <w:p w14:paraId="5B8571BB" w14:textId="1AAFE368" w:rsidR="00FC5A4A" w:rsidRPr="007E4BB2" w:rsidRDefault="004E3ED8" w:rsidP="004E3ED8">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The Collaborative Ocular Tuberculosis Study (COTS</w:t>
      </w:r>
      <w:r w:rsidR="00D22CA4" w:rsidRPr="007E4BB2">
        <w:rPr>
          <w:rFonts w:ascii="Arial" w:hAnsi="Arial" w:cs="Arial"/>
          <w:color w:val="000000" w:themeColor="text1"/>
          <w:lang w:val="en-GB"/>
        </w:rPr>
        <w:t>)</w:t>
      </w:r>
      <w:r w:rsidRPr="007E4BB2">
        <w:rPr>
          <w:rFonts w:ascii="Arial" w:hAnsi="Arial" w:cs="Arial"/>
          <w:color w:val="000000" w:themeColor="text1"/>
          <w:lang w:val="en-GB"/>
        </w:rPr>
        <w:t xml:space="preserve"> – 1 was proposed to enhance the study of clinical management and treatment outcomes of </w:t>
      </w:r>
      <w:r w:rsidR="00D22CA4" w:rsidRPr="007E4BB2">
        <w:rPr>
          <w:rFonts w:ascii="Arial" w:hAnsi="Arial" w:cs="Arial"/>
          <w:color w:val="000000" w:themeColor="text1"/>
          <w:lang w:val="en-GB"/>
        </w:rPr>
        <w:t>OT</w:t>
      </w:r>
      <w:r w:rsidRPr="007E4BB2">
        <w:rPr>
          <w:rFonts w:ascii="Arial" w:hAnsi="Arial" w:cs="Arial"/>
          <w:color w:val="000000" w:themeColor="text1"/>
          <w:lang w:val="en-GB"/>
        </w:rPr>
        <w:t xml:space="preserve">B. COTS-1 is a multi-centre retrospective </w:t>
      </w:r>
      <w:r w:rsidR="00AA6B99" w:rsidRPr="007E4BB2">
        <w:rPr>
          <w:rFonts w:ascii="Arial" w:hAnsi="Arial" w:cs="Arial"/>
          <w:color w:val="000000" w:themeColor="text1"/>
          <w:lang w:val="en-GB"/>
        </w:rPr>
        <w:t xml:space="preserve">cohort </w:t>
      </w:r>
      <w:r w:rsidRPr="007E4BB2">
        <w:rPr>
          <w:rFonts w:ascii="Arial" w:hAnsi="Arial" w:cs="Arial"/>
          <w:color w:val="000000" w:themeColor="text1"/>
          <w:lang w:val="en-GB"/>
        </w:rPr>
        <w:t xml:space="preserve">study of patients with OTB, </w:t>
      </w:r>
      <w:r w:rsidR="0031685B" w:rsidRPr="007E4BB2">
        <w:rPr>
          <w:rFonts w:ascii="Arial" w:hAnsi="Arial" w:cs="Arial"/>
          <w:color w:val="000000" w:themeColor="text1"/>
          <w:lang w:val="en-GB"/>
        </w:rPr>
        <w:t xml:space="preserve">designed to </w:t>
      </w:r>
      <w:r w:rsidRPr="007E4BB2">
        <w:rPr>
          <w:rFonts w:ascii="Arial" w:hAnsi="Arial" w:cs="Arial"/>
          <w:color w:val="000000" w:themeColor="text1"/>
          <w:lang w:val="en-GB"/>
        </w:rPr>
        <w:t xml:space="preserve">facilitate the compilation and analysis of presenting clinical features of </w:t>
      </w:r>
      <w:r w:rsidR="00D22CA4" w:rsidRPr="007E4BB2">
        <w:rPr>
          <w:rFonts w:ascii="Arial" w:hAnsi="Arial" w:cs="Arial"/>
          <w:color w:val="000000" w:themeColor="text1"/>
          <w:lang w:val="en-GB"/>
        </w:rPr>
        <w:t xml:space="preserve">TBU </w:t>
      </w:r>
      <w:r w:rsidRPr="007E4BB2">
        <w:rPr>
          <w:rFonts w:ascii="Arial" w:hAnsi="Arial" w:cs="Arial"/>
          <w:color w:val="000000" w:themeColor="text1"/>
          <w:lang w:val="en-GB"/>
        </w:rPr>
        <w:t>and observed treatment outcomes from multiple centres worldwide</w:t>
      </w:r>
      <w:r w:rsidR="00FC5A4A" w:rsidRPr="007E4BB2">
        <w:rPr>
          <w:rFonts w:ascii="Arial" w:hAnsi="Arial" w:cs="Arial"/>
          <w:color w:val="000000" w:themeColor="text1"/>
          <w:lang w:val="en-GB"/>
        </w:rPr>
        <w:t>. It g</w:t>
      </w:r>
      <w:r w:rsidRPr="007E4BB2">
        <w:rPr>
          <w:rFonts w:ascii="Arial" w:hAnsi="Arial" w:cs="Arial"/>
          <w:color w:val="000000" w:themeColor="text1"/>
          <w:lang w:val="en-GB"/>
        </w:rPr>
        <w:t>rant</w:t>
      </w:r>
      <w:r w:rsidR="00FC5A4A" w:rsidRPr="007E4BB2">
        <w:rPr>
          <w:rFonts w:ascii="Arial" w:hAnsi="Arial" w:cs="Arial"/>
          <w:color w:val="000000" w:themeColor="text1"/>
          <w:lang w:val="en-GB"/>
        </w:rPr>
        <w:t>s</w:t>
      </w:r>
      <w:r w:rsidRPr="007E4BB2">
        <w:rPr>
          <w:rFonts w:ascii="Arial" w:hAnsi="Arial" w:cs="Arial"/>
          <w:color w:val="000000" w:themeColor="text1"/>
          <w:lang w:val="en-GB"/>
        </w:rPr>
        <w:t xml:space="preserve"> a</w:t>
      </w:r>
      <w:r w:rsidR="00FC5A4A" w:rsidRPr="007E4BB2">
        <w:rPr>
          <w:rFonts w:ascii="Arial" w:hAnsi="Arial" w:cs="Arial"/>
          <w:color w:val="000000" w:themeColor="text1"/>
          <w:lang w:val="en-GB"/>
        </w:rPr>
        <w:t xml:space="preserve">n </w:t>
      </w:r>
      <w:r w:rsidRPr="007E4BB2">
        <w:rPr>
          <w:rFonts w:ascii="Arial" w:hAnsi="Arial" w:cs="Arial"/>
          <w:color w:val="000000" w:themeColor="text1"/>
          <w:lang w:val="en-GB"/>
        </w:rPr>
        <w:t xml:space="preserve">overview of how the disease currently </w:t>
      </w:r>
      <w:r w:rsidR="00AA6B99" w:rsidRPr="007E4BB2">
        <w:rPr>
          <w:rFonts w:ascii="Arial" w:hAnsi="Arial" w:cs="Arial"/>
          <w:color w:val="000000" w:themeColor="text1"/>
          <w:lang w:val="en-GB"/>
        </w:rPr>
        <w:t xml:space="preserve">is </w:t>
      </w:r>
      <w:r w:rsidRPr="007E4BB2">
        <w:rPr>
          <w:rFonts w:ascii="Arial" w:hAnsi="Arial" w:cs="Arial"/>
          <w:color w:val="000000" w:themeColor="text1"/>
          <w:lang w:val="en-GB"/>
        </w:rPr>
        <w:t>approached</w:t>
      </w:r>
      <w:r w:rsidR="00FC5A4A" w:rsidRPr="007E4BB2">
        <w:rPr>
          <w:rFonts w:ascii="Arial" w:hAnsi="Arial" w:cs="Arial"/>
          <w:color w:val="000000" w:themeColor="text1"/>
          <w:lang w:val="en-GB"/>
        </w:rPr>
        <w:t xml:space="preserve"> internationally.</w:t>
      </w:r>
    </w:p>
    <w:p w14:paraId="34B14274" w14:textId="3F532BA5" w:rsidR="00EA56B7" w:rsidRPr="007E4BB2" w:rsidRDefault="00FC5A4A" w:rsidP="004E3ED8">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 xml:space="preserve">As </w:t>
      </w:r>
      <w:r w:rsidR="00D22CA4" w:rsidRPr="007E4BB2">
        <w:rPr>
          <w:rFonts w:ascii="Arial" w:hAnsi="Arial" w:cs="Arial"/>
          <w:color w:val="000000" w:themeColor="text1"/>
          <w:lang w:val="en-GB"/>
        </w:rPr>
        <w:t xml:space="preserve">recently </w:t>
      </w:r>
      <w:r w:rsidRPr="007E4BB2">
        <w:rPr>
          <w:rFonts w:ascii="Arial" w:hAnsi="Arial" w:cs="Arial"/>
          <w:color w:val="000000" w:themeColor="text1"/>
          <w:lang w:val="en-GB"/>
        </w:rPr>
        <w:t>defined by</w:t>
      </w:r>
      <w:r w:rsidR="00D22CA4" w:rsidRPr="007E4BB2">
        <w:rPr>
          <w:rFonts w:ascii="Arial" w:hAnsi="Arial" w:cs="Arial"/>
          <w:color w:val="000000" w:themeColor="text1"/>
          <w:lang w:val="en-GB"/>
        </w:rPr>
        <w:t xml:space="preserve"> the</w:t>
      </w:r>
      <w:r w:rsidRPr="007E4BB2">
        <w:rPr>
          <w:rFonts w:ascii="Arial" w:hAnsi="Arial" w:cs="Arial"/>
          <w:color w:val="000000" w:themeColor="text1"/>
          <w:lang w:val="en-GB"/>
        </w:rPr>
        <w:t xml:space="preserve"> COTS Nomenclature </w:t>
      </w:r>
      <w:r w:rsidR="00AA6B99" w:rsidRPr="007E4BB2">
        <w:rPr>
          <w:rFonts w:ascii="Arial" w:hAnsi="Arial" w:cs="Arial"/>
          <w:color w:val="000000" w:themeColor="text1"/>
          <w:lang w:val="en-GB"/>
        </w:rPr>
        <w:t>W</w:t>
      </w:r>
      <w:r w:rsidRPr="007E4BB2">
        <w:rPr>
          <w:rFonts w:ascii="Arial" w:hAnsi="Arial" w:cs="Arial"/>
          <w:color w:val="000000" w:themeColor="text1"/>
          <w:lang w:val="en-GB"/>
        </w:rPr>
        <w:t xml:space="preserve">orking </w:t>
      </w:r>
      <w:r w:rsidR="00AA6B99" w:rsidRPr="007E4BB2">
        <w:rPr>
          <w:rFonts w:ascii="Arial" w:hAnsi="Arial" w:cs="Arial"/>
          <w:color w:val="000000" w:themeColor="text1"/>
          <w:lang w:val="en-GB"/>
        </w:rPr>
        <w:t>G</w:t>
      </w:r>
      <w:r w:rsidRPr="007E4BB2">
        <w:rPr>
          <w:rFonts w:ascii="Arial" w:hAnsi="Arial" w:cs="Arial"/>
          <w:color w:val="000000" w:themeColor="text1"/>
          <w:lang w:val="en-GB"/>
        </w:rPr>
        <w:t xml:space="preserve">roup, </w:t>
      </w:r>
      <w:r w:rsidR="00D22CA4" w:rsidRPr="007E4BB2">
        <w:rPr>
          <w:rFonts w:ascii="Arial" w:hAnsi="Arial" w:cs="Arial"/>
          <w:color w:val="000000" w:themeColor="text1"/>
          <w:lang w:val="en-GB"/>
        </w:rPr>
        <w:t>tubercular anterior uveitis (</w:t>
      </w:r>
      <w:r w:rsidRPr="007E4BB2">
        <w:rPr>
          <w:rFonts w:ascii="Arial" w:hAnsi="Arial" w:cs="Arial"/>
          <w:color w:val="000000" w:themeColor="text1"/>
          <w:lang w:val="en-GB"/>
        </w:rPr>
        <w:t>TAU</w:t>
      </w:r>
      <w:r w:rsidR="00D22CA4" w:rsidRPr="007E4BB2">
        <w:rPr>
          <w:rFonts w:ascii="Arial" w:hAnsi="Arial" w:cs="Arial"/>
          <w:color w:val="000000" w:themeColor="text1"/>
          <w:lang w:val="en-GB"/>
        </w:rPr>
        <w:t>)</w:t>
      </w:r>
      <w:r w:rsidRPr="007E4BB2">
        <w:rPr>
          <w:rFonts w:ascii="Arial" w:hAnsi="Arial" w:cs="Arial"/>
          <w:color w:val="000000" w:themeColor="text1"/>
          <w:lang w:val="en-GB"/>
        </w:rPr>
        <w:t xml:space="preserve"> is a subgroup of OTB of which inflammation has been limited to the anterior segment, involving the iris and ciliary body</w:t>
      </w:r>
      <w:r w:rsidR="00AA6B99" w:rsidRPr="007E4BB2">
        <w:rPr>
          <w:rFonts w:ascii="Arial" w:hAnsi="Arial" w:cs="Arial"/>
          <w:color w:val="000000" w:themeColor="text1"/>
          <w:lang w:val="en-GB"/>
        </w:rPr>
        <w:t>,</w:t>
      </w:r>
      <w:r w:rsidRPr="007E4BB2">
        <w:rPr>
          <w:rFonts w:ascii="Arial" w:hAnsi="Arial" w:cs="Arial"/>
          <w:color w:val="000000" w:themeColor="text1"/>
          <w:lang w:val="en-GB"/>
        </w:rPr>
        <w:t xml:space="preserve"> in accordance with classification by the Standardization of Uveitis Nomenclature (SUN) Working Grou</w:t>
      </w:r>
      <w:r w:rsidR="00CB0A49" w:rsidRPr="007E4BB2">
        <w:rPr>
          <w:rFonts w:ascii="Arial" w:hAnsi="Arial" w:cs="Arial"/>
          <w:color w:val="000000" w:themeColor="text1"/>
          <w:lang w:val="en-GB"/>
        </w:rPr>
        <w:t>p</w:t>
      </w:r>
      <w:r w:rsidRPr="007E4BB2">
        <w:rPr>
          <w:rFonts w:ascii="Arial" w:hAnsi="Arial" w:cs="Arial"/>
          <w:color w:val="000000" w:themeColor="text1"/>
          <w:lang w:val="en-GB"/>
        </w:rPr>
        <w:t>.</w:t>
      </w:r>
      <w:r w:rsidR="00CB0A49" w:rsidRPr="007E4BB2">
        <w:rPr>
          <w:rFonts w:ascii="Arial" w:hAnsi="Arial" w:cs="Arial"/>
          <w:color w:val="000000" w:themeColor="text1"/>
          <w:vertAlign w:val="superscript"/>
          <w:lang w:val="en-GB"/>
        </w:rPr>
        <w:t>11</w:t>
      </w:r>
      <w:r w:rsidR="00D22CA4" w:rsidRPr="007E4BB2">
        <w:rPr>
          <w:rFonts w:ascii="Arial" w:hAnsi="Arial" w:cs="Arial"/>
          <w:color w:val="000000" w:themeColor="text1"/>
          <w:lang w:val="en-GB"/>
        </w:rPr>
        <w:t xml:space="preserve"> </w:t>
      </w:r>
      <w:r w:rsidR="00AA6B99" w:rsidRPr="007E4BB2">
        <w:rPr>
          <w:rFonts w:ascii="Arial" w:hAnsi="Arial" w:cs="Arial"/>
          <w:color w:val="000000" w:themeColor="text1"/>
          <w:lang w:val="en-GB"/>
        </w:rPr>
        <w:t>Here we</w:t>
      </w:r>
      <w:r w:rsidR="004E3ED8" w:rsidRPr="007E4BB2">
        <w:rPr>
          <w:rFonts w:ascii="Arial" w:hAnsi="Arial" w:cs="Arial"/>
          <w:color w:val="000000" w:themeColor="text1"/>
          <w:lang w:val="en-GB"/>
        </w:rPr>
        <w:t xml:space="preserve"> describe the </w:t>
      </w:r>
      <w:r w:rsidRPr="007E4BB2">
        <w:rPr>
          <w:rFonts w:ascii="Arial" w:hAnsi="Arial" w:cs="Arial"/>
          <w:color w:val="000000" w:themeColor="text1"/>
          <w:lang w:val="en-GB"/>
        </w:rPr>
        <w:t xml:space="preserve">observed </w:t>
      </w:r>
      <w:r w:rsidR="004E3ED8" w:rsidRPr="007E4BB2">
        <w:rPr>
          <w:rFonts w:ascii="Arial" w:hAnsi="Arial" w:cs="Arial"/>
          <w:color w:val="000000" w:themeColor="text1"/>
          <w:lang w:val="en-GB"/>
        </w:rPr>
        <w:t>outcome</w:t>
      </w:r>
      <w:r w:rsidRPr="007E4BB2">
        <w:rPr>
          <w:rFonts w:ascii="Arial" w:hAnsi="Arial" w:cs="Arial"/>
          <w:color w:val="000000" w:themeColor="text1"/>
          <w:lang w:val="en-GB"/>
        </w:rPr>
        <w:t xml:space="preserve">s </w:t>
      </w:r>
      <w:r w:rsidR="004E3ED8" w:rsidRPr="007E4BB2">
        <w:rPr>
          <w:rFonts w:ascii="Arial" w:hAnsi="Arial" w:cs="Arial"/>
          <w:color w:val="000000" w:themeColor="text1"/>
          <w:lang w:val="en-GB"/>
        </w:rPr>
        <w:t>of patients with TAU</w:t>
      </w:r>
      <w:r w:rsidR="00D22CA4" w:rsidRPr="007E4BB2">
        <w:rPr>
          <w:rFonts w:ascii="Arial" w:hAnsi="Arial" w:cs="Arial"/>
          <w:color w:val="000000" w:themeColor="text1"/>
          <w:lang w:val="en-GB"/>
        </w:rPr>
        <w:t xml:space="preserve"> </w:t>
      </w:r>
      <w:r w:rsidR="004E3ED8" w:rsidRPr="007E4BB2">
        <w:rPr>
          <w:rFonts w:ascii="Arial" w:hAnsi="Arial" w:cs="Arial"/>
          <w:color w:val="000000" w:themeColor="text1"/>
          <w:lang w:val="en-GB"/>
        </w:rPr>
        <w:t xml:space="preserve">from the recently concluded COTS -1. </w:t>
      </w:r>
    </w:p>
    <w:p w14:paraId="0EE94580" w14:textId="77777777" w:rsidR="004B2E8B" w:rsidRPr="007E4BB2" w:rsidRDefault="004B2E8B" w:rsidP="004E3ED8">
      <w:pPr>
        <w:shd w:val="clear" w:color="auto" w:fill="FFFFFF"/>
        <w:spacing w:after="100" w:line="360" w:lineRule="auto"/>
        <w:jc w:val="both"/>
        <w:rPr>
          <w:rFonts w:ascii="Arial" w:hAnsi="Arial" w:cs="Arial"/>
          <w:color w:val="000000" w:themeColor="text1"/>
          <w:lang w:val="en-GB"/>
        </w:rPr>
      </w:pPr>
    </w:p>
    <w:p w14:paraId="5E447E73" w14:textId="03B8FDB6" w:rsidR="004E3ED8" w:rsidRPr="007E4BB2" w:rsidRDefault="00EA56B7" w:rsidP="00032E4B">
      <w:pPr>
        <w:shd w:val="clear" w:color="auto" w:fill="FFFFFF"/>
        <w:spacing w:after="100"/>
        <w:outlineLvl w:val="0"/>
        <w:rPr>
          <w:rFonts w:ascii="Arial" w:hAnsi="Arial" w:cs="Arial"/>
          <w:b/>
          <w:bCs/>
          <w:caps/>
          <w:color w:val="000000" w:themeColor="text1"/>
          <w:lang w:val="en-GB"/>
        </w:rPr>
      </w:pPr>
      <w:r w:rsidRPr="007E4BB2">
        <w:rPr>
          <w:rFonts w:ascii="Arial" w:hAnsi="Arial" w:cs="Arial"/>
          <w:b/>
          <w:bCs/>
          <w:caps/>
          <w:color w:val="000000" w:themeColor="text1"/>
          <w:lang w:val="en-GB"/>
        </w:rPr>
        <w:t>Methods</w:t>
      </w:r>
    </w:p>
    <w:p w14:paraId="6AE9E058" w14:textId="77777777" w:rsidR="004B2E8B" w:rsidRPr="007E4BB2" w:rsidRDefault="004B2E8B" w:rsidP="004B2E8B">
      <w:pPr>
        <w:shd w:val="clear" w:color="auto" w:fill="FFFFFF"/>
        <w:spacing w:after="100"/>
        <w:jc w:val="center"/>
        <w:rPr>
          <w:rFonts w:ascii="Arial" w:hAnsi="Arial" w:cs="Arial"/>
          <w:b/>
          <w:bCs/>
          <w:caps/>
          <w:color w:val="000000" w:themeColor="text1"/>
          <w:lang w:val="en-GB"/>
        </w:rPr>
      </w:pPr>
    </w:p>
    <w:p w14:paraId="40C064D9" w14:textId="3A696EF1" w:rsidR="008A72DA" w:rsidRPr="007E4BB2" w:rsidRDefault="002659AA" w:rsidP="002659AA">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COTS -1</w:t>
      </w:r>
      <w:r w:rsidR="006F76FF" w:rsidRPr="007E4BB2">
        <w:rPr>
          <w:rFonts w:ascii="Arial" w:hAnsi="Arial" w:cs="Arial"/>
          <w:color w:val="000000" w:themeColor="text1"/>
          <w:lang w:val="en-GB"/>
        </w:rPr>
        <w:t xml:space="preserve"> </w:t>
      </w:r>
      <w:r w:rsidRPr="007E4BB2">
        <w:rPr>
          <w:rFonts w:ascii="Arial" w:hAnsi="Arial" w:cs="Arial"/>
          <w:color w:val="000000" w:themeColor="text1"/>
          <w:lang w:val="en-GB"/>
        </w:rPr>
        <w:t>is a retrospective cohort study of patients diagnosed with OTB, conducted from January 2004 to December 2014 across 25 multinational centres</w:t>
      </w:r>
      <w:r w:rsidR="00170593" w:rsidRPr="007E4BB2">
        <w:rPr>
          <w:rFonts w:ascii="Arial" w:hAnsi="Arial" w:cs="Arial"/>
          <w:color w:val="000000" w:themeColor="text1"/>
          <w:lang w:val="en-GB"/>
        </w:rPr>
        <w:t xml:space="preserve"> in 14 countries</w:t>
      </w:r>
      <w:r w:rsidRPr="007E4BB2">
        <w:rPr>
          <w:rFonts w:ascii="Arial" w:hAnsi="Arial" w:cs="Arial"/>
          <w:color w:val="000000" w:themeColor="text1"/>
          <w:lang w:val="en-GB"/>
        </w:rPr>
        <w:t>.</w:t>
      </w:r>
      <w:r w:rsidR="00CB0A49" w:rsidRPr="007E4BB2">
        <w:rPr>
          <w:rFonts w:ascii="Arial" w:hAnsi="Arial" w:cs="Arial"/>
          <w:color w:val="000000" w:themeColor="text1"/>
          <w:vertAlign w:val="superscript"/>
          <w:lang w:val="en-GB"/>
        </w:rPr>
        <w:t>7</w:t>
      </w:r>
      <w:r w:rsidRPr="007E4BB2">
        <w:rPr>
          <w:rFonts w:ascii="Arial" w:hAnsi="Arial" w:cs="Arial"/>
          <w:color w:val="000000" w:themeColor="text1"/>
          <w:lang w:val="en-GB"/>
        </w:rPr>
        <w:t xml:space="preserve"> Demographics, ocular phenotypes, investigations, management, and treatment outcomes were </w:t>
      </w:r>
      <w:r w:rsidR="00AA6B99" w:rsidRPr="007E4BB2">
        <w:rPr>
          <w:rFonts w:ascii="Arial" w:hAnsi="Arial" w:cs="Arial"/>
          <w:color w:val="000000" w:themeColor="text1"/>
          <w:lang w:val="en-GB"/>
        </w:rPr>
        <w:t xml:space="preserve">extracted </w:t>
      </w:r>
      <w:r w:rsidRPr="007E4BB2">
        <w:rPr>
          <w:rFonts w:ascii="Arial" w:hAnsi="Arial" w:cs="Arial"/>
          <w:color w:val="000000" w:themeColor="text1"/>
          <w:lang w:val="en-GB"/>
        </w:rPr>
        <w:t xml:space="preserve">from medical records. Participating centres sought </w:t>
      </w:r>
      <w:r w:rsidR="009B5413" w:rsidRPr="007E4BB2">
        <w:rPr>
          <w:rFonts w:ascii="Arial" w:hAnsi="Arial" w:cs="Arial"/>
          <w:color w:val="000000" w:themeColor="text1"/>
          <w:lang w:val="en-GB"/>
        </w:rPr>
        <w:t xml:space="preserve">ethical </w:t>
      </w:r>
      <w:r w:rsidRPr="007E4BB2">
        <w:rPr>
          <w:rFonts w:ascii="Arial" w:hAnsi="Arial" w:cs="Arial"/>
          <w:color w:val="000000" w:themeColor="text1"/>
          <w:lang w:val="en-GB"/>
        </w:rPr>
        <w:t xml:space="preserve">approval from their respective local institutional ethics committees. </w:t>
      </w:r>
      <w:r w:rsidR="00271BE4" w:rsidRPr="007E4BB2">
        <w:rPr>
          <w:rFonts w:ascii="Arial" w:hAnsi="Arial" w:cs="Arial"/>
          <w:color w:val="000000" w:themeColor="text1"/>
          <w:lang w:val="en-GB"/>
        </w:rPr>
        <w:t>Participating</w:t>
      </w:r>
      <w:r w:rsidR="00D22CA4" w:rsidRPr="007E4BB2">
        <w:rPr>
          <w:rFonts w:ascii="Arial" w:hAnsi="Arial" w:cs="Arial"/>
          <w:color w:val="000000" w:themeColor="text1"/>
          <w:lang w:val="en-GB"/>
        </w:rPr>
        <w:t xml:space="preserve"> c</w:t>
      </w:r>
      <w:r w:rsidRPr="007E4BB2">
        <w:rPr>
          <w:rFonts w:ascii="Arial" w:hAnsi="Arial" w:cs="Arial"/>
          <w:color w:val="000000" w:themeColor="text1"/>
          <w:lang w:val="en-GB"/>
        </w:rPr>
        <w:t>entres are listed in Appendix 1.</w:t>
      </w:r>
      <w:r w:rsidR="0074325B" w:rsidRPr="007E4BB2">
        <w:rPr>
          <w:rFonts w:ascii="Arial" w:hAnsi="Arial" w:cs="Arial"/>
          <w:color w:val="000000" w:themeColor="text1"/>
          <w:lang w:val="en-GB"/>
        </w:rPr>
        <w:t xml:space="preserve"> </w:t>
      </w:r>
      <w:r w:rsidR="00D22CA4" w:rsidRPr="007E4BB2">
        <w:rPr>
          <w:rFonts w:ascii="Arial" w:hAnsi="Arial" w:cs="Arial"/>
          <w:color w:val="000000" w:themeColor="text1"/>
          <w:lang w:val="en-GB"/>
        </w:rPr>
        <w:t>D</w:t>
      </w:r>
      <w:r w:rsidRPr="007E4BB2">
        <w:rPr>
          <w:rFonts w:ascii="Arial" w:hAnsi="Arial" w:cs="Arial"/>
          <w:color w:val="000000" w:themeColor="text1"/>
          <w:lang w:val="en-GB"/>
        </w:rPr>
        <w:t xml:space="preserve">iagnostic criteria for </w:t>
      </w:r>
      <w:r w:rsidR="0074325B" w:rsidRPr="007E4BB2">
        <w:rPr>
          <w:rFonts w:ascii="Arial" w:hAnsi="Arial" w:cs="Arial"/>
          <w:color w:val="000000" w:themeColor="text1"/>
          <w:lang w:val="en-GB"/>
        </w:rPr>
        <w:t>OTB</w:t>
      </w:r>
      <w:r w:rsidRPr="007E4BB2">
        <w:rPr>
          <w:rFonts w:ascii="Arial" w:hAnsi="Arial" w:cs="Arial"/>
          <w:color w:val="000000" w:themeColor="text1"/>
          <w:lang w:val="en-GB"/>
        </w:rPr>
        <w:t xml:space="preserve"> </w:t>
      </w:r>
      <w:r w:rsidR="009B5413" w:rsidRPr="007E4BB2">
        <w:rPr>
          <w:rFonts w:ascii="Arial" w:hAnsi="Arial" w:cs="Arial"/>
          <w:color w:val="000000" w:themeColor="text1"/>
          <w:lang w:val="en-GB"/>
        </w:rPr>
        <w:t xml:space="preserve">were </w:t>
      </w:r>
      <w:r w:rsidRPr="007E4BB2">
        <w:rPr>
          <w:rFonts w:ascii="Arial" w:hAnsi="Arial" w:cs="Arial"/>
          <w:color w:val="000000" w:themeColor="text1"/>
          <w:lang w:val="en-GB"/>
        </w:rPr>
        <w:t>established based on the presence of suggestive clinical features</w:t>
      </w:r>
      <w:r w:rsidR="00271BE4" w:rsidRPr="007E4BB2">
        <w:rPr>
          <w:rFonts w:ascii="Arial" w:hAnsi="Arial" w:cs="Arial"/>
          <w:color w:val="000000" w:themeColor="text1"/>
          <w:lang w:val="en-GB"/>
        </w:rPr>
        <w:t xml:space="preserve"> and corroborative results of investigations</w:t>
      </w:r>
      <w:r w:rsidR="0074325B" w:rsidRPr="007E4BB2">
        <w:rPr>
          <w:rFonts w:ascii="Arial" w:hAnsi="Arial" w:cs="Arial"/>
          <w:color w:val="000000" w:themeColor="text1"/>
          <w:lang w:val="en-GB"/>
        </w:rPr>
        <w:t xml:space="preserve">. </w:t>
      </w:r>
      <w:r w:rsidRPr="007E4BB2">
        <w:rPr>
          <w:rFonts w:ascii="Arial" w:hAnsi="Arial" w:cs="Arial"/>
          <w:color w:val="000000" w:themeColor="text1"/>
          <w:lang w:val="en-GB"/>
        </w:rPr>
        <w:t>Appendix 2</w:t>
      </w:r>
      <w:r w:rsidR="0074325B" w:rsidRPr="007E4BB2">
        <w:rPr>
          <w:rFonts w:ascii="Arial" w:hAnsi="Arial" w:cs="Arial"/>
          <w:color w:val="000000" w:themeColor="text1"/>
          <w:lang w:val="en-GB"/>
        </w:rPr>
        <w:t xml:space="preserve"> lists the </w:t>
      </w:r>
      <w:r w:rsidR="004A0A49" w:rsidRPr="007E4BB2">
        <w:rPr>
          <w:rFonts w:ascii="Arial" w:hAnsi="Arial" w:cs="Arial"/>
          <w:color w:val="000000" w:themeColor="text1"/>
          <w:lang w:val="en-GB"/>
        </w:rPr>
        <w:t>inclusion criteria</w:t>
      </w:r>
      <w:r w:rsidR="0074325B" w:rsidRPr="007E4BB2">
        <w:rPr>
          <w:rFonts w:ascii="Arial" w:hAnsi="Arial" w:cs="Arial"/>
          <w:color w:val="000000" w:themeColor="text1"/>
          <w:lang w:val="en-GB"/>
        </w:rPr>
        <w:t xml:space="preserve"> used by the COTS Study Group.</w:t>
      </w:r>
      <w:r w:rsidR="005B3751" w:rsidRPr="007E4BB2">
        <w:rPr>
          <w:rFonts w:ascii="Arial" w:hAnsi="Arial" w:cs="Arial"/>
          <w:color w:val="000000" w:themeColor="text1"/>
          <w:lang w:val="en-GB"/>
        </w:rPr>
        <w:t xml:space="preserve"> </w:t>
      </w:r>
      <w:r w:rsidR="00AA6B99" w:rsidRPr="007E4BB2">
        <w:rPr>
          <w:rFonts w:ascii="Arial" w:hAnsi="Arial" w:cs="Arial"/>
          <w:color w:val="000000" w:themeColor="text1"/>
          <w:lang w:val="en-GB"/>
        </w:rPr>
        <w:t>In brief, the criteria</w:t>
      </w:r>
      <w:r w:rsidR="00032E4B" w:rsidRPr="007E4BB2">
        <w:rPr>
          <w:rFonts w:ascii="Arial" w:hAnsi="Arial" w:cs="Arial"/>
          <w:color w:val="000000" w:themeColor="text1"/>
          <w:lang w:val="en-GB"/>
        </w:rPr>
        <w:t xml:space="preserve"> include</w:t>
      </w:r>
      <w:r w:rsidR="008A72DA" w:rsidRPr="007E4BB2">
        <w:rPr>
          <w:rFonts w:ascii="Arial" w:hAnsi="Arial" w:cs="Arial"/>
          <w:color w:val="000000" w:themeColor="text1"/>
          <w:lang w:val="en-GB"/>
        </w:rPr>
        <w:t>:</w:t>
      </w:r>
    </w:p>
    <w:p w14:paraId="633CB681" w14:textId="1FB3BB94" w:rsidR="008A72DA" w:rsidRPr="007E4BB2" w:rsidRDefault="002659AA" w:rsidP="008A72DA">
      <w:pPr>
        <w:pStyle w:val="ListParagraph"/>
        <w:numPr>
          <w:ilvl w:val="0"/>
          <w:numId w:val="4"/>
        </w:numPr>
        <w:shd w:val="clear" w:color="auto" w:fill="FFFFFF"/>
        <w:spacing w:after="100" w:line="360" w:lineRule="auto"/>
        <w:jc w:val="both"/>
        <w:rPr>
          <w:rFonts w:ascii="Arial" w:hAnsi="Arial" w:cs="Arial"/>
          <w:color w:val="000000" w:themeColor="text1"/>
          <w:sz w:val="24"/>
          <w:szCs w:val="24"/>
          <w:lang w:val="en-GB"/>
        </w:rPr>
      </w:pPr>
      <w:r w:rsidRPr="007E4BB2">
        <w:rPr>
          <w:rFonts w:ascii="Arial" w:hAnsi="Arial" w:cs="Arial"/>
          <w:color w:val="000000" w:themeColor="text1"/>
          <w:sz w:val="24"/>
          <w:szCs w:val="24"/>
          <w:lang w:val="en-GB"/>
        </w:rPr>
        <w:t>Satisfied study diagnostic criteria for T</w:t>
      </w:r>
      <w:r w:rsidR="00D061A2" w:rsidRPr="007E4BB2">
        <w:rPr>
          <w:rFonts w:ascii="Arial" w:hAnsi="Arial" w:cs="Arial"/>
          <w:color w:val="000000" w:themeColor="text1"/>
          <w:sz w:val="24"/>
          <w:szCs w:val="24"/>
          <w:lang w:val="en-GB"/>
        </w:rPr>
        <w:t>A</w:t>
      </w:r>
      <w:r w:rsidR="005B3751" w:rsidRPr="007E4BB2">
        <w:rPr>
          <w:rFonts w:ascii="Arial" w:hAnsi="Arial" w:cs="Arial"/>
          <w:color w:val="000000" w:themeColor="text1"/>
          <w:sz w:val="24"/>
          <w:szCs w:val="24"/>
          <w:lang w:val="en-GB"/>
        </w:rPr>
        <w:t>U</w:t>
      </w:r>
      <w:r w:rsidRPr="007E4BB2">
        <w:rPr>
          <w:rFonts w:ascii="Arial" w:hAnsi="Arial" w:cs="Arial"/>
          <w:color w:val="000000" w:themeColor="text1"/>
          <w:sz w:val="24"/>
          <w:szCs w:val="24"/>
          <w:lang w:val="en-GB"/>
        </w:rPr>
        <w:t>.</w:t>
      </w:r>
    </w:p>
    <w:p w14:paraId="4B594498" w14:textId="77B57520" w:rsidR="008A72DA" w:rsidRPr="007E4BB2" w:rsidRDefault="002659AA" w:rsidP="008A72DA">
      <w:pPr>
        <w:pStyle w:val="ListParagraph"/>
        <w:numPr>
          <w:ilvl w:val="0"/>
          <w:numId w:val="4"/>
        </w:numPr>
        <w:shd w:val="clear" w:color="auto" w:fill="FFFFFF"/>
        <w:spacing w:after="100" w:line="360" w:lineRule="auto"/>
        <w:jc w:val="both"/>
        <w:rPr>
          <w:rFonts w:ascii="Arial" w:hAnsi="Arial" w:cs="Arial"/>
          <w:color w:val="000000" w:themeColor="text1"/>
          <w:sz w:val="24"/>
          <w:szCs w:val="24"/>
          <w:lang w:val="en-GB"/>
        </w:rPr>
      </w:pPr>
      <w:r w:rsidRPr="007E4BB2">
        <w:rPr>
          <w:rFonts w:ascii="Arial" w:hAnsi="Arial" w:cs="Arial"/>
          <w:color w:val="000000" w:themeColor="text1"/>
          <w:sz w:val="24"/>
          <w:szCs w:val="24"/>
          <w:lang w:val="en-GB"/>
        </w:rPr>
        <w:t>Availability of patient medical records detail</w:t>
      </w:r>
      <w:r w:rsidR="008A72DA" w:rsidRPr="007E4BB2">
        <w:rPr>
          <w:rFonts w:ascii="Arial" w:hAnsi="Arial" w:cs="Arial"/>
          <w:color w:val="000000" w:themeColor="text1"/>
          <w:sz w:val="24"/>
          <w:szCs w:val="24"/>
          <w:lang w:val="en-GB"/>
        </w:rPr>
        <w:t>ing</w:t>
      </w:r>
      <w:r w:rsidRPr="007E4BB2">
        <w:rPr>
          <w:rFonts w:ascii="Arial" w:hAnsi="Arial" w:cs="Arial"/>
          <w:color w:val="000000" w:themeColor="text1"/>
          <w:sz w:val="24"/>
          <w:szCs w:val="24"/>
          <w:lang w:val="en-GB"/>
        </w:rPr>
        <w:t xml:space="preserve"> </w:t>
      </w:r>
      <w:r w:rsidR="008A72DA" w:rsidRPr="007E4BB2">
        <w:rPr>
          <w:rFonts w:ascii="Arial" w:hAnsi="Arial" w:cs="Arial"/>
          <w:color w:val="000000" w:themeColor="text1"/>
          <w:sz w:val="24"/>
          <w:szCs w:val="24"/>
          <w:lang w:val="en-GB"/>
        </w:rPr>
        <w:t xml:space="preserve">baseline </w:t>
      </w:r>
      <w:r w:rsidRPr="007E4BB2">
        <w:rPr>
          <w:rFonts w:ascii="Arial" w:hAnsi="Arial" w:cs="Arial"/>
          <w:color w:val="000000" w:themeColor="text1"/>
          <w:sz w:val="24"/>
          <w:szCs w:val="24"/>
          <w:lang w:val="en-GB"/>
        </w:rPr>
        <w:t>ophthalmic examination and follow-up</w:t>
      </w:r>
      <w:r w:rsidR="005B3751" w:rsidRPr="007E4BB2">
        <w:rPr>
          <w:rFonts w:ascii="Arial" w:hAnsi="Arial" w:cs="Arial"/>
          <w:color w:val="000000" w:themeColor="text1"/>
          <w:sz w:val="24"/>
          <w:szCs w:val="24"/>
          <w:lang w:val="en-GB"/>
        </w:rPr>
        <w:t xml:space="preserve"> review</w:t>
      </w:r>
      <w:r w:rsidR="008A72DA" w:rsidRPr="007E4BB2">
        <w:rPr>
          <w:rFonts w:ascii="Arial" w:hAnsi="Arial" w:cs="Arial"/>
          <w:color w:val="000000" w:themeColor="text1"/>
          <w:sz w:val="24"/>
          <w:szCs w:val="24"/>
          <w:lang w:val="en-GB"/>
        </w:rPr>
        <w:t>s</w:t>
      </w:r>
    </w:p>
    <w:p w14:paraId="58509BAC" w14:textId="63944CF5" w:rsidR="002659AA" w:rsidRPr="007E4BB2" w:rsidRDefault="002659AA" w:rsidP="008A72DA">
      <w:pPr>
        <w:pStyle w:val="ListParagraph"/>
        <w:numPr>
          <w:ilvl w:val="0"/>
          <w:numId w:val="4"/>
        </w:numPr>
        <w:shd w:val="clear" w:color="auto" w:fill="FFFFFF"/>
        <w:spacing w:after="100" w:line="360" w:lineRule="auto"/>
        <w:jc w:val="both"/>
        <w:rPr>
          <w:rFonts w:ascii="Arial" w:hAnsi="Arial" w:cs="Arial"/>
          <w:color w:val="000000" w:themeColor="text1"/>
          <w:sz w:val="24"/>
          <w:szCs w:val="24"/>
          <w:lang w:val="en-GB"/>
        </w:rPr>
      </w:pPr>
      <w:r w:rsidRPr="007E4BB2">
        <w:rPr>
          <w:rFonts w:ascii="Arial" w:hAnsi="Arial" w:cs="Arial"/>
          <w:color w:val="000000" w:themeColor="text1"/>
          <w:sz w:val="24"/>
          <w:szCs w:val="24"/>
          <w:lang w:val="en-GB"/>
        </w:rPr>
        <w:t xml:space="preserve">Ancillary and laboratory investigations done to exclude </w:t>
      </w:r>
      <w:r w:rsidR="005B3751" w:rsidRPr="007E4BB2">
        <w:rPr>
          <w:rFonts w:ascii="Arial" w:hAnsi="Arial" w:cs="Arial"/>
          <w:color w:val="000000" w:themeColor="text1"/>
          <w:sz w:val="24"/>
          <w:szCs w:val="24"/>
          <w:lang w:val="en-GB"/>
        </w:rPr>
        <w:t>r</w:t>
      </w:r>
      <w:r w:rsidRPr="007E4BB2">
        <w:rPr>
          <w:rFonts w:ascii="Arial" w:hAnsi="Arial" w:cs="Arial"/>
          <w:color w:val="000000" w:themeColor="text1"/>
          <w:sz w:val="24"/>
          <w:szCs w:val="24"/>
          <w:lang w:val="en-GB"/>
        </w:rPr>
        <w:t>elevant differential diagnoses</w:t>
      </w:r>
      <w:r w:rsidR="005B3751" w:rsidRPr="007E4BB2">
        <w:rPr>
          <w:rFonts w:ascii="Arial" w:hAnsi="Arial" w:cs="Arial"/>
          <w:color w:val="000000" w:themeColor="text1"/>
          <w:sz w:val="24"/>
          <w:szCs w:val="24"/>
          <w:lang w:val="en-GB"/>
        </w:rPr>
        <w:t>.</w:t>
      </w:r>
    </w:p>
    <w:p w14:paraId="6EB9DA78" w14:textId="7EAABF5B" w:rsidR="005B3751" w:rsidRPr="007E4BB2" w:rsidRDefault="005B3751" w:rsidP="005B3751">
      <w:pPr>
        <w:pStyle w:val="ListParagraph"/>
        <w:numPr>
          <w:ilvl w:val="0"/>
          <w:numId w:val="4"/>
        </w:numPr>
        <w:shd w:val="clear" w:color="auto" w:fill="FFFFFF"/>
        <w:spacing w:after="100" w:line="360" w:lineRule="auto"/>
        <w:jc w:val="both"/>
        <w:rPr>
          <w:rFonts w:ascii="Arial" w:hAnsi="Arial" w:cs="Arial"/>
          <w:color w:val="000000" w:themeColor="text1"/>
          <w:sz w:val="24"/>
          <w:szCs w:val="24"/>
          <w:lang w:val="en-GB"/>
        </w:rPr>
      </w:pPr>
      <w:r w:rsidRPr="007E4BB2">
        <w:rPr>
          <w:rFonts w:ascii="Arial" w:hAnsi="Arial" w:cs="Arial"/>
          <w:color w:val="000000" w:themeColor="text1"/>
          <w:sz w:val="24"/>
          <w:szCs w:val="24"/>
          <w:lang w:val="en-GB"/>
        </w:rPr>
        <w:t>A</w:t>
      </w:r>
      <w:r w:rsidR="002659AA" w:rsidRPr="007E4BB2">
        <w:rPr>
          <w:rFonts w:ascii="Arial" w:hAnsi="Arial" w:cs="Arial"/>
          <w:color w:val="000000" w:themeColor="text1"/>
          <w:sz w:val="24"/>
          <w:szCs w:val="24"/>
          <w:lang w:val="en-GB"/>
        </w:rPr>
        <w:t xml:space="preserve"> minimum follow-up </w:t>
      </w:r>
      <w:r w:rsidRPr="007E4BB2">
        <w:rPr>
          <w:rFonts w:ascii="Arial" w:hAnsi="Arial" w:cs="Arial"/>
          <w:color w:val="000000" w:themeColor="text1"/>
          <w:sz w:val="24"/>
          <w:szCs w:val="24"/>
          <w:lang w:val="en-GB"/>
        </w:rPr>
        <w:t>period</w:t>
      </w:r>
      <w:r w:rsidR="002659AA" w:rsidRPr="007E4BB2">
        <w:rPr>
          <w:rFonts w:ascii="Arial" w:hAnsi="Arial" w:cs="Arial"/>
          <w:color w:val="000000" w:themeColor="text1"/>
          <w:sz w:val="24"/>
          <w:szCs w:val="24"/>
          <w:lang w:val="en-GB"/>
        </w:rPr>
        <w:t xml:space="preserve"> </w:t>
      </w:r>
      <w:r w:rsidRPr="007E4BB2">
        <w:rPr>
          <w:rFonts w:ascii="Arial" w:hAnsi="Arial" w:cs="Arial"/>
          <w:color w:val="000000" w:themeColor="text1"/>
          <w:sz w:val="24"/>
          <w:szCs w:val="24"/>
          <w:lang w:val="en-GB"/>
        </w:rPr>
        <w:t xml:space="preserve">of </w:t>
      </w:r>
      <w:r w:rsidR="002659AA" w:rsidRPr="007E4BB2">
        <w:rPr>
          <w:rFonts w:ascii="Arial" w:hAnsi="Arial" w:cs="Arial"/>
          <w:color w:val="000000" w:themeColor="text1"/>
          <w:sz w:val="24"/>
          <w:szCs w:val="24"/>
          <w:lang w:val="en-GB"/>
        </w:rPr>
        <w:t>1 year</w:t>
      </w:r>
      <w:r w:rsidRPr="007E4BB2">
        <w:rPr>
          <w:rFonts w:ascii="Arial" w:hAnsi="Arial" w:cs="Arial"/>
          <w:color w:val="000000" w:themeColor="text1"/>
          <w:sz w:val="24"/>
          <w:szCs w:val="24"/>
          <w:lang w:val="en-GB"/>
        </w:rPr>
        <w:t xml:space="preserve"> was completed</w:t>
      </w:r>
      <w:r w:rsidR="002659AA" w:rsidRPr="007E4BB2">
        <w:rPr>
          <w:rFonts w:ascii="Arial" w:hAnsi="Arial" w:cs="Arial"/>
          <w:color w:val="000000" w:themeColor="text1"/>
          <w:sz w:val="24"/>
          <w:szCs w:val="24"/>
          <w:lang w:val="en-GB"/>
        </w:rPr>
        <w:t>.</w:t>
      </w:r>
    </w:p>
    <w:p w14:paraId="737A04AE" w14:textId="1F304BCA" w:rsidR="005564F3" w:rsidRPr="007E4BB2" w:rsidRDefault="005B3751" w:rsidP="005564F3">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lastRenderedPageBreak/>
        <w:t xml:space="preserve">Patients who satisfied all the above inclusion criteria were </w:t>
      </w:r>
      <w:r w:rsidR="00A94C84" w:rsidRPr="007E4BB2">
        <w:rPr>
          <w:rFonts w:ascii="Arial" w:hAnsi="Arial" w:cs="Arial"/>
          <w:color w:val="000000" w:themeColor="text1"/>
          <w:lang w:val="en-GB"/>
        </w:rPr>
        <w:t>enrolled in</w:t>
      </w:r>
      <w:r w:rsidRPr="007E4BB2">
        <w:rPr>
          <w:rFonts w:ascii="Arial" w:hAnsi="Arial" w:cs="Arial"/>
          <w:color w:val="000000" w:themeColor="text1"/>
          <w:lang w:val="en-GB"/>
        </w:rPr>
        <w:t xml:space="preserve"> t</w:t>
      </w:r>
      <w:r w:rsidR="0020255C" w:rsidRPr="007E4BB2">
        <w:rPr>
          <w:rFonts w:ascii="Arial" w:hAnsi="Arial" w:cs="Arial"/>
          <w:color w:val="000000" w:themeColor="text1"/>
          <w:lang w:val="en-GB"/>
        </w:rPr>
        <w:t xml:space="preserve">he study. Following which, </w:t>
      </w:r>
      <w:r w:rsidR="0020255C" w:rsidRPr="007E4BB2">
        <w:rPr>
          <w:rFonts w:ascii="Arial" w:eastAsiaTheme="minorHAnsi" w:hAnsi="Arial" w:cs="Arial"/>
          <w:color w:val="000000" w:themeColor="text1"/>
          <w:lang w:val="en-GB" w:eastAsia="en-US"/>
        </w:rPr>
        <w:t xml:space="preserve">the diagnosis of TAU was conferred to patients who fulfilled these criteria and had any form of involvement </w:t>
      </w:r>
      <w:r w:rsidR="0020255C" w:rsidRPr="007E4BB2">
        <w:rPr>
          <w:rFonts w:ascii="Arial" w:hAnsi="Arial" w:cs="Arial"/>
          <w:color w:val="000000" w:themeColor="text1"/>
          <w:lang w:val="en-GB"/>
        </w:rPr>
        <w:t>of</w:t>
      </w:r>
      <w:r w:rsidR="00D061A2" w:rsidRPr="007E4BB2">
        <w:rPr>
          <w:rFonts w:ascii="Arial" w:eastAsiaTheme="minorHAnsi" w:hAnsi="Arial" w:cs="Arial"/>
          <w:color w:val="000000" w:themeColor="text1"/>
          <w:lang w:val="en-GB" w:eastAsia="en-US"/>
        </w:rPr>
        <w:t xml:space="preserve"> the anterior uveal tract </w:t>
      </w:r>
      <w:r w:rsidR="00207071" w:rsidRPr="007E4BB2">
        <w:rPr>
          <w:rFonts w:ascii="Arial" w:hAnsi="Arial" w:cs="Arial"/>
          <w:color w:val="000000" w:themeColor="text1"/>
          <w:lang w:val="en-GB"/>
        </w:rPr>
        <w:t>up</w:t>
      </w:r>
      <w:r w:rsidRPr="007E4BB2">
        <w:rPr>
          <w:rFonts w:ascii="Arial" w:hAnsi="Arial" w:cs="Arial"/>
          <w:color w:val="000000" w:themeColor="text1"/>
          <w:lang w:val="en-GB"/>
        </w:rPr>
        <w:t xml:space="preserve">on initial presentation. </w:t>
      </w:r>
      <w:r w:rsidR="00735560" w:rsidRPr="007E4BB2">
        <w:rPr>
          <w:rFonts w:ascii="Arial" w:hAnsi="Arial" w:cs="Arial"/>
          <w:color w:val="000000" w:themeColor="text1"/>
          <w:lang w:val="en-GB"/>
        </w:rPr>
        <w:t xml:space="preserve">Classification of the anterior phenotype was </w:t>
      </w:r>
      <w:r w:rsidR="00E61404" w:rsidRPr="007E4BB2">
        <w:rPr>
          <w:rFonts w:ascii="Arial" w:hAnsi="Arial" w:cs="Arial"/>
          <w:color w:val="000000" w:themeColor="text1"/>
          <w:lang w:val="en-GB"/>
        </w:rPr>
        <w:t xml:space="preserve">established </w:t>
      </w:r>
      <w:r w:rsidR="00735560" w:rsidRPr="007E4BB2">
        <w:rPr>
          <w:rFonts w:ascii="Arial" w:hAnsi="Arial" w:cs="Arial"/>
          <w:color w:val="000000" w:themeColor="text1"/>
          <w:lang w:val="en-GB"/>
        </w:rPr>
        <w:t xml:space="preserve">by the attending uveitis </w:t>
      </w:r>
      <w:r w:rsidR="00207071" w:rsidRPr="007E4BB2">
        <w:rPr>
          <w:rFonts w:ascii="Arial" w:hAnsi="Arial" w:cs="Arial"/>
          <w:color w:val="000000" w:themeColor="text1"/>
          <w:lang w:val="en-GB"/>
        </w:rPr>
        <w:t>specialist</w:t>
      </w:r>
      <w:r w:rsidR="00735560" w:rsidRPr="007E4BB2">
        <w:rPr>
          <w:rFonts w:ascii="Arial" w:hAnsi="Arial" w:cs="Arial"/>
          <w:color w:val="000000" w:themeColor="text1"/>
          <w:lang w:val="en-GB"/>
        </w:rPr>
        <w:t xml:space="preserve"> ophthalmologist. There was non-informative right censoring as the follow-up interval was capped at 2 years regardless of treatment response. Incomplete follow-up in some patients </w:t>
      </w:r>
      <w:r w:rsidR="00E61404" w:rsidRPr="007E4BB2">
        <w:rPr>
          <w:rFonts w:ascii="Arial" w:hAnsi="Arial" w:cs="Arial"/>
          <w:color w:val="000000" w:themeColor="text1"/>
          <w:lang w:val="en-GB"/>
        </w:rPr>
        <w:t xml:space="preserve">was related to </w:t>
      </w:r>
      <w:r w:rsidR="00735560" w:rsidRPr="007E4BB2">
        <w:rPr>
          <w:rFonts w:ascii="Arial" w:hAnsi="Arial" w:cs="Arial"/>
          <w:color w:val="000000" w:themeColor="text1"/>
          <w:lang w:val="en-GB"/>
        </w:rPr>
        <w:t xml:space="preserve">transfer to other centres, death, and </w:t>
      </w:r>
      <w:r w:rsidR="00207071" w:rsidRPr="007E4BB2">
        <w:rPr>
          <w:rFonts w:ascii="Arial" w:hAnsi="Arial" w:cs="Arial"/>
          <w:color w:val="000000" w:themeColor="text1"/>
          <w:lang w:val="en-GB"/>
        </w:rPr>
        <w:t xml:space="preserve">other </w:t>
      </w:r>
      <w:r w:rsidR="00735560" w:rsidRPr="007E4BB2">
        <w:rPr>
          <w:rFonts w:ascii="Arial" w:hAnsi="Arial" w:cs="Arial"/>
          <w:color w:val="000000" w:themeColor="text1"/>
          <w:lang w:val="en-GB"/>
        </w:rPr>
        <w:t>loss</w:t>
      </w:r>
      <w:r w:rsidR="00207071" w:rsidRPr="007E4BB2">
        <w:rPr>
          <w:rFonts w:ascii="Arial" w:hAnsi="Arial" w:cs="Arial"/>
          <w:color w:val="000000" w:themeColor="text1"/>
          <w:lang w:val="en-GB"/>
        </w:rPr>
        <w:t>es</w:t>
      </w:r>
      <w:r w:rsidR="00735560" w:rsidRPr="007E4BB2">
        <w:rPr>
          <w:rFonts w:ascii="Arial" w:hAnsi="Arial" w:cs="Arial"/>
          <w:color w:val="000000" w:themeColor="text1"/>
          <w:lang w:val="en-GB"/>
        </w:rPr>
        <w:t xml:space="preserve"> to follow-up.</w:t>
      </w:r>
    </w:p>
    <w:p w14:paraId="634C1438" w14:textId="7ECE0222" w:rsidR="00E95B6B" w:rsidRPr="007E4BB2" w:rsidRDefault="00E95B6B" w:rsidP="00E95B6B">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 xml:space="preserve">Treatment regimen with ATT and/or immunosuppression was </w:t>
      </w:r>
      <w:r w:rsidR="00E61404" w:rsidRPr="007E4BB2">
        <w:rPr>
          <w:rFonts w:ascii="Arial" w:hAnsi="Arial" w:cs="Arial"/>
          <w:color w:val="000000" w:themeColor="text1"/>
          <w:lang w:val="en-GB"/>
        </w:rPr>
        <w:t xml:space="preserve">guided </w:t>
      </w:r>
      <w:r w:rsidRPr="007E4BB2">
        <w:rPr>
          <w:rFonts w:ascii="Arial" w:hAnsi="Arial" w:cs="Arial"/>
          <w:color w:val="000000" w:themeColor="text1"/>
          <w:lang w:val="en-GB"/>
        </w:rPr>
        <w:t xml:space="preserve">by attending physicians in collaboration with respiratory or infectious disease </w:t>
      </w:r>
      <w:r w:rsidR="00D22CA4" w:rsidRPr="007E4BB2">
        <w:rPr>
          <w:rFonts w:ascii="Arial" w:hAnsi="Arial" w:cs="Arial"/>
          <w:color w:val="000000" w:themeColor="text1"/>
          <w:lang w:val="en-GB"/>
        </w:rPr>
        <w:t xml:space="preserve">specialists </w:t>
      </w:r>
      <w:r w:rsidRPr="007E4BB2">
        <w:rPr>
          <w:rFonts w:ascii="Arial" w:hAnsi="Arial" w:cs="Arial"/>
          <w:color w:val="000000" w:themeColor="text1"/>
          <w:lang w:val="en-GB"/>
        </w:rPr>
        <w:t xml:space="preserve">as per </w:t>
      </w:r>
      <w:r w:rsidR="008F51E3" w:rsidRPr="007E4BB2">
        <w:rPr>
          <w:rFonts w:ascii="Arial" w:hAnsi="Arial" w:cs="Arial"/>
          <w:color w:val="000000" w:themeColor="text1"/>
          <w:lang w:val="en-GB"/>
        </w:rPr>
        <w:t>respective</w:t>
      </w:r>
      <w:r w:rsidRPr="007E4BB2">
        <w:rPr>
          <w:rFonts w:ascii="Arial" w:hAnsi="Arial" w:cs="Arial"/>
          <w:color w:val="000000" w:themeColor="text1"/>
          <w:lang w:val="en-GB"/>
        </w:rPr>
        <w:t xml:space="preserve"> institutional protocols. The route of drug delivery for </w:t>
      </w:r>
      <w:r w:rsidR="00207071" w:rsidRPr="007E4BB2">
        <w:rPr>
          <w:rFonts w:ascii="Arial" w:hAnsi="Arial" w:cs="Arial"/>
          <w:color w:val="000000" w:themeColor="text1"/>
          <w:lang w:val="en-GB"/>
        </w:rPr>
        <w:t>cortico</w:t>
      </w:r>
      <w:r w:rsidRPr="007E4BB2">
        <w:rPr>
          <w:rFonts w:ascii="Arial" w:hAnsi="Arial" w:cs="Arial"/>
          <w:color w:val="000000" w:themeColor="text1"/>
          <w:lang w:val="en-GB"/>
        </w:rPr>
        <w:t xml:space="preserve">steroids and use of </w:t>
      </w:r>
      <w:r w:rsidR="00207071" w:rsidRPr="007E4BB2">
        <w:rPr>
          <w:rFonts w:ascii="Arial" w:hAnsi="Arial" w:cs="Arial"/>
          <w:color w:val="000000" w:themeColor="text1"/>
          <w:lang w:val="en-GB"/>
        </w:rPr>
        <w:t>cortico</w:t>
      </w:r>
      <w:r w:rsidRPr="007E4BB2">
        <w:rPr>
          <w:rFonts w:ascii="Arial" w:hAnsi="Arial" w:cs="Arial"/>
          <w:color w:val="000000" w:themeColor="text1"/>
          <w:lang w:val="en-GB"/>
        </w:rPr>
        <w:t xml:space="preserve">steroid-sparing immunosuppressive agents was </w:t>
      </w:r>
      <w:r w:rsidR="004211CA" w:rsidRPr="007E4BB2">
        <w:rPr>
          <w:rFonts w:ascii="Arial" w:hAnsi="Arial" w:cs="Arial"/>
          <w:color w:val="000000" w:themeColor="text1"/>
          <w:lang w:val="en-GB"/>
        </w:rPr>
        <w:t xml:space="preserve">decided </w:t>
      </w:r>
      <w:r w:rsidR="00490DFA" w:rsidRPr="007E4BB2">
        <w:rPr>
          <w:rFonts w:ascii="Arial" w:hAnsi="Arial" w:cs="Arial"/>
          <w:color w:val="000000" w:themeColor="text1"/>
          <w:lang w:val="en-GB"/>
        </w:rPr>
        <w:t xml:space="preserve">by the attending </w:t>
      </w:r>
      <w:r w:rsidR="00207071" w:rsidRPr="007E4BB2">
        <w:rPr>
          <w:rFonts w:ascii="Arial" w:hAnsi="Arial" w:cs="Arial"/>
          <w:color w:val="000000" w:themeColor="text1"/>
          <w:lang w:val="en-GB"/>
        </w:rPr>
        <w:t>uveitis specialist</w:t>
      </w:r>
      <w:r w:rsidR="00490DFA" w:rsidRPr="007E4BB2">
        <w:rPr>
          <w:rFonts w:ascii="Arial" w:hAnsi="Arial" w:cs="Arial"/>
          <w:color w:val="000000" w:themeColor="text1"/>
          <w:lang w:val="en-GB"/>
        </w:rPr>
        <w:t xml:space="preserve"> ophthalmologist on a case-by-case basis guided by </w:t>
      </w:r>
      <w:r w:rsidRPr="007E4BB2">
        <w:rPr>
          <w:rFonts w:ascii="Arial" w:hAnsi="Arial" w:cs="Arial"/>
          <w:color w:val="000000" w:themeColor="text1"/>
          <w:lang w:val="en-GB"/>
        </w:rPr>
        <w:t xml:space="preserve">clinical phenotype, severity of </w:t>
      </w:r>
      <w:r w:rsidR="00CB53EB" w:rsidRPr="007E4BB2">
        <w:rPr>
          <w:rFonts w:ascii="Arial" w:hAnsi="Arial" w:cs="Arial"/>
          <w:color w:val="000000" w:themeColor="text1"/>
          <w:lang w:val="en-GB"/>
        </w:rPr>
        <w:t>OTB</w:t>
      </w:r>
      <w:r w:rsidRPr="007E4BB2">
        <w:rPr>
          <w:rFonts w:ascii="Arial" w:hAnsi="Arial" w:cs="Arial"/>
          <w:color w:val="000000" w:themeColor="text1"/>
          <w:lang w:val="en-GB"/>
        </w:rPr>
        <w:t>, patients’ comorbidities, and treatment response</w:t>
      </w:r>
      <w:r w:rsidR="00490DFA" w:rsidRPr="007E4BB2">
        <w:rPr>
          <w:rFonts w:ascii="Arial" w:hAnsi="Arial" w:cs="Arial"/>
          <w:color w:val="000000" w:themeColor="text1"/>
          <w:lang w:val="en-GB"/>
        </w:rPr>
        <w:t>.</w:t>
      </w:r>
    </w:p>
    <w:p w14:paraId="246A7118" w14:textId="11E58097" w:rsidR="00E95B6B" w:rsidRPr="007E4BB2" w:rsidRDefault="00E95B6B" w:rsidP="00E512D1">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 xml:space="preserve">Treatment failure for individual patients </w:t>
      </w:r>
      <w:r w:rsidR="00207071" w:rsidRPr="007E4BB2">
        <w:rPr>
          <w:rFonts w:ascii="Arial" w:hAnsi="Arial" w:cs="Arial"/>
          <w:color w:val="000000" w:themeColor="text1"/>
          <w:lang w:val="en-GB"/>
        </w:rPr>
        <w:t xml:space="preserve">during </w:t>
      </w:r>
      <w:r w:rsidRPr="007E4BB2">
        <w:rPr>
          <w:rFonts w:ascii="Arial" w:hAnsi="Arial" w:cs="Arial"/>
          <w:color w:val="000000" w:themeColor="text1"/>
          <w:lang w:val="en-GB"/>
        </w:rPr>
        <w:t>follow-up was determined using criteria based on the treatment regimen received. Treatment failure was defined as any of the following:</w:t>
      </w:r>
    </w:p>
    <w:p w14:paraId="2B8D6F9A" w14:textId="6BF7F853" w:rsidR="00E95B6B" w:rsidRPr="007E4BB2" w:rsidRDefault="006356F8" w:rsidP="00E512D1">
      <w:pPr>
        <w:pStyle w:val="ListParagraph"/>
        <w:numPr>
          <w:ilvl w:val="0"/>
          <w:numId w:val="5"/>
        </w:numPr>
        <w:shd w:val="clear" w:color="auto" w:fill="FFFFFF"/>
        <w:spacing w:after="100" w:line="360" w:lineRule="auto"/>
        <w:jc w:val="both"/>
        <w:rPr>
          <w:rFonts w:ascii="Arial" w:hAnsi="Arial" w:cs="Arial"/>
          <w:color w:val="000000" w:themeColor="text1"/>
          <w:sz w:val="24"/>
          <w:szCs w:val="24"/>
          <w:lang w:val="en-GB"/>
        </w:rPr>
      </w:pPr>
      <w:r w:rsidRPr="007E4BB2">
        <w:rPr>
          <w:rFonts w:ascii="Arial" w:hAnsi="Arial" w:cs="Arial"/>
          <w:color w:val="000000" w:themeColor="text1"/>
          <w:sz w:val="24"/>
          <w:szCs w:val="24"/>
          <w:lang w:val="en-GB"/>
        </w:rPr>
        <w:t>P</w:t>
      </w:r>
      <w:r w:rsidR="00E95B6B" w:rsidRPr="007E4BB2">
        <w:rPr>
          <w:rFonts w:ascii="Arial" w:hAnsi="Arial" w:cs="Arial"/>
          <w:color w:val="000000" w:themeColor="text1"/>
          <w:sz w:val="24"/>
          <w:szCs w:val="24"/>
          <w:lang w:val="en-GB"/>
        </w:rPr>
        <w:t>ersistence or recurrence of inflammation within 6 months of completing ATT.</w:t>
      </w:r>
    </w:p>
    <w:p w14:paraId="4A78883C" w14:textId="4716031D" w:rsidR="00E95B6B" w:rsidRPr="007E4BB2" w:rsidRDefault="00E95B6B" w:rsidP="00E512D1">
      <w:pPr>
        <w:pStyle w:val="ListParagraph"/>
        <w:widowControl w:val="0"/>
        <w:numPr>
          <w:ilvl w:val="0"/>
          <w:numId w:val="5"/>
        </w:numPr>
        <w:autoSpaceDE w:val="0"/>
        <w:autoSpaceDN w:val="0"/>
        <w:adjustRightInd w:val="0"/>
        <w:spacing w:after="240" w:line="360" w:lineRule="auto"/>
        <w:rPr>
          <w:rFonts w:ascii="Arial" w:hAnsi="Arial" w:cs="Arial"/>
          <w:color w:val="000000" w:themeColor="text1"/>
          <w:sz w:val="24"/>
          <w:szCs w:val="24"/>
          <w:lang w:val="en-GB"/>
        </w:rPr>
      </w:pPr>
      <w:r w:rsidRPr="007E4BB2">
        <w:rPr>
          <w:rFonts w:ascii="Arial" w:hAnsi="Arial" w:cs="Arial"/>
          <w:color w:val="000000" w:themeColor="text1"/>
          <w:sz w:val="24"/>
          <w:szCs w:val="24"/>
          <w:lang w:val="en-GB"/>
        </w:rPr>
        <w:t>Inability to taper oral corticosteroids to &lt;10 mg/day</w:t>
      </w:r>
      <w:r w:rsidR="00207071" w:rsidRPr="007E4BB2">
        <w:rPr>
          <w:rFonts w:ascii="Arial" w:hAnsi="Arial" w:cs="Arial"/>
          <w:color w:val="000000" w:themeColor="text1"/>
          <w:sz w:val="24"/>
          <w:szCs w:val="24"/>
          <w:lang w:val="en-GB"/>
        </w:rPr>
        <w:t xml:space="preserve"> </w:t>
      </w:r>
      <w:r w:rsidR="00E512D1" w:rsidRPr="007E4BB2">
        <w:rPr>
          <w:rFonts w:ascii="Arial" w:hAnsi="Arial" w:cs="Arial"/>
          <w:color w:val="000000" w:themeColor="text1"/>
          <w:sz w:val="24"/>
          <w:szCs w:val="24"/>
          <w:lang w:val="en-GB"/>
        </w:rPr>
        <w:t xml:space="preserve">or corticosteroid eye drops to less than 2 drops daily, </w:t>
      </w:r>
      <w:r w:rsidR="00207071" w:rsidRPr="007E4BB2">
        <w:rPr>
          <w:rFonts w:ascii="Arial" w:hAnsi="Arial" w:cs="Arial"/>
          <w:color w:val="000000" w:themeColor="text1"/>
          <w:sz w:val="24"/>
          <w:szCs w:val="24"/>
          <w:lang w:val="en-GB"/>
        </w:rPr>
        <w:t>without recurrence of inflammation</w:t>
      </w:r>
      <w:r w:rsidRPr="007E4BB2">
        <w:rPr>
          <w:rFonts w:ascii="Arial" w:hAnsi="Arial" w:cs="Arial"/>
          <w:color w:val="000000" w:themeColor="text1"/>
          <w:sz w:val="24"/>
          <w:szCs w:val="24"/>
          <w:lang w:val="en-GB"/>
        </w:rPr>
        <w:t>.</w:t>
      </w:r>
    </w:p>
    <w:p w14:paraId="6D007D58" w14:textId="5669C70A" w:rsidR="00E33968" w:rsidRPr="007E4BB2" w:rsidRDefault="00E95B6B" w:rsidP="00E33968">
      <w:pPr>
        <w:pStyle w:val="ListParagraph"/>
        <w:numPr>
          <w:ilvl w:val="0"/>
          <w:numId w:val="5"/>
        </w:numPr>
        <w:shd w:val="clear" w:color="auto" w:fill="FFFFFF"/>
        <w:spacing w:after="100" w:line="360" w:lineRule="auto"/>
        <w:jc w:val="both"/>
        <w:rPr>
          <w:rFonts w:ascii="Arial" w:hAnsi="Arial" w:cs="Arial"/>
          <w:color w:val="000000" w:themeColor="text1"/>
          <w:sz w:val="24"/>
          <w:szCs w:val="24"/>
          <w:lang w:val="en-GB"/>
        </w:rPr>
      </w:pPr>
      <w:r w:rsidRPr="007E4BB2">
        <w:rPr>
          <w:rFonts w:ascii="Arial" w:hAnsi="Arial" w:cs="Arial"/>
          <w:color w:val="000000" w:themeColor="text1"/>
          <w:sz w:val="24"/>
          <w:szCs w:val="24"/>
          <w:lang w:val="en-GB"/>
        </w:rPr>
        <w:t xml:space="preserve">Recalcitrant inflammation necessitating </w:t>
      </w:r>
      <w:r w:rsidR="00207071" w:rsidRPr="007E4BB2">
        <w:rPr>
          <w:rFonts w:ascii="Arial" w:hAnsi="Arial" w:cs="Arial"/>
          <w:color w:val="000000" w:themeColor="text1"/>
          <w:sz w:val="24"/>
          <w:szCs w:val="24"/>
          <w:lang w:val="en-GB"/>
        </w:rPr>
        <w:t>cortico</w:t>
      </w:r>
      <w:r w:rsidRPr="007E4BB2">
        <w:rPr>
          <w:rFonts w:ascii="Arial" w:hAnsi="Arial" w:cs="Arial"/>
          <w:color w:val="000000" w:themeColor="text1"/>
          <w:sz w:val="24"/>
          <w:szCs w:val="24"/>
          <w:lang w:val="en-GB"/>
        </w:rPr>
        <w:t>steroid-sparing immunosuppressive therapy.</w:t>
      </w:r>
    </w:p>
    <w:p w14:paraId="49501D85" w14:textId="05EE5067" w:rsidR="004B2E8B" w:rsidRPr="007E4BB2" w:rsidRDefault="004B2E8B" w:rsidP="00032E4B">
      <w:pPr>
        <w:shd w:val="clear" w:color="auto" w:fill="FFFFFF"/>
        <w:spacing w:after="100" w:line="360" w:lineRule="auto"/>
        <w:jc w:val="both"/>
        <w:outlineLvl w:val="0"/>
        <w:rPr>
          <w:rFonts w:ascii="Arial" w:hAnsi="Arial" w:cs="Arial"/>
          <w:b/>
          <w:bCs/>
          <w:color w:val="000000" w:themeColor="text1"/>
          <w:lang w:val="en-GB"/>
        </w:rPr>
      </w:pPr>
      <w:r w:rsidRPr="007E4BB2">
        <w:rPr>
          <w:rFonts w:ascii="Arial" w:hAnsi="Arial" w:cs="Arial"/>
          <w:b/>
          <w:bCs/>
          <w:color w:val="000000" w:themeColor="text1"/>
          <w:lang w:val="en-GB"/>
        </w:rPr>
        <w:t>Data Collection</w:t>
      </w:r>
    </w:p>
    <w:p w14:paraId="2882AC94" w14:textId="79D15E08" w:rsidR="00D22CA4" w:rsidRPr="007E4BB2" w:rsidRDefault="00DA2E61" w:rsidP="00DA2E61">
      <w:pPr>
        <w:shd w:val="clear" w:color="auto" w:fill="FFFFFF"/>
        <w:spacing w:after="100" w:line="360" w:lineRule="auto"/>
        <w:jc w:val="both"/>
        <w:rPr>
          <w:rFonts w:ascii="Arial" w:hAnsi="Arial" w:cs="Arial"/>
          <w:color w:val="000000" w:themeColor="text1"/>
          <w:lang w:val="en-GB"/>
        </w:rPr>
      </w:pPr>
      <w:r w:rsidRPr="007E4BB2">
        <w:rPr>
          <w:rFonts w:ascii="Arial" w:hAnsi="Arial" w:cs="Arial"/>
          <w:color w:val="000000" w:themeColor="text1"/>
          <w:lang w:val="en-GB"/>
        </w:rPr>
        <w:t xml:space="preserve">A novel data entry platform was </w:t>
      </w:r>
      <w:r w:rsidR="00207071" w:rsidRPr="007E4BB2">
        <w:rPr>
          <w:rFonts w:ascii="Arial" w:hAnsi="Arial" w:cs="Arial"/>
          <w:color w:val="000000" w:themeColor="text1"/>
          <w:lang w:val="en-GB"/>
        </w:rPr>
        <w:t xml:space="preserve">developed </w:t>
      </w:r>
      <w:r w:rsidRPr="007E4BB2">
        <w:rPr>
          <w:rFonts w:ascii="Arial" w:hAnsi="Arial" w:cs="Arial"/>
          <w:color w:val="000000" w:themeColor="text1"/>
          <w:lang w:val="en-GB"/>
        </w:rPr>
        <w:t>to address</w:t>
      </w:r>
      <w:r w:rsidR="004B2E8B" w:rsidRPr="007E4BB2">
        <w:rPr>
          <w:rFonts w:ascii="Arial" w:hAnsi="Arial" w:cs="Arial"/>
          <w:color w:val="000000" w:themeColor="text1"/>
          <w:lang w:val="en-GB"/>
        </w:rPr>
        <w:t xml:space="preserve"> </w:t>
      </w:r>
      <w:r w:rsidRPr="007E4BB2">
        <w:rPr>
          <w:rFonts w:ascii="Arial" w:hAnsi="Arial" w:cs="Arial"/>
          <w:color w:val="000000" w:themeColor="text1"/>
          <w:lang w:val="en-GB"/>
        </w:rPr>
        <w:t xml:space="preserve">the heterogeneous nature of this disease. The variable of treatment failure was assessed at standardized 6 monthly time intervals </w:t>
      </w:r>
      <w:r w:rsidR="00515C58" w:rsidRPr="007E4BB2">
        <w:rPr>
          <w:rFonts w:ascii="Arial" w:hAnsi="Arial" w:cs="Arial"/>
          <w:color w:val="000000" w:themeColor="text1"/>
          <w:lang w:val="en-GB"/>
        </w:rPr>
        <w:t xml:space="preserve">of follow-up </w:t>
      </w:r>
      <w:r w:rsidRPr="007E4BB2">
        <w:rPr>
          <w:rFonts w:ascii="Arial" w:hAnsi="Arial" w:cs="Arial"/>
          <w:color w:val="000000" w:themeColor="text1"/>
          <w:lang w:val="en-GB"/>
        </w:rPr>
        <w:t>from initial diagnosis</w:t>
      </w:r>
      <w:r w:rsidR="00207071" w:rsidRPr="007E4BB2">
        <w:rPr>
          <w:rFonts w:ascii="Arial" w:hAnsi="Arial" w:cs="Arial"/>
          <w:color w:val="000000" w:themeColor="text1"/>
          <w:lang w:val="en-GB"/>
        </w:rPr>
        <w:t xml:space="preserve">: </w:t>
      </w:r>
      <w:r w:rsidR="00D22CA4" w:rsidRPr="007E4BB2">
        <w:rPr>
          <w:rFonts w:ascii="Arial" w:hAnsi="Arial" w:cs="Arial"/>
          <w:color w:val="000000" w:themeColor="text1"/>
          <w:lang w:val="en-GB"/>
        </w:rPr>
        <w:t xml:space="preserve"> </w:t>
      </w:r>
      <w:r w:rsidRPr="007E4BB2">
        <w:rPr>
          <w:rFonts w:ascii="Arial" w:hAnsi="Arial" w:cs="Arial"/>
          <w:color w:val="000000" w:themeColor="text1"/>
          <w:lang w:val="en-GB"/>
        </w:rPr>
        <w:t xml:space="preserve">6 months, 12 months, 18 months, and 24 months. Variables for which data </w:t>
      </w:r>
      <w:r w:rsidR="00207071" w:rsidRPr="007E4BB2">
        <w:rPr>
          <w:rFonts w:ascii="Arial" w:hAnsi="Arial" w:cs="Arial"/>
          <w:color w:val="000000" w:themeColor="text1"/>
          <w:lang w:val="en-GB"/>
        </w:rPr>
        <w:t xml:space="preserve">were </w:t>
      </w:r>
      <w:r w:rsidRPr="007E4BB2">
        <w:rPr>
          <w:rFonts w:ascii="Arial" w:hAnsi="Arial" w:cs="Arial"/>
          <w:color w:val="000000" w:themeColor="text1"/>
          <w:lang w:val="en-GB"/>
        </w:rPr>
        <w:t>not entered were treated as missing values with pairwise deletion for statistical analysis.</w:t>
      </w:r>
    </w:p>
    <w:p w14:paraId="41062C70" w14:textId="42F2155B" w:rsidR="00A63698" w:rsidRPr="007E4BB2" w:rsidRDefault="00A63698" w:rsidP="00032E4B">
      <w:pPr>
        <w:shd w:val="clear" w:color="auto" w:fill="FFFFFF"/>
        <w:spacing w:after="100" w:line="360" w:lineRule="auto"/>
        <w:jc w:val="both"/>
        <w:outlineLvl w:val="0"/>
        <w:rPr>
          <w:rFonts w:ascii="Arial" w:hAnsi="Arial" w:cs="Arial"/>
          <w:b/>
          <w:bCs/>
          <w:color w:val="000000" w:themeColor="text1"/>
          <w:lang w:val="en-GB"/>
        </w:rPr>
      </w:pPr>
      <w:r w:rsidRPr="007E4BB2">
        <w:rPr>
          <w:rFonts w:ascii="Arial" w:hAnsi="Arial" w:cs="Arial"/>
          <w:b/>
          <w:bCs/>
          <w:color w:val="000000" w:themeColor="text1"/>
          <w:lang w:val="en-GB"/>
        </w:rPr>
        <w:t>Statistical Analysis</w:t>
      </w:r>
    </w:p>
    <w:p w14:paraId="372CAA0D" w14:textId="77777777" w:rsidR="00C937C9" w:rsidRPr="007E4BB2" w:rsidRDefault="00A63698" w:rsidP="00C937C9">
      <w:pPr>
        <w:spacing w:line="360" w:lineRule="auto"/>
        <w:jc w:val="both"/>
        <w:rPr>
          <w:rFonts w:ascii="Arial" w:hAnsi="Arial" w:cs="Arial"/>
          <w:color w:val="000000" w:themeColor="text1"/>
          <w:lang w:val="en-GB"/>
        </w:rPr>
      </w:pPr>
      <w:r w:rsidRPr="007E4BB2">
        <w:rPr>
          <w:rFonts w:ascii="Arial" w:hAnsi="Arial" w:cs="Arial"/>
          <w:color w:val="000000" w:themeColor="text1"/>
          <w:lang w:val="en-GB"/>
        </w:rPr>
        <w:t xml:space="preserve">Frequencies and percentages were </w:t>
      </w:r>
      <w:r w:rsidR="00207071" w:rsidRPr="007E4BB2">
        <w:rPr>
          <w:rFonts w:ascii="Arial" w:hAnsi="Arial" w:cs="Arial"/>
          <w:color w:val="000000" w:themeColor="text1"/>
          <w:lang w:val="en-GB"/>
        </w:rPr>
        <w:t xml:space="preserve">calculated </w:t>
      </w:r>
      <w:r w:rsidRPr="007E4BB2">
        <w:rPr>
          <w:rFonts w:ascii="Arial" w:hAnsi="Arial" w:cs="Arial"/>
          <w:color w:val="000000" w:themeColor="text1"/>
          <w:lang w:val="en-GB"/>
        </w:rPr>
        <w:t xml:space="preserve">for different study variables. </w:t>
      </w:r>
      <w:r w:rsidR="00365646" w:rsidRPr="007E4BB2">
        <w:rPr>
          <w:rFonts w:ascii="Arial" w:hAnsi="Arial" w:cs="Arial"/>
          <w:color w:val="000000" w:themeColor="text1"/>
          <w:lang w:val="en-GB"/>
        </w:rPr>
        <w:t xml:space="preserve">The categorical </w:t>
      </w:r>
      <w:r w:rsidRPr="007E4BB2">
        <w:rPr>
          <w:rFonts w:ascii="Arial" w:hAnsi="Arial" w:cs="Arial"/>
          <w:color w:val="000000" w:themeColor="text1"/>
          <w:lang w:val="en-GB"/>
        </w:rPr>
        <w:t>variables</w:t>
      </w:r>
      <w:r w:rsidR="00365646" w:rsidRPr="007E4BB2">
        <w:rPr>
          <w:rFonts w:ascii="Arial" w:hAnsi="Arial" w:cs="Arial"/>
          <w:color w:val="000000" w:themeColor="text1"/>
          <w:lang w:val="en-GB"/>
        </w:rPr>
        <w:t xml:space="preserve"> were compared using Pearson’s </w:t>
      </w:r>
      <w:r w:rsidR="00207071" w:rsidRPr="007E4BB2">
        <w:rPr>
          <w:rFonts w:ascii="Arial" w:hAnsi="Arial" w:cs="Arial"/>
          <w:color w:val="000000" w:themeColor="text1"/>
          <w:lang w:val="en-GB"/>
        </w:rPr>
        <w:t>χ</w:t>
      </w:r>
      <w:r w:rsidR="00207071" w:rsidRPr="007E4BB2">
        <w:rPr>
          <w:rFonts w:ascii="Arial" w:hAnsi="Arial" w:cs="Arial"/>
          <w:color w:val="000000" w:themeColor="text1"/>
          <w:vertAlign w:val="superscript"/>
          <w:lang w:val="en-GB"/>
        </w:rPr>
        <w:t>2</w:t>
      </w:r>
      <w:r w:rsidR="00365646" w:rsidRPr="007E4BB2">
        <w:rPr>
          <w:rFonts w:ascii="Arial" w:hAnsi="Arial" w:cs="Arial"/>
          <w:color w:val="000000" w:themeColor="text1"/>
          <w:lang w:val="en-GB"/>
        </w:rPr>
        <w:t xml:space="preserve"> test, while continuous </w:t>
      </w:r>
      <w:r w:rsidRPr="007E4BB2">
        <w:rPr>
          <w:rFonts w:ascii="Arial" w:hAnsi="Arial" w:cs="Arial"/>
          <w:color w:val="000000" w:themeColor="text1"/>
          <w:lang w:val="en-GB"/>
        </w:rPr>
        <w:t>variables</w:t>
      </w:r>
      <w:r w:rsidR="00365646" w:rsidRPr="007E4BB2">
        <w:rPr>
          <w:rFonts w:ascii="Arial" w:hAnsi="Arial" w:cs="Arial"/>
          <w:color w:val="000000" w:themeColor="text1"/>
          <w:lang w:val="en-GB"/>
        </w:rPr>
        <w:t xml:space="preserve"> were compared using </w:t>
      </w:r>
      <w:r w:rsidR="00365646" w:rsidRPr="007E4BB2">
        <w:rPr>
          <w:rFonts w:ascii="Arial" w:hAnsi="Arial" w:cs="Arial"/>
          <w:i/>
          <w:color w:val="000000" w:themeColor="text1"/>
          <w:lang w:val="en-GB"/>
        </w:rPr>
        <w:t>t</w:t>
      </w:r>
      <w:r w:rsidR="00365646" w:rsidRPr="007E4BB2">
        <w:rPr>
          <w:rFonts w:ascii="Arial" w:hAnsi="Arial" w:cs="Arial"/>
          <w:color w:val="000000" w:themeColor="text1"/>
          <w:lang w:val="en-GB"/>
        </w:rPr>
        <w:t>-test for independent samples.</w:t>
      </w:r>
      <w:r w:rsidRPr="007E4BB2">
        <w:rPr>
          <w:rFonts w:ascii="Arial" w:hAnsi="Arial" w:cs="Arial"/>
          <w:color w:val="000000" w:themeColor="text1"/>
          <w:lang w:val="en-GB"/>
        </w:rPr>
        <w:t xml:space="preserve"> </w:t>
      </w:r>
      <w:r w:rsidR="00255933" w:rsidRPr="007E4BB2">
        <w:rPr>
          <w:rFonts w:ascii="Arial" w:hAnsi="Arial" w:cs="Arial"/>
          <w:color w:val="000000" w:themeColor="text1"/>
          <w:lang w:val="en-GB"/>
        </w:rPr>
        <w:t xml:space="preserve">Non-parametric </w:t>
      </w:r>
      <w:r w:rsidR="00255933" w:rsidRPr="007E4BB2">
        <w:rPr>
          <w:rFonts w:ascii="Arial" w:hAnsi="Arial" w:cs="Arial"/>
          <w:color w:val="000000" w:themeColor="text1"/>
          <w:lang w:val="en-GB"/>
        </w:rPr>
        <w:lastRenderedPageBreak/>
        <w:t xml:space="preserve">survival analysis with Kaplan-Meier plots was performed to determine the </w:t>
      </w:r>
      <w:r w:rsidR="00207071" w:rsidRPr="007E4BB2">
        <w:rPr>
          <w:rFonts w:ascii="Arial" w:hAnsi="Arial" w:cs="Arial"/>
          <w:color w:val="000000" w:themeColor="text1"/>
          <w:lang w:val="en-GB"/>
        </w:rPr>
        <w:t xml:space="preserve">uveitis recurrence-free </w:t>
      </w:r>
      <w:r w:rsidR="00255933" w:rsidRPr="007E4BB2">
        <w:rPr>
          <w:rFonts w:ascii="Arial" w:hAnsi="Arial" w:cs="Arial"/>
          <w:color w:val="000000" w:themeColor="text1"/>
          <w:lang w:val="en-GB"/>
        </w:rPr>
        <w:t xml:space="preserve">survival patterns in 2 groups - ATT administered and ATT non-administered. The statistical significance of the difference in survival rates was determined using the </w:t>
      </w:r>
      <w:r w:rsidR="00365646" w:rsidRPr="007E4BB2">
        <w:rPr>
          <w:rFonts w:ascii="Arial" w:hAnsi="Arial" w:cs="Arial"/>
          <w:color w:val="000000" w:themeColor="text1"/>
          <w:lang w:val="en-GB"/>
        </w:rPr>
        <w:t>Log-rank test.</w:t>
      </w:r>
      <w:r w:rsidR="00EA58F6" w:rsidRPr="007E4BB2">
        <w:rPr>
          <w:rFonts w:ascii="Arial" w:hAnsi="Arial" w:cs="Arial"/>
          <w:color w:val="000000" w:themeColor="text1"/>
          <w:lang w:val="en-GB"/>
        </w:rPr>
        <w:t xml:space="preserve"> </w:t>
      </w:r>
    </w:p>
    <w:p w14:paraId="1E3AE5EE" w14:textId="578655E6" w:rsidR="00C937C9" w:rsidRPr="007E4BB2" w:rsidRDefault="00EA58F6" w:rsidP="00C937C9">
      <w:pPr>
        <w:spacing w:line="360" w:lineRule="auto"/>
        <w:jc w:val="both"/>
        <w:rPr>
          <w:rFonts w:ascii="Arial" w:hAnsi="Arial" w:cs="Arial"/>
          <w:color w:val="000000" w:themeColor="text1"/>
          <w:vertAlign w:val="superscript"/>
          <w:lang w:val="en-GB"/>
        </w:rPr>
      </w:pPr>
      <w:r w:rsidRPr="007E4BB2">
        <w:rPr>
          <w:rFonts w:ascii="Arial" w:hAnsi="Arial" w:cs="Arial"/>
          <w:color w:val="000000" w:themeColor="text1"/>
          <w:lang w:val="en-GB"/>
        </w:rPr>
        <w:t xml:space="preserve">Linear mixed modelling was performed to determine if </w:t>
      </w:r>
      <w:r w:rsidR="00815728" w:rsidRPr="007E4BB2">
        <w:rPr>
          <w:rFonts w:ascii="Arial" w:hAnsi="Arial" w:cs="Arial"/>
          <w:color w:val="000000" w:themeColor="text1"/>
          <w:lang w:val="en-GB"/>
        </w:rPr>
        <w:t>v</w:t>
      </w:r>
      <w:r w:rsidRPr="007E4BB2">
        <w:rPr>
          <w:rFonts w:ascii="Arial" w:hAnsi="Arial" w:cs="Arial"/>
          <w:color w:val="000000" w:themeColor="text1"/>
          <w:lang w:val="en-GB"/>
        </w:rPr>
        <w:t xml:space="preserve">isual </w:t>
      </w:r>
      <w:r w:rsidR="00815728" w:rsidRPr="007E4BB2">
        <w:rPr>
          <w:rFonts w:ascii="Arial" w:hAnsi="Arial" w:cs="Arial"/>
          <w:color w:val="000000" w:themeColor="text1"/>
          <w:lang w:val="en-GB"/>
        </w:rPr>
        <w:t>ac</w:t>
      </w:r>
      <w:r w:rsidRPr="007E4BB2">
        <w:rPr>
          <w:rFonts w:ascii="Arial" w:hAnsi="Arial" w:cs="Arial"/>
          <w:color w:val="000000" w:themeColor="text1"/>
          <w:lang w:val="en-GB"/>
        </w:rPr>
        <w:t xml:space="preserve">uity differed significantly between ATT administered and non-administered groups over time. </w:t>
      </w:r>
      <w:r w:rsidR="002123BB" w:rsidRPr="007E4BB2">
        <w:rPr>
          <w:rFonts w:ascii="Arial" w:hAnsi="Arial" w:cs="Arial"/>
          <w:color w:val="000000" w:themeColor="text1"/>
          <w:lang w:val="en-GB"/>
        </w:rPr>
        <w:t xml:space="preserve">The fixed effects were treatment administered (ATT or no ATT) and </w:t>
      </w:r>
      <w:r w:rsidR="00DF0395" w:rsidRPr="007E4BB2">
        <w:rPr>
          <w:rFonts w:ascii="Arial" w:hAnsi="Arial" w:cs="Arial"/>
          <w:color w:val="000000" w:themeColor="text1"/>
          <w:lang w:val="en-GB"/>
        </w:rPr>
        <w:t>sex</w:t>
      </w:r>
      <w:r w:rsidR="003B3629" w:rsidRPr="007E4BB2">
        <w:rPr>
          <w:rFonts w:ascii="Arial" w:hAnsi="Arial" w:cs="Arial"/>
          <w:color w:val="000000" w:themeColor="text1"/>
          <w:lang w:val="en-GB"/>
        </w:rPr>
        <w:t>.</w:t>
      </w:r>
      <w:r w:rsidR="002123BB" w:rsidRPr="007E4BB2">
        <w:rPr>
          <w:rFonts w:ascii="Arial" w:hAnsi="Arial" w:cs="Arial"/>
          <w:color w:val="000000" w:themeColor="text1"/>
          <w:lang w:val="en-GB"/>
        </w:rPr>
        <w:t xml:space="preserve"> Patient ID was regarded as a random effect. The unstructured variance-covariance relationship was considered for visual acuity across time. </w:t>
      </w:r>
      <w:r w:rsidR="00255933" w:rsidRPr="007E4BB2">
        <w:rPr>
          <w:rFonts w:ascii="Arial" w:hAnsi="Arial" w:cs="Arial"/>
          <w:color w:val="000000" w:themeColor="text1"/>
          <w:lang w:val="en-GB"/>
        </w:rPr>
        <w:t xml:space="preserve">All analyses were conducted using </w:t>
      </w:r>
      <w:r w:rsidR="00271914" w:rsidRPr="007E4BB2">
        <w:rPr>
          <w:rFonts w:ascii="Arial" w:hAnsi="Arial" w:cs="Arial"/>
          <w:color w:val="000000" w:themeColor="text1"/>
          <w:lang w:val="en-GB"/>
        </w:rPr>
        <w:t xml:space="preserve">SPSS statistical software </w:t>
      </w:r>
      <w:r w:rsidR="00207071" w:rsidRPr="007E4BB2">
        <w:rPr>
          <w:rFonts w:ascii="Arial" w:hAnsi="Arial" w:cs="Arial"/>
          <w:color w:val="000000" w:themeColor="text1"/>
          <w:lang w:val="en-GB"/>
        </w:rPr>
        <w:t>(</w:t>
      </w:r>
      <w:r w:rsidR="003070DE" w:rsidRPr="007E4BB2">
        <w:rPr>
          <w:rFonts w:ascii="Arial" w:hAnsi="Arial" w:cs="Arial"/>
          <w:color w:val="000000" w:themeColor="text1"/>
          <w:shd w:val="clear" w:color="auto" w:fill="FFFFFF"/>
          <w:lang w:val="en-GB"/>
        </w:rPr>
        <w:t>IBM SPSS Statistics for Windows, Version 25.0. Armonk, NY: IBM Corp.</w:t>
      </w:r>
      <w:r w:rsidR="00207071" w:rsidRPr="007E4BB2">
        <w:rPr>
          <w:rFonts w:ascii="Arial" w:hAnsi="Arial" w:cs="Arial"/>
          <w:color w:val="000000" w:themeColor="text1"/>
          <w:lang w:val="en-GB"/>
        </w:rPr>
        <w:t xml:space="preserve">); </w:t>
      </w:r>
      <w:r w:rsidR="00255933" w:rsidRPr="007E4BB2">
        <w:rPr>
          <w:rFonts w:ascii="Arial" w:hAnsi="Arial" w:cs="Arial"/>
          <w:color w:val="000000" w:themeColor="text1"/>
          <w:lang w:val="en-GB"/>
        </w:rPr>
        <w:t>statistical significance was tested at 5%</w:t>
      </w:r>
      <w:r w:rsidR="00B43A7B" w:rsidRPr="007E4BB2">
        <w:rPr>
          <w:rFonts w:ascii="Arial" w:hAnsi="Arial" w:cs="Arial"/>
          <w:color w:val="000000" w:themeColor="text1"/>
          <w:lang w:val="en-GB"/>
        </w:rPr>
        <w:t xml:space="preserve"> type 1 error probability without adjustment for multiple comparisons (as recommended for observational studies</w:t>
      </w:r>
      <w:r w:rsidR="00CB0A49" w:rsidRPr="007E4BB2">
        <w:rPr>
          <w:rFonts w:ascii="Arial" w:hAnsi="Arial" w:cs="Arial"/>
          <w:color w:val="000000" w:themeColor="text1"/>
          <w:lang w:val="en-GB"/>
        </w:rPr>
        <w:t>)</w:t>
      </w:r>
      <w:r w:rsidR="00255933" w:rsidRPr="007E4BB2">
        <w:rPr>
          <w:rFonts w:ascii="Arial" w:hAnsi="Arial" w:cs="Arial"/>
          <w:color w:val="000000" w:themeColor="text1"/>
          <w:lang w:val="en-GB"/>
        </w:rPr>
        <w:t>.</w:t>
      </w:r>
      <w:r w:rsidR="00CB0A49" w:rsidRPr="007E4BB2">
        <w:rPr>
          <w:rFonts w:ascii="Arial" w:hAnsi="Arial" w:cs="Arial"/>
          <w:color w:val="000000" w:themeColor="text1"/>
          <w:vertAlign w:val="superscript"/>
          <w:lang w:val="en-GB"/>
        </w:rPr>
        <w:t>12</w:t>
      </w:r>
      <w:r w:rsidR="00C937C9" w:rsidRPr="007E4BB2">
        <w:rPr>
          <w:rFonts w:ascii="Arial" w:hAnsi="Arial" w:cs="Arial"/>
          <w:color w:val="000000" w:themeColor="text1"/>
          <w:vertAlign w:val="superscript"/>
          <w:lang w:val="en-GB"/>
        </w:rPr>
        <w:t xml:space="preserve"> </w:t>
      </w:r>
    </w:p>
    <w:p w14:paraId="2A3D8CDB" w14:textId="36696FA5" w:rsidR="007159A7" w:rsidRPr="007E4BB2" w:rsidRDefault="007159A7">
      <w:pPr>
        <w:rPr>
          <w:rFonts w:ascii="Arial" w:hAnsi="Arial" w:cs="Arial"/>
          <w:color w:val="000000" w:themeColor="text1"/>
          <w:lang w:val="en-GB"/>
        </w:rPr>
      </w:pPr>
    </w:p>
    <w:p w14:paraId="158CF2EA" w14:textId="6A1E3A33" w:rsidR="00EA58F6" w:rsidRPr="007E4BB2" w:rsidRDefault="00EA58F6" w:rsidP="00032E4B">
      <w:pPr>
        <w:shd w:val="clear" w:color="auto" w:fill="FFFFFF"/>
        <w:spacing w:after="100"/>
        <w:outlineLvl w:val="0"/>
        <w:rPr>
          <w:rFonts w:ascii="Arial" w:hAnsi="Arial" w:cs="Arial"/>
          <w:b/>
          <w:bCs/>
          <w:caps/>
          <w:color w:val="000000" w:themeColor="text1"/>
          <w:lang w:val="en-GB"/>
        </w:rPr>
      </w:pPr>
      <w:r w:rsidRPr="007E4BB2">
        <w:rPr>
          <w:rFonts w:ascii="Arial" w:hAnsi="Arial" w:cs="Arial"/>
          <w:b/>
          <w:bCs/>
          <w:caps/>
          <w:color w:val="000000" w:themeColor="text1"/>
          <w:lang w:val="en-GB"/>
        </w:rPr>
        <w:t>RESULTS</w:t>
      </w:r>
    </w:p>
    <w:p w14:paraId="16EAE178" w14:textId="77777777" w:rsidR="00127E4F" w:rsidRDefault="00127E4F" w:rsidP="009566F1">
      <w:pPr>
        <w:spacing w:line="360" w:lineRule="auto"/>
        <w:jc w:val="both"/>
        <w:rPr>
          <w:rFonts w:ascii="Arial" w:hAnsi="Arial" w:cs="Arial"/>
          <w:color w:val="000000" w:themeColor="text1"/>
          <w:lang w:val="en-GB"/>
        </w:rPr>
      </w:pPr>
    </w:p>
    <w:p w14:paraId="45BD3694" w14:textId="08B50899" w:rsidR="00D9476A" w:rsidRPr="00B94160" w:rsidRDefault="007159A7" w:rsidP="009566F1">
      <w:pPr>
        <w:spacing w:line="360" w:lineRule="auto"/>
        <w:jc w:val="both"/>
        <w:rPr>
          <w:rFonts w:ascii="Arial" w:hAnsi="Arial" w:cs="Arial"/>
          <w:color w:val="000000" w:themeColor="text1"/>
          <w:lang w:val="en-GB"/>
        </w:rPr>
      </w:pPr>
      <w:r w:rsidRPr="007E4BB2">
        <w:rPr>
          <w:rFonts w:ascii="Arial" w:hAnsi="Arial" w:cs="Arial"/>
          <w:color w:val="000000" w:themeColor="text1"/>
          <w:lang w:val="en-GB"/>
        </w:rPr>
        <w:t>One hundred and sixty-five patients with TAU were included in th</w:t>
      </w:r>
      <w:r w:rsidR="00D22CA4" w:rsidRPr="007E4BB2">
        <w:rPr>
          <w:rFonts w:ascii="Arial" w:hAnsi="Arial" w:cs="Arial"/>
          <w:color w:val="000000" w:themeColor="text1"/>
          <w:lang w:val="en-GB"/>
        </w:rPr>
        <w:t>e</w:t>
      </w:r>
      <w:r w:rsidRPr="007E4BB2">
        <w:rPr>
          <w:rFonts w:ascii="Arial" w:hAnsi="Arial" w:cs="Arial"/>
          <w:color w:val="000000" w:themeColor="text1"/>
          <w:lang w:val="en-GB"/>
        </w:rPr>
        <w:t xml:space="preserve"> study. Patients had a mean age of </w:t>
      </w:r>
      <w:r w:rsidR="00BD4D59" w:rsidRPr="007E4BB2">
        <w:rPr>
          <w:rFonts w:ascii="Arial" w:hAnsi="Arial" w:cs="Arial"/>
          <w:color w:val="000000" w:themeColor="text1"/>
          <w:lang w:val="en-GB"/>
        </w:rPr>
        <w:t>45.4 ± 15.7 years</w:t>
      </w:r>
      <w:r w:rsidR="00A55A87" w:rsidRPr="007E4BB2">
        <w:rPr>
          <w:rFonts w:ascii="Arial" w:hAnsi="Arial" w:cs="Arial"/>
          <w:color w:val="000000" w:themeColor="text1"/>
          <w:lang w:val="en-GB"/>
        </w:rPr>
        <w:t>. Females represented 52.7% of this cohort</w:t>
      </w:r>
      <w:r w:rsidR="00BD4D59" w:rsidRPr="007E4BB2">
        <w:rPr>
          <w:rFonts w:ascii="Arial" w:hAnsi="Arial" w:cs="Arial"/>
          <w:color w:val="000000" w:themeColor="text1"/>
          <w:lang w:val="en-GB"/>
        </w:rPr>
        <w:t xml:space="preserve"> (n = 87/165</w:t>
      </w:r>
      <w:r w:rsidR="00CE2891" w:rsidRPr="007E4BB2">
        <w:rPr>
          <w:rFonts w:ascii="Arial" w:hAnsi="Arial" w:cs="Arial"/>
          <w:color w:val="000000" w:themeColor="text1"/>
          <w:lang w:val="en-GB"/>
        </w:rPr>
        <w:t xml:space="preserve">) </w:t>
      </w:r>
      <w:r w:rsidR="00A55A87" w:rsidRPr="007E4BB2">
        <w:rPr>
          <w:rFonts w:ascii="Arial" w:hAnsi="Arial" w:cs="Arial"/>
          <w:color w:val="000000" w:themeColor="text1"/>
          <w:lang w:val="en-GB"/>
        </w:rPr>
        <w:t>and 63</w:t>
      </w:r>
      <w:r w:rsidR="00A55A87" w:rsidRPr="00B94160">
        <w:rPr>
          <w:rFonts w:ascii="Arial" w:hAnsi="Arial" w:cs="Arial"/>
          <w:color w:val="000000" w:themeColor="text1"/>
          <w:lang w:val="en-GB"/>
        </w:rPr>
        <w:t>% were</w:t>
      </w:r>
      <w:r w:rsidR="00461630" w:rsidRPr="00B94160">
        <w:rPr>
          <w:rFonts w:ascii="Arial" w:hAnsi="Arial" w:cs="Arial"/>
          <w:color w:val="000000" w:themeColor="text1"/>
          <w:lang w:val="en-GB"/>
        </w:rPr>
        <w:t xml:space="preserve"> of</w:t>
      </w:r>
      <w:r w:rsidR="00783EE9" w:rsidRPr="00B94160">
        <w:rPr>
          <w:rFonts w:ascii="Arial" w:hAnsi="Arial" w:cs="Arial"/>
          <w:color w:val="000000" w:themeColor="text1"/>
          <w:lang w:val="en-GB"/>
        </w:rPr>
        <w:t xml:space="preserve"> </w:t>
      </w:r>
      <w:r w:rsidR="00CE2891" w:rsidRPr="00B94160">
        <w:rPr>
          <w:rFonts w:ascii="Arial" w:hAnsi="Arial" w:cs="Arial"/>
          <w:color w:val="000000" w:themeColor="text1"/>
          <w:lang w:val="en-GB"/>
        </w:rPr>
        <w:t xml:space="preserve">Asian </w:t>
      </w:r>
      <w:r w:rsidR="00E204EF" w:rsidRPr="00B94160">
        <w:rPr>
          <w:rFonts w:ascii="Arial" w:hAnsi="Arial" w:cs="Arial"/>
          <w:color w:val="000000" w:themeColor="text1"/>
          <w:lang w:val="en-GB"/>
        </w:rPr>
        <w:t xml:space="preserve">geographical origin (n = 104/165). </w:t>
      </w:r>
      <w:r w:rsidR="00127E4F" w:rsidRPr="00B94160">
        <w:rPr>
          <w:rFonts w:ascii="Arial" w:hAnsi="Arial" w:cs="Arial"/>
          <w:color w:val="000000" w:themeColor="text1"/>
          <w:lang w:val="en-GB"/>
        </w:rPr>
        <w:t xml:space="preserve">Around 31% (n = 52/165) of the patients had chest features consistent with inactive or healed pulmonary TB, in particular 42/165 (25.4%) and 10/165 (6.0%) had positive findings on chest Xray and chest computed tomography, respectively. </w:t>
      </w:r>
      <w:r w:rsidR="00D22CA4" w:rsidRPr="00B94160">
        <w:rPr>
          <w:rFonts w:ascii="Arial" w:hAnsi="Arial" w:cs="Arial"/>
          <w:color w:val="000000" w:themeColor="text1"/>
          <w:lang w:val="en-GB"/>
        </w:rPr>
        <w:t>The</w:t>
      </w:r>
      <w:r w:rsidR="00B645E5" w:rsidRPr="00B94160">
        <w:rPr>
          <w:rFonts w:ascii="Arial" w:hAnsi="Arial" w:cs="Arial"/>
          <w:color w:val="000000" w:themeColor="text1"/>
          <w:lang w:val="en-GB"/>
        </w:rPr>
        <w:t xml:space="preserve"> majority </w:t>
      </w:r>
      <w:r w:rsidR="00D22CA4" w:rsidRPr="00B94160">
        <w:rPr>
          <w:rFonts w:ascii="Arial" w:hAnsi="Arial" w:cs="Arial"/>
          <w:color w:val="000000" w:themeColor="text1"/>
          <w:lang w:val="en-GB"/>
        </w:rPr>
        <w:t xml:space="preserve">of subjects </w:t>
      </w:r>
      <w:r w:rsidR="00B645E5" w:rsidRPr="00B94160">
        <w:rPr>
          <w:rFonts w:ascii="Arial" w:hAnsi="Arial" w:cs="Arial"/>
          <w:color w:val="000000" w:themeColor="text1"/>
          <w:lang w:val="en-GB"/>
        </w:rPr>
        <w:t>presented with normal visual acuity (n =</w:t>
      </w:r>
      <w:r w:rsidR="00350688" w:rsidRPr="00B94160">
        <w:rPr>
          <w:rFonts w:ascii="Arial" w:hAnsi="Arial" w:cs="Arial"/>
          <w:color w:val="000000" w:themeColor="text1"/>
          <w:lang w:val="en-GB"/>
        </w:rPr>
        <w:t xml:space="preserve"> 102/165, 69.4%)</w:t>
      </w:r>
      <w:r w:rsidR="00B645E5" w:rsidRPr="00B94160">
        <w:rPr>
          <w:rFonts w:ascii="Arial" w:hAnsi="Arial" w:cs="Arial"/>
          <w:color w:val="000000" w:themeColor="text1"/>
          <w:lang w:val="en-GB"/>
        </w:rPr>
        <w:t>. D</w:t>
      </w:r>
      <w:r w:rsidR="00E204EF" w:rsidRPr="00B94160">
        <w:rPr>
          <w:rFonts w:ascii="Arial" w:hAnsi="Arial" w:cs="Arial"/>
          <w:color w:val="000000" w:themeColor="text1"/>
          <w:lang w:val="en-GB"/>
        </w:rPr>
        <w:t xml:space="preserve">emographics and </w:t>
      </w:r>
      <w:r w:rsidR="00A55A87" w:rsidRPr="00B94160">
        <w:rPr>
          <w:rFonts w:ascii="Arial" w:hAnsi="Arial" w:cs="Arial"/>
          <w:color w:val="000000" w:themeColor="text1"/>
          <w:lang w:val="en-GB"/>
        </w:rPr>
        <w:t xml:space="preserve">the </w:t>
      </w:r>
      <w:r w:rsidR="00E204EF" w:rsidRPr="00B94160">
        <w:rPr>
          <w:rFonts w:ascii="Arial" w:hAnsi="Arial" w:cs="Arial"/>
          <w:color w:val="000000" w:themeColor="text1"/>
          <w:lang w:val="en-GB"/>
        </w:rPr>
        <w:t>clinical presentations of patients are further described</w:t>
      </w:r>
      <w:r w:rsidR="004613F9" w:rsidRPr="00B94160">
        <w:rPr>
          <w:rFonts w:ascii="Arial" w:hAnsi="Arial" w:cs="Arial"/>
          <w:color w:val="000000" w:themeColor="text1"/>
          <w:lang w:val="en-GB"/>
        </w:rPr>
        <w:t xml:space="preserve"> in </w:t>
      </w:r>
      <w:r w:rsidR="004613F9" w:rsidRPr="00B94160">
        <w:rPr>
          <w:rFonts w:ascii="Arial" w:hAnsi="Arial" w:cs="Arial"/>
          <w:b/>
          <w:color w:val="000000" w:themeColor="text1"/>
          <w:lang w:val="en-GB"/>
        </w:rPr>
        <w:t>Table 1.</w:t>
      </w:r>
    </w:p>
    <w:p w14:paraId="79858873" w14:textId="52549E04" w:rsidR="005861F5" w:rsidRPr="001445C2" w:rsidRDefault="005861F5" w:rsidP="00D34589">
      <w:pPr>
        <w:spacing w:line="360" w:lineRule="auto"/>
        <w:jc w:val="both"/>
        <w:rPr>
          <w:rFonts w:ascii="Arial" w:hAnsi="Arial" w:cs="Arial"/>
          <w:color w:val="000000" w:themeColor="text1"/>
          <w:lang w:val="en-GB"/>
        </w:rPr>
      </w:pPr>
      <w:r w:rsidRPr="00B94160">
        <w:rPr>
          <w:rFonts w:ascii="Arial" w:hAnsi="Arial" w:cs="Arial"/>
          <w:b/>
          <w:color w:val="000000" w:themeColor="text1"/>
          <w:lang w:val="en-GB"/>
        </w:rPr>
        <w:t>Table 2</w:t>
      </w:r>
      <w:r w:rsidRPr="00B94160">
        <w:rPr>
          <w:rFonts w:ascii="Arial" w:hAnsi="Arial" w:cs="Arial"/>
          <w:color w:val="000000" w:themeColor="text1"/>
          <w:lang w:val="en-GB"/>
        </w:rPr>
        <w:t xml:space="preserve"> compares characteristics of patients separated into two groups according to ATT administration. </w:t>
      </w:r>
      <w:r w:rsidR="00D22CA4" w:rsidRPr="00B94160">
        <w:rPr>
          <w:rFonts w:ascii="Arial" w:hAnsi="Arial" w:cs="Arial"/>
          <w:color w:val="000000" w:themeColor="text1"/>
          <w:lang w:val="en-GB"/>
        </w:rPr>
        <w:t>Overall, 107</w:t>
      </w:r>
      <w:r w:rsidRPr="00B94160">
        <w:rPr>
          <w:rFonts w:ascii="Arial" w:hAnsi="Arial" w:cs="Arial"/>
          <w:color w:val="000000" w:themeColor="text1"/>
          <w:lang w:val="en-GB"/>
        </w:rPr>
        <w:t xml:space="preserve"> patients </w:t>
      </w:r>
      <w:r w:rsidR="00D22CA4" w:rsidRPr="00B94160">
        <w:rPr>
          <w:rFonts w:ascii="Arial" w:hAnsi="Arial" w:cs="Arial"/>
          <w:color w:val="000000" w:themeColor="text1"/>
          <w:lang w:val="en-GB"/>
        </w:rPr>
        <w:t>received</w:t>
      </w:r>
      <w:r w:rsidRPr="00B94160">
        <w:rPr>
          <w:rFonts w:ascii="Arial" w:hAnsi="Arial" w:cs="Arial"/>
          <w:color w:val="000000" w:themeColor="text1"/>
          <w:lang w:val="en-GB"/>
        </w:rPr>
        <w:t xml:space="preserve"> ATT (n = 107/165; 64.9%) and </w:t>
      </w:r>
      <w:r w:rsidR="00287D9D" w:rsidRPr="00B94160">
        <w:rPr>
          <w:rFonts w:ascii="Arial" w:hAnsi="Arial" w:cs="Arial"/>
          <w:color w:val="000000" w:themeColor="text1"/>
          <w:lang w:val="en-GB"/>
        </w:rPr>
        <w:t>all the patients had topical steroid therapy (with different dosage, varying duration and varying number of times)</w:t>
      </w:r>
      <w:r w:rsidR="006C34A6" w:rsidRPr="00B94160">
        <w:rPr>
          <w:rFonts w:ascii="Arial" w:hAnsi="Arial" w:cs="Arial"/>
          <w:color w:val="000000" w:themeColor="text1"/>
          <w:lang w:val="en-GB"/>
        </w:rPr>
        <w:t>.</w:t>
      </w:r>
      <w:r w:rsidR="00287D9D" w:rsidRPr="00B94160">
        <w:rPr>
          <w:rFonts w:ascii="Arial" w:hAnsi="Arial" w:cs="Arial"/>
          <w:color w:val="000000" w:themeColor="text1"/>
          <w:lang w:val="en-GB"/>
        </w:rPr>
        <w:t xml:space="preserve"> </w:t>
      </w:r>
      <w:r w:rsidR="000E157B" w:rsidRPr="00B94160">
        <w:rPr>
          <w:rFonts w:ascii="Arial" w:hAnsi="Arial" w:cs="Arial"/>
          <w:color w:val="000000" w:themeColor="text1"/>
          <w:lang w:val="en-GB"/>
        </w:rPr>
        <w:t xml:space="preserve">Some of the patients with severe recurrent anterior uveitis (n=23/165; 13.93%) had short courses of oral steroids as well but the details for duration and dosage was not </w:t>
      </w:r>
      <w:r w:rsidR="000E157B" w:rsidRPr="007E4BB2">
        <w:rPr>
          <w:rFonts w:ascii="Arial" w:hAnsi="Arial" w:cs="Arial"/>
          <w:color w:val="000000" w:themeColor="text1"/>
          <w:lang w:val="en-GB"/>
        </w:rPr>
        <w:t xml:space="preserve">recorded in the data entry form. </w:t>
      </w:r>
      <w:r w:rsidRPr="007E4BB2">
        <w:rPr>
          <w:rFonts w:ascii="Arial" w:hAnsi="Arial" w:cs="Arial"/>
          <w:color w:val="000000" w:themeColor="text1"/>
          <w:lang w:val="en-GB"/>
        </w:rPr>
        <w:t xml:space="preserve">Treatment failure </w:t>
      </w:r>
      <w:r w:rsidR="004211CA" w:rsidRPr="007E4BB2">
        <w:rPr>
          <w:rFonts w:ascii="Arial" w:hAnsi="Arial" w:cs="Arial"/>
          <w:color w:val="000000" w:themeColor="text1"/>
          <w:lang w:val="en-GB"/>
        </w:rPr>
        <w:t xml:space="preserve">occurred </w:t>
      </w:r>
      <w:r w:rsidRPr="007E4BB2">
        <w:rPr>
          <w:rFonts w:ascii="Arial" w:hAnsi="Arial" w:cs="Arial"/>
          <w:color w:val="000000" w:themeColor="text1"/>
          <w:lang w:val="en-GB"/>
        </w:rPr>
        <w:t>in 17 patients (n = 17/165; 10.3%)</w:t>
      </w:r>
      <w:r w:rsidR="00B43A7B" w:rsidRPr="007E4BB2">
        <w:rPr>
          <w:rFonts w:ascii="Arial" w:hAnsi="Arial" w:cs="Arial"/>
          <w:color w:val="000000" w:themeColor="text1"/>
          <w:lang w:val="en-GB"/>
        </w:rPr>
        <w:t>,</w:t>
      </w:r>
      <w:r w:rsidRPr="007E4BB2">
        <w:rPr>
          <w:rFonts w:ascii="Arial" w:hAnsi="Arial" w:cs="Arial"/>
          <w:color w:val="000000" w:themeColor="text1"/>
          <w:lang w:val="en-GB"/>
        </w:rPr>
        <w:t xml:space="preserve"> more frequently </w:t>
      </w:r>
      <w:r w:rsidR="00B43A7B" w:rsidRPr="007E4BB2">
        <w:rPr>
          <w:rFonts w:ascii="Arial" w:hAnsi="Arial" w:cs="Arial"/>
          <w:color w:val="000000" w:themeColor="text1"/>
          <w:lang w:val="en-GB"/>
        </w:rPr>
        <w:t>those</w:t>
      </w:r>
      <w:r w:rsidRPr="007E4BB2">
        <w:rPr>
          <w:rFonts w:ascii="Arial" w:hAnsi="Arial" w:cs="Arial"/>
          <w:color w:val="000000" w:themeColor="text1"/>
          <w:lang w:val="en-GB"/>
        </w:rPr>
        <w:t xml:space="preserve"> who</w:t>
      </w:r>
      <w:r w:rsidR="00B43A7B" w:rsidRPr="007E4BB2">
        <w:rPr>
          <w:rFonts w:ascii="Arial" w:hAnsi="Arial" w:cs="Arial"/>
          <w:color w:val="000000" w:themeColor="text1"/>
          <w:lang w:val="en-GB"/>
        </w:rPr>
        <w:t xml:space="preserve"> had</w:t>
      </w:r>
      <w:r w:rsidRPr="007E4BB2">
        <w:rPr>
          <w:rFonts w:ascii="Arial" w:hAnsi="Arial" w:cs="Arial"/>
          <w:color w:val="000000" w:themeColor="text1"/>
          <w:lang w:val="en-GB"/>
        </w:rPr>
        <w:t xml:space="preserve"> received ATT (n = 13/107, 12.2%)</w:t>
      </w:r>
      <w:r w:rsidR="00D22CA4" w:rsidRPr="007E4BB2">
        <w:rPr>
          <w:rFonts w:ascii="Arial" w:hAnsi="Arial" w:cs="Arial"/>
          <w:color w:val="000000" w:themeColor="text1"/>
          <w:lang w:val="en-GB"/>
        </w:rPr>
        <w:t>,</w:t>
      </w:r>
      <w:r w:rsidRPr="007E4BB2">
        <w:rPr>
          <w:rFonts w:ascii="Arial" w:hAnsi="Arial" w:cs="Arial"/>
          <w:color w:val="000000" w:themeColor="text1"/>
          <w:lang w:val="en-GB"/>
        </w:rPr>
        <w:t xml:space="preserve"> than those </w:t>
      </w:r>
      <w:r w:rsidR="00D22CA4" w:rsidRPr="007E4BB2">
        <w:rPr>
          <w:rFonts w:ascii="Arial" w:hAnsi="Arial" w:cs="Arial"/>
          <w:color w:val="000000" w:themeColor="text1"/>
          <w:lang w:val="en-GB"/>
        </w:rPr>
        <w:t>not treated with</w:t>
      </w:r>
      <w:r w:rsidRPr="007E4BB2">
        <w:rPr>
          <w:rFonts w:ascii="Arial" w:hAnsi="Arial" w:cs="Arial"/>
          <w:color w:val="000000" w:themeColor="text1"/>
          <w:lang w:val="en-GB"/>
        </w:rPr>
        <w:t xml:space="preserve"> ATT (n = 4/58, 6.9%). However, this difference was not statistically significant (p = 0.43). Except for laterality of presentation (p = 0.</w:t>
      </w:r>
      <w:r w:rsidRPr="001445C2">
        <w:rPr>
          <w:rFonts w:ascii="Arial" w:hAnsi="Arial" w:cs="Arial"/>
          <w:color w:val="000000" w:themeColor="text1"/>
          <w:lang w:val="en-GB"/>
        </w:rPr>
        <w:t xml:space="preserve">045), all other characteristics also reflected statistically insignificant differences between </w:t>
      </w:r>
      <w:r w:rsidR="00D22CA4" w:rsidRPr="001445C2">
        <w:rPr>
          <w:rFonts w:ascii="Arial" w:hAnsi="Arial" w:cs="Arial"/>
          <w:color w:val="000000" w:themeColor="text1"/>
          <w:lang w:val="en-GB"/>
        </w:rPr>
        <w:t xml:space="preserve">the </w:t>
      </w:r>
      <w:r w:rsidRPr="001445C2">
        <w:rPr>
          <w:rFonts w:ascii="Arial" w:hAnsi="Arial" w:cs="Arial"/>
          <w:color w:val="000000" w:themeColor="text1"/>
          <w:lang w:val="en-GB"/>
        </w:rPr>
        <w:t>two groups (p &gt; 0.05</w:t>
      </w:r>
      <w:r w:rsidR="00730B01" w:rsidRPr="001445C2">
        <w:rPr>
          <w:rFonts w:ascii="Arial" w:hAnsi="Arial" w:cs="Arial"/>
          <w:color w:val="000000" w:themeColor="text1"/>
          <w:lang w:val="en-GB"/>
        </w:rPr>
        <w:t>).</w:t>
      </w:r>
    </w:p>
    <w:p w14:paraId="195459F1" w14:textId="77777777" w:rsidR="000E157B" w:rsidRPr="001445C2" w:rsidRDefault="00241E39" w:rsidP="000E157B">
      <w:pPr>
        <w:spacing w:line="360" w:lineRule="auto"/>
        <w:jc w:val="both"/>
        <w:rPr>
          <w:rFonts w:ascii="Arial" w:hAnsi="Arial" w:cs="Arial"/>
          <w:color w:val="000000" w:themeColor="text1"/>
          <w:lang w:val="en-GB"/>
        </w:rPr>
      </w:pPr>
      <w:r w:rsidRPr="001445C2">
        <w:rPr>
          <w:rFonts w:ascii="Arial" w:hAnsi="Arial" w:cs="Arial"/>
          <w:b/>
          <w:color w:val="000000" w:themeColor="text1"/>
          <w:lang w:val="en-GB"/>
        </w:rPr>
        <w:lastRenderedPageBreak/>
        <w:t>Figure 1</w:t>
      </w:r>
      <w:r w:rsidRPr="001445C2">
        <w:rPr>
          <w:rFonts w:ascii="Arial" w:hAnsi="Arial" w:cs="Arial"/>
          <w:color w:val="000000" w:themeColor="text1"/>
          <w:lang w:val="en-GB"/>
        </w:rPr>
        <w:t xml:space="preserve"> shows the Kaplan-Meier plot</w:t>
      </w:r>
      <w:r w:rsidR="00614A56" w:rsidRPr="001445C2">
        <w:rPr>
          <w:rFonts w:ascii="Arial" w:hAnsi="Arial" w:cs="Arial"/>
          <w:color w:val="000000" w:themeColor="text1"/>
          <w:lang w:val="en-GB"/>
        </w:rPr>
        <w:t>s</w:t>
      </w:r>
      <w:r w:rsidRPr="001445C2">
        <w:rPr>
          <w:rFonts w:ascii="Arial" w:hAnsi="Arial" w:cs="Arial"/>
          <w:color w:val="000000" w:themeColor="text1"/>
          <w:lang w:val="en-GB"/>
        </w:rPr>
        <w:t xml:space="preserve"> obtained when survival analysis was conducted in this cohort of </w:t>
      </w:r>
      <w:r w:rsidR="00C56162" w:rsidRPr="001445C2">
        <w:rPr>
          <w:rFonts w:ascii="Arial" w:hAnsi="Arial" w:cs="Arial"/>
          <w:color w:val="000000" w:themeColor="text1"/>
          <w:lang w:val="en-GB"/>
        </w:rPr>
        <w:t xml:space="preserve">165 </w:t>
      </w:r>
      <w:r w:rsidRPr="001445C2">
        <w:rPr>
          <w:rFonts w:ascii="Arial" w:hAnsi="Arial" w:cs="Arial"/>
          <w:color w:val="000000" w:themeColor="text1"/>
          <w:lang w:val="en-GB"/>
        </w:rPr>
        <w:t>patients with TAU. The</w:t>
      </w:r>
      <w:r w:rsidR="009E745E" w:rsidRPr="001445C2">
        <w:rPr>
          <w:rFonts w:ascii="Arial" w:hAnsi="Arial" w:cs="Arial"/>
          <w:color w:val="000000" w:themeColor="text1"/>
          <w:lang w:val="en-GB"/>
        </w:rPr>
        <w:t xml:space="preserve"> survival</w:t>
      </w:r>
      <w:r w:rsidRPr="001445C2">
        <w:rPr>
          <w:rFonts w:ascii="Arial" w:hAnsi="Arial" w:cs="Arial"/>
          <w:color w:val="000000" w:themeColor="text1"/>
          <w:lang w:val="en-GB"/>
        </w:rPr>
        <w:t xml:space="preserve"> analysis was </w:t>
      </w:r>
      <w:r w:rsidR="009E745E" w:rsidRPr="001445C2">
        <w:rPr>
          <w:rFonts w:ascii="Arial" w:hAnsi="Arial" w:cs="Arial"/>
          <w:color w:val="000000" w:themeColor="text1"/>
          <w:lang w:val="en-GB"/>
        </w:rPr>
        <w:t xml:space="preserve">conducted </w:t>
      </w:r>
      <w:r w:rsidRPr="001445C2">
        <w:rPr>
          <w:rFonts w:ascii="Arial" w:hAnsi="Arial" w:cs="Arial"/>
          <w:color w:val="000000" w:themeColor="text1"/>
          <w:lang w:val="en-GB"/>
        </w:rPr>
        <w:t xml:space="preserve">based on ‘Time to treatment failure’, and compares the group </w:t>
      </w:r>
      <w:r w:rsidR="00D34589" w:rsidRPr="001445C2">
        <w:rPr>
          <w:rFonts w:ascii="Arial" w:hAnsi="Arial" w:cs="Arial"/>
          <w:color w:val="000000" w:themeColor="text1"/>
          <w:lang w:val="en-GB"/>
        </w:rPr>
        <w:t xml:space="preserve">that </w:t>
      </w:r>
      <w:r w:rsidRPr="001445C2">
        <w:rPr>
          <w:rFonts w:ascii="Arial" w:hAnsi="Arial" w:cs="Arial"/>
          <w:color w:val="000000" w:themeColor="text1"/>
          <w:lang w:val="en-GB"/>
        </w:rPr>
        <w:t>receiv</w:t>
      </w:r>
      <w:r w:rsidR="00D34589" w:rsidRPr="001445C2">
        <w:rPr>
          <w:rFonts w:ascii="Arial" w:hAnsi="Arial" w:cs="Arial"/>
          <w:color w:val="000000" w:themeColor="text1"/>
          <w:lang w:val="en-GB"/>
        </w:rPr>
        <w:t>ed</w:t>
      </w:r>
      <w:r w:rsidRPr="001445C2">
        <w:rPr>
          <w:rFonts w:ascii="Arial" w:hAnsi="Arial" w:cs="Arial"/>
          <w:color w:val="000000" w:themeColor="text1"/>
          <w:lang w:val="en-GB"/>
        </w:rPr>
        <w:t xml:space="preserve"> ATT with the group </w:t>
      </w:r>
      <w:r w:rsidR="00D34589" w:rsidRPr="001445C2">
        <w:rPr>
          <w:rFonts w:ascii="Arial" w:hAnsi="Arial" w:cs="Arial"/>
          <w:color w:val="000000" w:themeColor="text1"/>
          <w:lang w:val="en-GB"/>
        </w:rPr>
        <w:t xml:space="preserve">that did </w:t>
      </w:r>
      <w:r w:rsidRPr="001445C2">
        <w:rPr>
          <w:rFonts w:ascii="Arial" w:hAnsi="Arial" w:cs="Arial"/>
          <w:color w:val="000000" w:themeColor="text1"/>
          <w:lang w:val="en-GB"/>
        </w:rPr>
        <w:t>not receiv</w:t>
      </w:r>
      <w:r w:rsidR="00D34589" w:rsidRPr="001445C2">
        <w:rPr>
          <w:rFonts w:ascii="Arial" w:hAnsi="Arial" w:cs="Arial"/>
          <w:color w:val="000000" w:themeColor="text1"/>
          <w:lang w:val="en-GB"/>
        </w:rPr>
        <w:t xml:space="preserve">e </w:t>
      </w:r>
      <w:r w:rsidRPr="001445C2">
        <w:rPr>
          <w:rFonts w:ascii="Arial" w:hAnsi="Arial" w:cs="Arial"/>
          <w:color w:val="000000" w:themeColor="text1"/>
          <w:lang w:val="en-GB"/>
        </w:rPr>
        <w:t>ATT.</w:t>
      </w:r>
      <w:r w:rsidR="00614A56" w:rsidRPr="001445C2">
        <w:rPr>
          <w:rFonts w:ascii="Arial" w:hAnsi="Arial" w:cs="Arial"/>
          <w:color w:val="000000" w:themeColor="text1"/>
          <w:lang w:val="en-GB"/>
        </w:rPr>
        <w:t xml:space="preserve"> Among patients </w:t>
      </w:r>
      <w:r w:rsidR="00B43A7B" w:rsidRPr="001445C2">
        <w:rPr>
          <w:rFonts w:ascii="Arial" w:hAnsi="Arial" w:cs="Arial"/>
          <w:color w:val="000000" w:themeColor="text1"/>
          <w:lang w:val="en-GB"/>
        </w:rPr>
        <w:t xml:space="preserve">who </w:t>
      </w:r>
      <w:r w:rsidR="00614A56" w:rsidRPr="001445C2">
        <w:rPr>
          <w:rFonts w:ascii="Arial" w:hAnsi="Arial" w:cs="Arial"/>
          <w:color w:val="000000" w:themeColor="text1"/>
          <w:lang w:val="en-GB"/>
        </w:rPr>
        <w:t xml:space="preserve">were treated with ATT, the mean </w:t>
      </w:r>
      <w:r w:rsidR="00C36602" w:rsidRPr="001445C2">
        <w:rPr>
          <w:rFonts w:ascii="Arial" w:hAnsi="Arial" w:cs="Arial"/>
          <w:color w:val="000000" w:themeColor="text1"/>
          <w:lang w:val="en-GB"/>
        </w:rPr>
        <w:t>recurrence</w:t>
      </w:r>
      <w:r w:rsidR="00B43A7B" w:rsidRPr="001445C2">
        <w:rPr>
          <w:rFonts w:ascii="Arial" w:hAnsi="Arial" w:cs="Arial"/>
          <w:color w:val="000000" w:themeColor="text1"/>
          <w:lang w:val="en-GB"/>
        </w:rPr>
        <w:t xml:space="preserve">-free </w:t>
      </w:r>
      <w:r w:rsidR="00614A56" w:rsidRPr="001445C2">
        <w:rPr>
          <w:rFonts w:ascii="Arial" w:hAnsi="Arial" w:cs="Arial"/>
          <w:color w:val="000000" w:themeColor="text1"/>
          <w:lang w:val="en-GB"/>
        </w:rPr>
        <w:t>survival time was 21.0</w:t>
      </w:r>
      <w:r w:rsidR="00D15151" w:rsidRPr="001445C2">
        <w:rPr>
          <w:rFonts w:ascii="Arial" w:hAnsi="Arial" w:cs="Arial"/>
          <w:color w:val="000000" w:themeColor="text1"/>
          <w:lang w:val="en-GB"/>
        </w:rPr>
        <w:t xml:space="preserve"> months</w:t>
      </w:r>
      <w:r w:rsidR="00614A56" w:rsidRPr="001445C2">
        <w:rPr>
          <w:rFonts w:ascii="Arial" w:hAnsi="Arial" w:cs="Arial"/>
          <w:color w:val="000000" w:themeColor="text1"/>
          <w:lang w:val="en-GB"/>
        </w:rPr>
        <w:t xml:space="preserve"> (95% CI: 19.3 – 22.</w:t>
      </w:r>
      <w:r w:rsidR="00B43A7B" w:rsidRPr="001445C2">
        <w:rPr>
          <w:rFonts w:ascii="Arial" w:hAnsi="Arial" w:cs="Arial"/>
          <w:color w:val="000000" w:themeColor="text1"/>
          <w:lang w:val="en-GB"/>
        </w:rPr>
        <w:t>7</w:t>
      </w:r>
      <w:r w:rsidR="00614A56" w:rsidRPr="001445C2">
        <w:rPr>
          <w:rFonts w:ascii="Arial" w:hAnsi="Arial" w:cs="Arial"/>
          <w:color w:val="000000" w:themeColor="text1"/>
          <w:lang w:val="en-GB"/>
        </w:rPr>
        <w:t>).</w:t>
      </w:r>
      <w:r w:rsidR="00D34589" w:rsidRPr="001445C2">
        <w:rPr>
          <w:rFonts w:ascii="Arial" w:hAnsi="Arial" w:cs="Arial"/>
          <w:color w:val="000000" w:themeColor="text1"/>
          <w:lang w:val="en-GB"/>
        </w:rPr>
        <w:t xml:space="preserve"> The group that </w:t>
      </w:r>
      <w:r w:rsidR="00E56EF4" w:rsidRPr="001445C2">
        <w:rPr>
          <w:rFonts w:ascii="Arial" w:hAnsi="Arial" w:cs="Arial"/>
          <w:color w:val="000000" w:themeColor="text1"/>
          <w:lang w:val="en-GB"/>
        </w:rPr>
        <w:t>did not receive</w:t>
      </w:r>
      <w:r w:rsidR="000D72B5" w:rsidRPr="001445C2">
        <w:rPr>
          <w:rFonts w:ascii="Arial" w:hAnsi="Arial" w:cs="Arial"/>
          <w:color w:val="000000" w:themeColor="text1"/>
          <w:lang w:val="en-GB"/>
        </w:rPr>
        <w:t xml:space="preserve"> </w:t>
      </w:r>
      <w:r w:rsidR="00D34589" w:rsidRPr="001445C2">
        <w:rPr>
          <w:rFonts w:ascii="Arial" w:hAnsi="Arial" w:cs="Arial"/>
          <w:color w:val="000000" w:themeColor="text1"/>
          <w:lang w:val="en-GB"/>
        </w:rPr>
        <w:t xml:space="preserve">ATT had a longer mean </w:t>
      </w:r>
      <w:r w:rsidR="00B43A7B" w:rsidRPr="001445C2">
        <w:rPr>
          <w:rFonts w:ascii="Arial" w:hAnsi="Arial" w:cs="Arial"/>
          <w:color w:val="000000" w:themeColor="text1"/>
          <w:lang w:val="en-GB"/>
        </w:rPr>
        <w:t>recurrence-free</w:t>
      </w:r>
      <w:r w:rsidR="00D34589" w:rsidRPr="001445C2">
        <w:rPr>
          <w:rFonts w:ascii="Arial" w:hAnsi="Arial" w:cs="Arial"/>
          <w:color w:val="000000" w:themeColor="text1"/>
          <w:lang w:val="en-GB"/>
        </w:rPr>
        <w:t xml:space="preserve"> survival time of</w:t>
      </w:r>
      <w:r w:rsidR="00614A56" w:rsidRPr="001445C2">
        <w:rPr>
          <w:rFonts w:ascii="Arial" w:hAnsi="Arial" w:cs="Arial"/>
          <w:color w:val="000000" w:themeColor="text1"/>
          <w:lang w:val="en-GB"/>
        </w:rPr>
        <w:t xml:space="preserve"> 22.</w:t>
      </w:r>
      <w:r w:rsidR="00B43A7B" w:rsidRPr="001445C2">
        <w:rPr>
          <w:rFonts w:ascii="Arial" w:hAnsi="Arial" w:cs="Arial"/>
          <w:color w:val="000000" w:themeColor="text1"/>
          <w:lang w:val="en-GB"/>
        </w:rPr>
        <w:t>5</w:t>
      </w:r>
      <w:r w:rsidR="00614A56" w:rsidRPr="001445C2">
        <w:rPr>
          <w:rFonts w:ascii="Arial" w:hAnsi="Arial" w:cs="Arial"/>
          <w:color w:val="000000" w:themeColor="text1"/>
          <w:lang w:val="en-GB"/>
        </w:rPr>
        <w:t xml:space="preserve"> (95% CI: 20.6 – 24.</w:t>
      </w:r>
      <w:r w:rsidR="00B43A7B" w:rsidRPr="001445C2">
        <w:rPr>
          <w:rFonts w:ascii="Arial" w:hAnsi="Arial" w:cs="Arial"/>
          <w:color w:val="000000" w:themeColor="text1"/>
          <w:lang w:val="en-GB"/>
        </w:rPr>
        <w:t>4</w:t>
      </w:r>
      <w:r w:rsidR="00614A56" w:rsidRPr="001445C2">
        <w:rPr>
          <w:rFonts w:ascii="Arial" w:hAnsi="Arial" w:cs="Arial"/>
          <w:color w:val="000000" w:themeColor="text1"/>
          <w:lang w:val="en-GB"/>
        </w:rPr>
        <w:t>) months</w:t>
      </w:r>
      <w:r w:rsidR="00B43A7B" w:rsidRPr="001445C2">
        <w:rPr>
          <w:rFonts w:ascii="Arial" w:hAnsi="Arial" w:cs="Arial"/>
          <w:color w:val="000000" w:themeColor="text1"/>
          <w:lang w:val="en-GB"/>
        </w:rPr>
        <w:t>, but</w:t>
      </w:r>
      <w:r w:rsidR="00D34589" w:rsidRPr="001445C2">
        <w:rPr>
          <w:rFonts w:ascii="Arial" w:hAnsi="Arial" w:cs="Arial"/>
          <w:color w:val="000000" w:themeColor="text1"/>
          <w:lang w:val="en-GB"/>
        </w:rPr>
        <w:t xml:space="preserve"> th</w:t>
      </w:r>
      <w:r w:rsidR="00614A56" w:rsidRPr="001445C2">
        <w:rPr>
          <w:rFonts w:ascii="Arial" w:hAnsi="Arial" w:cs="Arial"/>
          <w:color w:val="000000" w:themeColor="text1"/>
          <w:lang w:val="en-GB"/>
        </w:rPr>
        <w:t>e difference</w:t>
      </w:r>
      <w:r w:rsidR="00D34589" w:rsidRPr="001445C2">
        <w:rPr>
          <w:rFonts w:ascii="Arial" w:hAnsi="Arial" w:cs="Arial"/>
          <w:color w:val="000000" w:themeColor="text1"/>
          <w:lang w:val="en-GB"/>
        </w:rPr>
        <w:t xml:space="preserve"> was</w:t>
      </w:r>
      <w:r w:rsidR="00614A56" w:rsidRPr="001445C2">
        <w:rPr>
          <w:rFonts w:ascii="Arial" w:hAnsi="Arial" w:cs="Arial"/>
          <w:color w:val="000000" w:themeColor="text1"/>
          <w:lang w:val="en-GB"/>
        </w:rPr>
        <w:t xml:space="preserve"> </w:t>
      </w:r>
      <w:r w:rsidR="00B43A7B" w:rsidRPr="001445C2">
        <w:rPr>
          <w:rFonts w:ascii="Arial" w:hAnsi="Arial" w:cs="Arial"/>
          <w:color w:val="000000" w:themeColor="text1"/>
          <w:lang w:val="en-GB"/>
        </w:rPr>
        <w:t xml:space="preserve">not </w:t>
      </w:r>
      <w:r w:rsidR="00614A56" w:rsidRPr="001445C2">
        <w:rPr>
          <w:rFonts w:ascii="Arial" w:hAnsi="Arial" w:cs="Arial"/>
          <w:color w:val="000000" w:themeColor="text1"/>
          <w:lang w:val="en-GB"/>
        </w:rPr>
        <w:t xml:space="preserve">statistically significant </w:t>
      </w:r>
      <w:r w:rsidR="00D34589" w:rsidRPr="001445C2">
        <w:rPr>
          <w:rFonts w:ascii="Arial" w:hAnsi="Arial" w:cs="Arial"/>
          <w:color w:val="000000" w:themeColor="text1"/>
          <w:lang w:val="en-GB"/>
        </w:rPr>
        <w:t>based on the Log-rank test (</w:t>
      </w:r>
      <w:r w:rsidR="00614A56" w:rsidRPr="001445C2">
        <w:rPr>
          <w:rFonts w:ascii="Arial" w:hAnsi="Arial" w:cs="Arial"/>
          <w:color w:val="000000" w:themeColor="text1"/>
          <w:lang w:val="en-GB"/>
        </w:rPr>
        <w:t xml:space="preserve">p-value </w:t>
      </w:r>
      <w:r w:rsidR="00D34589" w:rsidRPr="001445C2">
        <w:rPr>
          <w:rFonts w:ascii="Arial" w:hAnsi="Arial" w:cs="Arial"/>
          <w:color w:val="000000" w:themeColor="text1"/>
          <w:lang w:val="en-GB"/>
        </w:rPr>
        <w:t>=</w:t>
      </w:r>
      <w:r w:rsidR="00614A56" w:rsidRPr="001445C2">
        <w:rPr>
          <w:rFonts w:ascii="Arial" w:hAnsi="Arial" w:cs="Arial"/>
          <w:color w:val="000000" w:themeColor="text1"/>
          <w:lang w:val="en-GB"/>
        </w:rPr>
        <w:t xml:space="preserve"> 0.37</w:t>
      </w:r>
      <w:r w:rsidR="00D34589" w:rsidRPr="001445C2">
        <w:rPr>
          <w:rFonts w:ascii="Arial" w:hAnsi="Arial" w:cs="Arial"/>
          <w:color w:val="000000" w:themeColor="text1"/>
          <w:lang w:val="en-GB"/>
        </w:rPr>
        <w:t>).</w:t>
      </w:r>
      <w:r w:rsidR="00614A56" w:rsidRPr="001445C2">
        <w:rPr>
          <w:rFonts w:ascii="Arial" w:hAnsi="Arial" w:cs="Arial"/>
          <w:color w:val="000000" w:themeColor="text1"/>
          <w:lang w:val="en-GB"/>
        </w:rPr>
        <w:t xml:space="preserve"> </w:t>
      </w:r>
    </w:p>
    <w:p w14:paraId="6C766BAD" w14:textId="540B3696" w:rsidR="000E157B" w:rsidRPr="001445C2" w:rsidRDefault="000E157B" w:rsidP="000E157B">
      <w:pPr>
        <w:spacing w:line="360" w:lineRule="auto"/>
        <w:jc w:val="both"/>
        <w:rPr>
          <w:rFonts w:ascii="Arial" w:hAnsi="Arial" w:cs="Arial"/>
          <w:color w:val="000000" w:themeColor="text1"/>
          <w:lang w:val="en-GB"/>
        </w:rPr>
      </w:pPr>
      <w:r w:rsidRPr="001445C2">
        <w:rPr>
          <w:rFonts w:ascii="Arial" w:hAnsi="Arial" w:cs="Arial"/>
          <w:b/>
          <w:color w:val="000000" w:themeColor="text1"/>
          <w:lang w:val="en-GB"/>
        </w:rPr>
        <w:t>Figure 2</w:t>
      </w:r>
      <w:r w:rsidRPr="001445C2">
        <w:rPr>
          <w:rFonts w:ascii="Arial" w:hAnsi="Arial" w:cs="Arial"/>
          <w:color w:val="000000" w:themeColor="text1"/>
          <w:lang w:val="en-GB"/>
        </w:rPr>
        <w:t xml:space="preserve"> compares the mean visual acuity score (in Snellen decimals) of the ATT- treated and -untreated groups over time. Visual acuity was measured at 0, 3, 6, 12, 18 and 24 months. For statistical reasons, the visual acuity was expressed in Snellen’s decimal. So a VA of 1.0 indicate normal vision, while 0.0 indicate vision loss. After adjusting for gender and age, mean visual acuity for patients that received ATT was 0.73 (95% CI: 0.52 – 0.93), while that for patients that did not receive ATT was 0.65 (95% CI: 0.56 – 0.74). The difference was statistically insignificant (p-value = 0.20). </w:t>
      </w:r>
    </w:p>
    <w:p w14:paraId="1B43EFF5" w14:textId="519E066D" w:rsidR="00D165EC" w:rsidRPr="001445C2" w:rsidRDefault="00D165EC" w:rsidP="00D165EC">
      <w:pPr>
        <w:shd w:val="clear" w:color="auto" w:fill="FFFFFF"/>
        <w:spacing w:after="100"/>
        <w:rPr>
          <w:rFonts w:ascii="Arial" w:hAnsi="Arial" w:cs="Arial"/>
          <w:color w:val="000000" w:themeColor="text1"/>
          <w:lang w:val="en-GB"/>
        </w:rPr>
      </w:pPr>
    </w:p>
    <w:p w14:paraId="576B6BE9" w14:textId="3DCC468B" w:rsidR="00A521D5" w:rsidRPr="001445C2" w:rsidRDefault="002412BE" w:rsidP="00000137">
      <w:pPr>
        <w:shd w:val="clear" w:color="auto" w:fill="FFFFFF"/>
        <w:spacing w:after="100"/>
        <w:outlineLvl w:val="0"/>
        <w:rPr>
          <w:rFonts w:ascii="Arial" w:hAnsi="Arial" w:cs="Arial"/>
          <w:b/>
          <w:bCs/>
          <w:caps/>
          <w:color w:val="000000" w:themeColor="text1"/>
          <w:lang w:val="en-GB"/>
        </w:rPr>
      </w:pPr>
      <w:r w:rsidRPr="001445C2">
        <w:rPr>
          <w:rFonts w:ascii="Arial" w:hAnsi="Arial" w:cs="Arial"/>
          <w:b/>
          <w:bCs/>
          <w:caps/>
          <w:color w:val="000000" w:themeColor="text1"/>
          <w:lang w:val="en-GB"/>
        </w:rPr>
        <w:t>Discussion</w:t>
      </w:r>
    </w:p>
    <w:p w14:paraId="04A5DA9A" w14:textId="77777777" w:rsidR="007E4BB2" w:rsidRPr="001445C2" w:rsidRDefault="007E4BB2" w:rsidP="001A25AD">
      <w:pPr>
        <w:spacing w:line="360" w:lineRule="auto"/>
        <w:jc w:val="both"/>
        <w:rPr>
          <w:rFonts w:ascii="Arial" w:hAnsi="Arial" w:cs="Arial"/>
          <w:b/>
          <w:bCs/>
          <w:caps/>
          <w:color w:val="000000" w:themeColor="text1"/>
          <w:lang w:val="en-GB"/>
        </w:rPr>
      </w:pPr>
    </w:p>
    <w:p w14:paraId="5E3BA33A" w14:textId="032CC8CB" w:rsidR="001A25AD" w:rsidRPr="001445C2" w:rsidRDefault="007E4BB2" w:rsidP="001A25AD">
      <w:pPr>
        <w:spacing w:line="360" w:lineRule="auto"/>
        <w:jc w:val="both"/>
        <w:rPr>
          <w:rFonts w:ascii="Arial" w:hAnsi="Arial" w:cs="Arial"/>
          <w:color w:val="000000" w:themeColor="text1"/>
          <w:lang w:val="en-GB"/>
        </w:rPr>
      </w:pPr>
      <w:r w:rsidRPr="001445C2">
        <w:rPr>
          <w:rFonts w:ascii="Arial" w:hAnsi="Arial" w:cs="Arial"/>
          <w:color w:val="000000" w:themeColor="text1"/>
          <w:lang w:val="en-GB"/>
        </w:rPr>
        <w:t xml:space="preserve">The study provides information on patients with TAU and the corresponding outcomes of ATT treatment. </w:t>
      </w:r>
      <w:r w:rsidR="008324CD" w:rsidRPr="001445C2">
        <w:rPr>
          <w:rFonts w:ascii="Arial" w:hAnsi="Arial" w:cs="Arial"/>
          <w:color w:val="000000" w:themeColor="text1"/>
          <w:lang w:val="en-GB"/>
        </w:rPr>
        <w:t xml:space="preserve">Contrary to our expectations, we found that treatment failure occurred similarly often among ATT-treated and untreated individuals. Visual acuity outcomes also were similar. We hypothesise that potential explanations of the lack of benefit from ATT could be attributed to an association with latent TB rather than causality in some cases of TAU, or to TB contribution to initiating but not to maintaining the chronic inflammatory process. </w:t>
      </w:r>
      <w:r w:rsidR="00B51362" w:rsidRPr="001445C2">
        <w:rPr>
          <w:rFonts w:ascii="Arial" w:hAnsi="Arial" w:cs="Arial"/>
          <w:color w:val="000000" w:themeColor="text1"/>
          <w:lang w:val="en-GB"/>
        </w:rPr>
        <w:t xml:space="preserve">Current literature does </w:t>
      </w:r>
      <w:r w:rsidR="00C864AE" w:rsidRPr="001445C2">
        <w:rPr>
          <w:rFonts w:ascii="Arial" w:hAnsi="Arial" w:cs="Arial"/>
          <w:color w:val="000000" w:themeColor="text1"/>
          <w:lang w:val="en-GB"/>
        </w:rPr>
        <w:t>highlight</w:t>
      </w:r>
      <w:r w:rsidR="00B51362" w:rsidRPr="001445C2">
        <w:rPr>
          <w:rFonts w:ascii="Arial" w:hAnsi="Arial" w:cs="Arial"/>
          <w:color w:val="000000" w:themeColor="text1"/>
          <w:lang w:val="en-GB"/>
        </w:rPr>
        <w:t xml:space="preserve"> that OTB overdiagnosis is a problem faced by clinicians due to diagnostic tools which are not unambiguously confirmativ</w:t>
      </w:r>
      <w:r w:rsidR="001956C7" w:rsidRPr="001445C2">
        <w:rPr>
          <w:rFonts w:ascii="Arial" w:hAnsi="Arial" w:cs="Arial"/>
          <w:color w:val="000000" w:themeColor="text1"/>
          <w:lang w:val="en-GB"/>
        </w:rPr>
        <w:t>e</w:t>
      </w:r>
      <w:r w:rsidR="00B51362" w:rsidRPr="001445C2">
        <w:rPr>
          <w:rFonts w:ascii="Arial" w:hAnsi="Arial" w:cs="Arial"/>
          <w:color w:val="000000" w:themeColor="text1"/>
          <w:lang w:val="en-GB"/>
        </w:rPr>
        <w:t>.</w:t>
      </w:r>
      <w:r w:rsidR="001956C7" w:rsidRPr="001445C2">
        <w:rPr>
          <w:rFonts w:ascii="Arial" w:hAnsi="Arial" w:cs="Arial"/>
          <w:color w:val="000000" w:themeColor="text1"/>
          <w:vertAlign w:val="superscript"/>
          <w:lang w:val="en-GB"/>
        </w:rPr>
        <w:t>3,13,14</w:t>
      </w:r>
      <w:r w:rsidR="00B51362" w:rsidRPr="001445C2">
        <w:rPr>
          <w:rFonts w:ascii="Arial" w:hAnsi="Arial" w:cs="Arial"/>
          <w:color w:val="000000" w:themeColor="text1"/>
          <w:lang w:val="en-GB"/>
        </w:rPr>
        <w:t xml:space="preserve"> </w:t>
      </w:r>
      <w:r w:rsidR="00212F43" w:rsidRPr="001445C2">
        <w:rPr>
          <w:rFonts w:ascii="Arial" w:hAnsi="Arial" w:cs="Arial"/>
          <w:color w:val="000000" w:themeColor="text1"/>
          <w:lang w:val="en-GB"/>
        </w:rPr>
        <w:t>Drug-drug interactions, such as the reduced</w:t>
      </w:r>
      <w:r w:rsidR="0094729C" w:rsidRPr="001445C2">
        <w:rPr>
          <w:rFonts w:ascii="Arial" w:hAnsi="Arial" w:cs="Arial"/>
          <w:color w:val="000000" w:themeColor="text1"/>
          <w:lang w:val="en-GB"/>
        </w:rPr>
        <w:t xml:space="preserve"> </w:t>
      </w:r>
      <w:r w:rsidR="003B6ED5" w:rsidRPr="001445C2">
        <w:rPr>
          <w:rFonts w:ascii="Arial" w:hAnsi="Arial" w:cs="Arial"/>
          <w:color w:val="000000" w:themeColor="text1"/>
          <w:lang w:val="en-GB"/>
        </w:rPr>
        <w:t xml:space="preserve">tissue </w:t>
      </w:r>
      <w:r w:rsidR="0094729C" w:rsidRPr="001445C2">
        <w:rPr>
          <w:rFonts w:ascii="Arial" w:hAnsi="Arial" w:cs="Arial"/>
          <w:color w:val="000000" w:themeColor="text1"/>
          <w:lang w:val="en-GB"/>
        </w:rPr>
        <w:t>bio</w:t>
      </w:r>
      <w:r w:rsidR="003B6ED5" w:rsidRPr="001445C2">
        <w:rPr>
          <w:rFonts w:ascii="Arial" w:hAnsi="Arial" w:cs="Arial"/>
          <w:color w:val="000000" w:themeColor="text1"/>
          <w:lang w:val="en-GB"/>
        </w:rPr>
        <w:t xml:space="preserve">availability </w:t>
      </w:r>
      <w:r w:rsidR="0094729C" w:rsidRPr="001445C2">
        <w:rPr>
          <w:rFonts w:ascii="Arial" w:hAnsi="Arial" w:cs="Arial"/>
          <w:color w:val="000000" w:themeColor="text1"/>
          <w:lang w:val="en-GB"/>
        </w:rPr>
        <w:t xml:space="preserve">and increased plasma clearance </w:t>
      </w:r>
      <w:r w:rsidR="003B6ED5" w:rsidRPr="001445C2">
        <w:rPr>
          <w:rFonts w:ascii="Arial" w:hAnsi="Arial" w:cs="Arial"/>
          <w:color w:val="000000" w:themeColor="text1"/>
          <w:lang w:val="en-GB"/>
        </w:rPr>
        <w:t xml:space="preserve">of prednisolone </w:t>
      </w:r>
      <w:r w:rsidR="00720117" w:rsidRPr="001445C2">
        <w:rPr>
          <w:rFonts w:ascii="Arial" w:hAnsi="Arial" w:cs="Arial"/>
          <w:color w:val="000000" w:themeColor="text1"/>
          <w:lang w:val="en-GB"/>
        </w:rPr>
        <w:t>in concurrent administration with rifampici</w:t>
      </w:r>
      <w:r w:rsidR="00783251" w:rsidRPr="001445C2">
        <w:rPr>
          <w:rFonts w:ascii="Arial" w:hAnsi="Arial" w:cs="Arial"/>
          <w:color w:val="000000" w:themeColor="text1"/>
          <w:lang w:val="en-GB"/>
        </w:rPr>
        <w:t>n</w:t>
      </w:r>
      <w:r w:rsidR="00212F43" w:rsidRPr="001445C2">
        <w:rPr>
          <w:rFonts w:ascii="Arial" w:hAnsi="Arial" w:cs="Arial"/>
          <w:color w:val="000000" w:themeColor="text1"/>
          <w:lang w:val="en-GB"/>
        </w:rPr>
        <w:t>,</w:t>
      </w:r>
      <w:r w:rsidR="00720117" w:rsidRPr="001445C2">
        <w:rPr>
          <w:rFonts w:ascii="Arial" w:hAnsi="Arial" w:cs="Arial"/>
          <w:color w:val="000000" w:themeColor="text1"/>
          <w:lang w:val="en-GB"/>
        </w:rPr>
        <w:t xml:space="preserve"> could play</w:t>
      </w:r>
      <w:r w:rsidR="00212F43" w:rsidRPr="001445C2">
        <w:rPr>
          <w:rFonts w:ascii="Arial" w:hAnsi="Arial" w:cs="Arial"/>
          <w:color w:val="000000" w:themeColor="text1"/>
          <w:lang w:val="en-GB"/>
        </w:rPr>
        <w:t xml:space="preserve"> a role</w:t>
      </w:r>
      <w:r w:rsidR="008324CD" w:rsidRPr="001445C2">
        <w:rPr>
          <w:rFonts w:ascii="Arial" w:hAnsi="Arial" w:cs="Arial"/>
          <w:color w:val="000000" w:themeColor="text1"/>
          <w:lang w:val="en-GB"/>
        </w:rPr>
        <w:t xml:space="preserve"> too</w:t>
      </w:r>
      <w:r w:rsidR="00212F43" w:rsidRPr="001445C2">
        <w:rPr>
          <w:rFonts w:ascii="Arial" w:hAnsi="Arial" w:cs="Arial"/>
          <w:color w:val="000000" w:themeColor="text1"/>
          <w:lang w:val="en-GB"/>
        </w:rPr>
        <w:t>.</w:t>
      </w:r>
      <w:r w:rsidR="001956C7" w:rsidRPr="001445C2">
        <w:rPr>
          <w:rFonts w:ascii="Arial" w:hAnsi="Arial" w:cs="Arial"/>
          <w:color w:val="000000" w:themeColor="text1"/>
          <w:vertAlign w:val="superscript"/>
          <w:lang w:val="en-GB"/>
        </w:rPr>
        <w:t>15</w:t>
      </w:r>
      <w:r w:rsidR="001A25AD" w:rsidRPr="001445C2">
        <w:rPr>
          <w:rFonts w:ascii="Arial" w:hAnsi="Arial" w:cs="Arial"/>
          <w:color w:val="000000" w:themeColor="text1"/>
          <w:lang w:val="en-GB"/>
        </w:rPr>
        <w:t xml:space="preserve"> Furthermore, drug sensitivity of the presenting </w:t>
      </w:r>
      <w:r w:rsidR="00D22CA4" w:rsidRPr="001445C2">
        <w:rPr>
          <w:rFonts w:ascii="Arial" w:hAnsi="Arial" w:cs="Arial"/>
          <w:color w:val="000000" w:themeColor="text1"/>
          <w:lang w:val="en-GB"/>
        </w:rPr>
        <w:t>O</w:t>
      </w:r>
      <w:r w:rsidR="001A25AD" w:rsidRPr="001445C2">
        <w:rPr>
          <w:rFonts w:ascii="Arial" w:hAnsi="Arial" w:cs="Arial"/>
          <w:color w:val="000000" w:themeColor="text1"/>
          <w:lang w:val="en-GB"/>
        </w:rPr>
        <w:t>TB strain was not established in most patients</w:t>
      </w:r>
      <w:r w:rsidR="00047EA7" w:rsidRPr="001445C2">
        <w:rPr>
          <w:rFonts w:ascii="Arial" w:hAnsi="Arial" w:cs="Arial"/>
          <w:color w:val="000000" w:themeColor="text1"/>
          <w:lang w:val="en-GB"/>
        </w:rPr>
        <w:t xml:space="preserve">, and is </w:t>
      </w:r>
      <w:r w:rsidR="001A25AD" w:rsidRPr="001445C2">
        <w:rPr>
          <w:rFonts w:ascii="Arial" w:hAnsi="Arial" w:cs="Arial"/>
          <w:color w:val="000000" w:themeColor="text1"/>
          <w:lang w:val="en-GB"/>
        </w:rPr>
        <w:t>not typically done because of the low yield</w:t>
      </w:r>
      <w:r w:rsidR="00047EA7" w:rsidRPr="001445C2">
        <w:rPr>
          <w:rFonts w:ascii="Arial" w:hAnsi="Arial" w:cs="Arial"/>
          <w:color w:val="000000" w:themeColor="text1"/>
          <w:lang w:val="en-GB"/>
        </w:rPr>
        <w:t xml:space="preserve"> </w:t>
      </w:r>
      <w:r w:rsidR="001A25AD" w:rsidRPr="001445C2">
        <w:rPr>
          <w:rFonts w:ascii="Arial" w:hAnsi="Arial" w:cs="Arial"/>
          <w:color w:val="000000" w:themeColor="text1"/>
          <w:lang w:val="en-GB"/>
        </w:rPr>
        <w:t xml:space="preserve">of ocular-fluid derived cultures, </w:t>
      </w:r>
      <w:r w:rsidR="00047EA7" w:rsidRPr="001445C2">
        <w:rPr>
          <w:rFonts w:ascii="Arial" w:hAnsi="Arial" w:cs="Arial"/>
          <w:color w:val="000000" w:themeColor="text1"/>
          <w:lang w:val="en-GB"/>
        </w:rPr>
        <w:t xml:space="preserve">long timeframe, </w:t>
      </w:r>
      <w:r w:rsidR="001A25AD" w:rsidRPr="001445C2">
        <w:rPr>
          <w:rFonts w:ascii="Arial" w:hAnsi="Arial" w:cs="Arial"/>
          <w:color w:val="000000" w:themeColor="text1"/>
          <w:lang w:val="en-GB"/>
        </w:rPr>
        <w:t xml:space="preserve">and </w:t>
      </w:r>
      <w:r w:rsidR="00047EA7" w:rsidRPr="001445C2">
        <w:rPr>
          <w:rFonts w:ascii="Arial" w:hAnsi="Arial" w:cs="Arial"/>
          <w:color w:val="000000" w:themeColor="text1"/>
          <w:lang w:val="en-GB"/>
        </w:rPr>
        <w:t>associated risks.</w:t>
      </w:r>
      <w:r w:rsidR="001956C7" w:rsidRPr="001445C2">
        <w:rPr>
          <w:rFonts w:ascii="Arial" w:hAnsi="Arial" w:cs="Arial"/>
          <w:color w:val="000000" w:themeColor="text1"/>
          <w:vertAlign w:val="superscript"/>
          <w:lang w:val="en-GB"/>
        </w:rPr>
        <w:t>16,17</w:t>
      </w:r>
      <w:r w:rsidR="008324CD" w:rsidRPr="001445C2">
        <w:rPr>
          <w:rFonts w:ascii="Arial" w:hAnsi="Arial" w:cs="Arial"/>
          <w:color w:val="000000" w:themeColor="text1"/>
          <w:lang w:val="en-GB"/>
        </w:rPr>
        <w:t xml:space="preserve"> </w:t>
      </w:r>
      <w:r w:rsidR="006F7F07" w:rsidRPr="001445C2">
        <w:rPr>
          <w:rFonts w:ascii="Arial" w:hAnsi="Arial" w:cs="Arial"/>
          <w:color w:val="000000" w:themeColor="text1"/>
          <w:lang w:val="en-GB"/>
        </w:rPr>
        <w:t>In TB endemic regions, physicians could be more inclined to initiate rather than withhold ATT because of a greater likelihood of a tuberculous aetiology.</w:t>
      </w:r>
      <w:r w:rsidR="001956C7" w:rsidRPr="001445C2">
        <w:rPr>
          <w:rFonts w:ascii="Arial" w:hAnsi="Arial" w:cs="Arial"/>
          <w:color w:val="000000" w:themeColor="text1"/>
          <w:vertAlign w:val="superscript"/>
          <w:lang w:val="en-GB"/>
        </w:rPr>
        <w:t>14,18</w:t>
      </w:r>
      <w:r w:rsidR="006F7F07" w:rsidRPr="001445C2">
        <w:rPr>
          <w:rFonts w:ascii="Arial" w:hAnsi="Arial" w:cs="Arial"/>
          <w:color w:val="000000" w:themeColor="text1"/>
          <w:lang w:val="en-GB"/>
        </w:rPr>
        <w:t xml:space="preserve"> This is not entirely unwarranted because untreated OTB could place the </w:t>
      </w:r>
      <w:r w:rsidR="006F7F07" w:rsidRPr="001445C2">
        <w:rPr>
          <w:rFonts w:ascii="Arial" w:hAnsi="Arial" w:cs="Arial"/>
          <w:color w:val="000000" w:themeColor="text1"/>
          <w:lang w:val="en-GB"/>
        </w:rPr>
        <w:lastRenderedPageBreak/>
        <w:t>patient at risk of high visual morbidity.</w:t>
      </w:r>
      <w:r w:rsidR="001956C7" w:rsidRPr="001445C2">
        <w:rPr>
          <w:rFonts w:ascii="Arial" w:hAnsi="Arial" w:cs="Arial"/>
          <w:color w:val="000000" w:themeColor="text1"/>
          <w:vertAlign w:val="superscript"/>
          <w:lang w:val="en-GB"/>
        </w:rPr>
        <w:t>7,19</w:t>
      </w:r>
      <w:r w:rsidR="006F7F07" w:rsidRPr="001445C2">
        <w:rPr>
          <w:rFonts w:ascii="Arial" w:hAnsi="Arial" w:cs="Arial"/>
          <w:color w:val="000000" w:themeColor="text1"/>
          <w:lang w:val="en-GB"/>
        </w:rPr>
        <w:t xml:space="preserve">  However, our results suggest that this practice is not beneficial in preventing TAU recurrence or in improving visual results.</w:t>
      </w:r>
    </w:p>
    <w:p w14:paraId="7414764D" w14:textId="58D7DA88" w:rsidR="004F09BD" w:rsidRPr="001445C2" w:rsidRDefault="00A66729" w:rsidP="00557FE8">
      <w:pPr>
        <w:spacing w:line="360" w:lineRule="auto"/>
        <w:jc w:val="both"/>
        <w:rPr>
          <w:rFonts w:ascii="Arial" w:hAnsi="Arial" w:cs="Arial"/>
          <w:color w:val="000000" w:themeColor="text1"/>
          <w:lang w:val="en-GB"/>
        </w:rPr>
      </w:pPr>
      <w:r w:rsidRPr="001445C2">
        <w:rPr>
          <w:rFonts w:ascii="Arial" w:hAnsi="Arial" w:cs="Arial"/>
          <w:color w:val="000000" w:themeColor="text1"/>
          <w:lang w:val="en-GB"/>
        </w:rPr>
        <w:t>It is an ongoing</w:t>
      </w:r>
      <w:r w:rsidR="00F446C0" w:rsidRPr="001445C2">
        <w:rPr>
          <w:rFonts w:ascii="Arial" w:hAnsi="Arial" w:cs="Arial"/>
          <w:color w:val="000000" w:themeColor="text1"/>
          <w:lang w:val="en-GB"/>
        </w:rPr>
        <w:t xml:space="preserve"> hypothesis</w:t>
      </w:r>
      <w:r w:rsidRPr="001445C2">
        <w:rPr>
          <w:rFonts w:ascii="Arial" w:hAnsi="Arial" w:cs="Arial"/>
          <w:color w:val="000000" w:themeColor="text1"/>
          <w:lang w:val="en-GB"/>
        </w:rPr>
        <w:t xml:space="preserve"> that</w:t>
      </w:r>
      <w:r w:rsidR="00F446C0" w:rsidRPr="001445C2">
        <w:rPr>
          <w:rFonts w:ascii="Arial" w:hAnsi="Arial" w:cs="Arial"/>
          <w:color w:val="000000" w:themeColor="text1"/>
          <w:lang w:val="en-GB"/>
        </w:rPr>
        <w:t xml:space="preserve"> </w:t>
      </w:r>
      <w:r w:rsidRPr="001445C2">
        <w:rPr>
          <w:rFonts w:ascii="Arial" w:hAnsi="Arial" w:cs="Arial"/>
          <w:color w:val="000000" w:themeColor="text1"/>
          <w:lang w:val="en-GB"/>
        </w:rPr>
        <w:t xml:space="preserve">a predominant </w:t>
      </w:r>
      <w:r w:rsidR="00F446C0" w:rsidRPr="001445C2">
        <w:rPr>
          <w:rFonts w:ascii="Arial" w:hAnsi="Arial" w:cs="Arial"/>
          <w:color w:val="000000" w:themeColor="text1"/>
          <w:lang w:val="en-GB"/>
        </w:rPr>
        <w:t>presentation</w:t>
      </w:r>
      <w:r w:rsidRPr="001445C2">
        <w:rPr>
          <w:rFonts w:ascii="Arial" w:hAnsi="Arial" w:cs="Arial"/>
          <w:color w:val="000000" w:themeColor="text1"/>
          <w:lang w:val="en-GB"/>
        </w:rPr>
        <w:t xml:space="preserve"> </w:t>
      </w:r>
      <w:r w:rsidR="00EF39C4" w:rsidRPr="001445C2">
        <w:rPr>
          <w:rFonts w:ascii="Arial" w:hAnsi="Arial" w:cs="Arial"/>
          <w:color w:val="000000" w:themeColor="text1"/>
          <w:lang w:val="en-GB"/>
        </w:rPr>
        <w:t xml:space="preserve">of </w:t>
      </w:r>
      <w:r w:rsidR="00D22CA4" w:rsidRPr="001445C2">
        <w:rPr>
          <w:rFonts w:ascii="Arial" w:hAnsi="Arial" w:cs="Arial"/>
          <w:color w:val="000000" w:themeColor="text1"/>
          <w:lang w:val="en-GB"/>
        </w:rPr>
        <w:t>anterior uveitis</w:t>
      </w:r>
      <w:r w:rsidRPr="001445C2">
        <w:rPr>
          <w:rFonts w:ascii="Arial" w:hAnsi="Arial" w:cs="Arial"/>
          <w:color w:val="000000" w:themeColor="text1"/>
          <w:lang w:val="en-GB"/>
        </w:rPr>
        <w:t xml:space="preserve"> in OTB</w:t>
      </w:r>
      <w:r w:rsidR="00F446C0" w:rsidRPr="001445C2">
        <w:rPr>
          <w:rFonts w:ascii="Arial" w:hAnsi="Arial" w:cs="Arial"/>
          <w:color w:val="000000" w:themeColor="text1"/>
          <w:lang w:val="en-GB"/>
        </w:rPr>
        <w:t xml:space="preserve"> represent</w:t>
      </w:r>
      <w:r w:rsidRPr="001445C2">
        <w:rPr>
          <w:rFonts w:ascii="Arial" w:hAnsi="Arial" w:cs="Arial"/>
          <w:color w:val="000000" w:themeColor="text1"/>
          <w:lang w:val="en-GB"/>
        </w:rPr>
        <w:t>s an</w:t>
      </w:r>
      <w:r w:rsidR="00F446C0" w:rsidRPr="001445C2">
        <w:rPr>
          <w:rFonts w:ascii="Arial" w:hAnsi="Arial" w:cs="Arial"/>
          <w:color w:val="000000" w:themeColor="text1"/>
          <w:lang w:val="en-GB"/>
        </w:rPr>
        <w:t xml:space="preserve"> ocular manifestation of autoimmune reactivity to molecular mimicry of latent TB, </w:t>
      </w:r>
      <w:r w:rsidR="00783251" w:rsidRPr="001445C2">
        <w:rPr>
          <w:rFonts w:ascii="Arial" w:hAnsi="Arial" w:cs="Arial"/>
          <w:color w:val="000000" w:themeColor="text1"/>
          <w:lang w:val="en-GB"/>
        </w:rPr>
        <w:t xml:space="preserve">rather than </w:t>
      </w:r>
      <w:r w:rsidR="00EF39C4" w:rsidRPr="001445C2">
        <w:rPr>
          <w:rFonts w:ascii="Arial" w:hAnsi="Arial" w:cs="Arial"/>
          <w:color w:val="000000" w:themeColor="text1"/>
          <w:lang w:val="en-GB"/>
        </w:rPr>
        <w:t>direct</w:t>
      </w:r>
      <w:r w:rsidR="00F446C0" w:rsidRPr="001445C2">
        <w:rPr>
          <w:rFonts w:ascii="Arial" w:hAnsi="Arial" w:cs="Arial"/>
          <w:color w:val="000000" w:themeColor="text1"/>
          <w:lang w:val="en-GB"/>
        </w:rPr>
        <w:t xml:space="preserve"> infection of the uvea</w:t>
      </w:r>
      <w:r w:rsidR="00EF39C4" w:rsidRPr="001445C2">
        <w:rPr>
          <w:rFonts w:ascii="Arial" w:hAnsi="Arial" w:cs="Arial"/>
          <w:color w:val="000000" w:themeColor="text1"/>
          <w:lang w:val="en-GB"/>
        </w:rPr>
        <w:t xml:space="preserve"> </w:t>
      </w:r>
      <w:r w:rsidR="009E745E" w:rsidRPr="001445C2">
        <w:rPr>
          <w:rFonts w:ascii="Arial" w:hAnsi="Arial" w:cs="Arial"/>
          <w:color w:val="000000" w:themeColor="text1"/>
          <w:lang w:val="en-GB"/>
        </w:rPr>
        <w:t xml:space="preserve">with </w:t>
      </w:r>
      <w:r w:rsidR="00EF39C4" w:rsidRPr="001445C2">
        <w:rPr>
          <w:rFonts w:ascii="Arial" w:hAnsi="Arial" w:cs="Arial"/>
          <w:color w:val="000000" w:themeColor="text1"/>
          <w:lang w:val="en-GB"/>
        </w:rPr>
        <w:t>active TB</w:t>
      </w:r>
      <w:r w:rsidR="009E745E" w:rsidRPr="001445C2">
        <w:rPr>
          <w:rFonts w:ascii="Arial" w:hAnsi="Arial" w:cs="Arial"/>
          <w:color w:val="000000" w:themeColor="text1"/>
          <w:lang w:val="en-GB"/>
        </w:rPr>
        <w:t xml:space="preserve"> seeded from pulmonary foci</w:t>
      </w:r>
      <w:r w:rsidRPr="001445C2">
        <w:rPr>
          <w:rFonts w:ascii="Arial" w:hAnsi="Arial" w:cs="Arial"/>
          <w:color w:val="000000" w:themeColor="text1"/>
          <w:lang w:val="en-GB"/>
        </w:rPr>
        <w:t>.</w:t>
      </w:r>
      <w:r w:rsidR="001956C7" w:rsidRPr="001445C2">
        <w:rPr>
          <w:rFonts w:ascii="Arial" w:hAnsi="Arial" w:cs="Arial"/>
          <w:color w:val="000000" w:themeColor="text1"/>
          <w:vertAlign w:val="superscript"/>
          <w:lang w:val="en-GB"/>
        </w:rPr>
        <w:t>7,20</w:t>
      </w:r>
      <w:r w:rsidRPr="001445C2">
        <w:rPr>
          <w:rFonts w:ascii="Arial" w:hAnsi="Arial" w:cs="Arial"/>
          <w:color w:val="000000" w:themeColor="text1"/>
          <w:lang w:val="en-GB"/>
        </w:rPr>
        <w:t xml:space="preserve"> </w:t>
      </w:r>
      <w:r w:rsidR="00E00ACD" w:rsidRPr="001445C2">
        <w:rPr>
          <w:rFonts w:ascii="Arial" w:hAnsi="Arial" w:cs="Arial"/>
          <w:color w:val="000000" w:themeColor="text1"/>
          <w:lang w:val="en-GB"/>
        </w:rPr>
        <w:t>In this case,</w:t>
      </w:r>
      <w:r w:rsidR="00F446C0" w:rsidRPr="001445C2">
        <w:rPr>
          <w:rFonts w:ascii="Arial" w:hAnsi="Arial" w:cs="Arial"/>
          <w:color w:val="000000" w:themeColor="text1"/>
          <w:lang w:val="en-GB"/>
        </w:rPr>
        <w:t xml:space="preserve"> a </w:t>
      </w:r>
      <w:r w:rsidR="006F7F07" w:rsidRPr="001445C2">
        <w:rPr>
          <w:rFonts w:ascii="Arial" w:hAnsi="Arial" w:cs="Arial"/>
          <w:color w:val="000000" w:themeColor="text1"/>
          <w:lang w:val="en-GB"/>
        </w:rPr>
        <w:t xml:space="preserve">primarily anti-inflammatory </w:t>
      </w:r>
      <w:r w:rsidR="00F446C0" w:rsidRPr="001445C2">
        <w:rPr>
          <w:rFonts w:ascii="Arial" w:hAnsi="Arial" w:cs="Arial"/>
          <w:color w:val="000000" w:themeColor="text1"/>
          <w:lang w:val="en-GB"/>
        </w:rPr>
        <w:t xml:space="preserve">regimen </w:t>
      </w:r>
      <w:r w:rsidR="00E00ACD" w:rsidRPr="001445C2">
        <w:rPr>
          <w:rFonts w:ascii="Arial" w:hAnsi="Arial" w:cs="Arial"/>
          <w:color w:val="000000" w:themeColor="text1"/>
          <w:lang w:val="en-GB"/>
        </w:rPr>
        <w:t xml:space="preserve">should be </w:t>
      </w:r>
      <w:r w:rsidR="006F7F07" w:rsidRPr="001445C2">
        <w:rPr>
          <w:rFonts w:ascii="Arial" w:hAnsi="Arial" w:cs="Arial"/>
          <w:color w:val="000000" w:themeColor="text1"/>
          <w:lang w:val="en-GB"/>
        </w:rPr>
        <w:t>used</w:t>
      </w:r>
      <w:r w:rsidR="00032E4B" w:rsidRPr="001445C2">
        <w:rPr>
          <w:rFonts w:ascii="Arial" w:hAnsi="Arial" w:cs="Arial"/>
          <w:color w:val="000000" w:themeColor="text1"/>
          <w:lang w:val="en-GB"/>
        </w:rPr>
        <w:t>.</w:t>
      </w:r>
      <w:r w:rsidR="00F446C0" w:rsidRPr="001445C2">
        <w:rPr>
          <w:rFonts w:ascii="Arial" w:hAnsi="Arial" w:cs="Arial"/>
          <w:color w:val="000000" w:themeColor="text1"/>
          <w:lang w:val="en-GB"/>
        </w:rPr>
        <w:t xml:space="preserve"> </w:t>
      </w:r>
      <w:r w:rsidR="00EF39C4" w:rsidRPr="001445C2">
        <w:rPr>
          <w:rFonts w:ascii="Arial" w:hAnsi="Arial" w:cs="Arial"/>
          <w:color w:val="000000" w:themeColor="text1"/>
          <w:lang w:val="en-GB"/>
        </w:rPr>
        <w:t>The difficulty arises because</w:t>
      </w:r>
      <w:r w:rsidR="00F446C0" w:rsidRPr="001445C2">
        <w:rPr>
          <w:rFonts w:ascii="Arial" w:hAnsi="Arial" w:cs="Arial"/>
          <w:color w:val="000000" w:themeColor="text1"/>
          <w:lang w:val="en-GB"/>
        </w:rPr>
        <w:t xml:space="preserve"> conventional immunologic tests used in TB uveitis</w:t>
      </w:r>
      <w:r w:rsidR="0049188D" w:rsidRPr="001445C2">
        <w:rPr>
          <w:rFonts w:ascii="Arial" w:hAnsi="Arial" w:cs="Arial"/>
          <w:color w:val="000000" w:themeColor="text1"/>
          <w:lang w:val="en-GB"/>
        </w:rPr>
        <w:t xml:space="preserve"> ca</w:t>
      </w:r>
      <w:r w:rsidR="009A4E15" w:rsidRPr="001445C2">
        <w:rPr>
          <w:rFonts w:ascii="Arial" w:hAnsi="Arial" w:cs="Arial"/>
          <w:color w:val="000000" w:themeColor="text1"/>
          <w:lang w:val="en-GB"/>
        </w:rPr>
        <w:t>nnot distinguish between these two</w:t>
      </w:r>
      <w:r w:rsidR="0049188D" w:rsidRPr="001445C2">
        <w:rPr>
          <w:rFonts w:ascii="Arial" w:hAnsi="Arial" w:cs="Arial"/>
          <w:color w:val="000000" w:themeColor="text1"/>
          <w:lang w:val="en-GB"/>
        </w:rPr>
        <w:t xml:space="preserve"> </w:t>
      </w:r>
      <w:r w:rsidR="006D5AF2" w:rsidRPr="001445C2">
        <w:rPr>
          <w:rFonts w:ascii="Arial" w:hAnsi="Arial" w:cs="Arial"/>
          <w:color w:val="000000" w:themeColor="text1"/>
          <w:lang w:val="en-GB"/>
        </w:rPr>
        <w:t xml:space="preserve">possible mechanisms </w:t>
      </w:r>
      <w:r w:rsidR="0049188D" w:rsidRPr="001445C2">
        <w:rPr>
          <w:rFonts w:ascii="Arial" w:hAnsi="Arial" w:cs="Arial"/>
          <w:color w:val="000000" w:themeColor="text1"/>
          <w:lang w:val="en-GB"/>
        </w:rPr>
        <w:t xml:space="preserve">of </w:t>
      </w:r>
      <w:r w:rsidR="006D5AF2" w:rsidRPr="001445C2">
        <w:rPr>
          <w:rFonts w:ascii="Arial" w:hAnsi="Arial" w:cs="Arial"/>
          <w:color w:val="000000" w:themeColor="text1"/>
          <w:lang w:val="en-GB"/>
        </w:rPr>
        <w:t xml:space="preserve">disease </w:t>
      </w:r>
      <w:r w:rsidR="0049188D" w:rsidRPr="001445C2">
        <w:rPr>
          <w:rFonts w:ascii="Arial" w:hAnsi="Arial" w:cs="Arial"/>
          <w:color w:val="000000" w:themeColor="text1"/>
          <w:lang w:val="en-GB"/>
        </w:rPr>
        <w:t>pathogenesis</w:t>
      </w:r>
      <w:r w:rsidR="00211597" w:rsidRPr="001445C2">
        <w:rPr>
          <w:rFonts w:ascii="Arial" w:hAnsi="Arial" w:cs="Arial"/>
          <w:color w:val="000000" w:themeColor="text1"/>
          <w:lang w:val="en-GB"/>
        </w:rPr>
        <w:t>.</w:t>
      </w:r>
      <w:r w:rsidR="00F446C0" w:rsidRPr="001445C2">
        <w:rPr>
          <w:rFonts w:ascii="Arial" w:hAnsi="Arial" w:cs="Arial"/>
          <w:color w:val="000000" w:themeColor="text1"/>
          <w:lang w:val="en-GB"/>
        </w:rPr>
        <w:t xml:space="preserve"> </w:t>
      </w:r>
      <w:r w:rsidR="0049188D" w:rsidRPr="001445C2">
        <w:rPr>
          <w:rFonts w:ascii="Arial" w:hAnsi="Arial" w:cs="Arial"/>
          <w:color w:val="000000" w:themeColor="text1"/>
          <w:lang w:val="en-GB"/>
        </w:rPr>
        <w:t xml:space="preserve">Future studies exploring the differentiation between </w:t>
      </w:r>
      <w:r w:rsidR="006F7F07" w:rsidRPr="001445C2">
        <w:rPr>
          <w:rFonts w:ascii="Arial" w:hAnsi="Arial" w:cs="Arial"/>
          <w:color w:val="000000" w:themeColor="text1"/>
          <w:lang w:val="en-GB"/>
        </w:rPr>
        <w:t xml:space="preserve">para-infectious </w:t>
      </w:r>
      <w:r w:rsidR="0049188D" w:rsidRPr="001445C2">
        <w:rPr>
          <w:rFonts w:ascii="Arial" w:hAnsi="Arial" w:cs="Arial"/>
          <w:color w:val="000000" w:themeColor="text1"/>
          <w:lang w:val="en-GB"/>
        </w:rPr>
        <w:t xml:space="preserve">autoimmune and infectious causes of TAU </w:t>
      </w:r>
      <w:r w:rsidR="006F7F07" w:rsidRPr="001445C2">
        <w:rPr>
          <w:rFonts w:ascii="Arial" w:hAnsi="Arial" w:cs="Arial"/>
          <w:color w:val="000000" w:themeColor="text1"/>
          <w:lang w:val="en-GB"/>
        </w:rPr>
        <w:t>could thus be useful in guiding more</w:t>
      </w:r>
      <w:r w:rsidR="0049188D" w:rsidRPr="001445C2">
        <w:rPr>
          <w:rFonts w:ascii="Arial" w:hAnsi="Arial" w:cs="Arial"/>
          <w:color w:val="000000" w:themeColor="text1"/>
          <w:lang w:val="en-GB"/>
        </w:rPr>
        <w:t xml:space="preserve"> accurate implementation of corticosteroid and ATT regimens. </w:t>
      </w:r>
    </w:p>
    <w:p w14:paraId="60F794CB" w14:textId="77777777" w:rsidR="00F91881" w:rsidRPr="001445C2" w:rsidRDefault="00F91881" w:rsidP="00131A01">
      <w:pPr>
        <w:spacing w:line="360" w:lineRule="auto"/>
        <w:jc w:val="both"/>
        <w:rPr>
          <w:rFonts w:ascii="Arial" w:hAnsi="Arial" w:cs="Arial"/>
          <w:color w:val="000000" w:themeColor="text1"/>
          <w:lang w:val="en-GB"/>
        </w:rPr>
      </w:pPr>
    </w:p>
    <w:p w14:paraId="43FF7FC4" w14:textId="5D6041DB" w:rsidR="004F09BD" w:rsidRPr="001445C2" w:rsidRDefault="000032DD" w:rsidP="00131A01">
      <w:pPr>
        <w:spacing w:line="360" w:lineRule="auto"/>
        <w:jc w:val="both"/>
        <w:rPr>
          <w:rFonts w:ascii="Arial" w:eastAsia="Times New Roman" w:hAnsi="Arial" w:cs="Arial"/>
          <w:color w:val="000000" w:themeColor="text1"/>
          <w:lang w:val="en-GB"/>
        </w:rPr>
      </w:pPr>
      <w:r w:rsidRPr="001445C2">
        <w:rPr>
          <w:rFonts w:ascii="Arial" w:hAnsi="Arial" w:cs="Arial"/>
          <w:color w:val="000000" w:themeColor="text1"/>
          <w:lang w:val="en-GB"/>
        </w:rPr>
        <w:t>As part of the COTS-1 study, manuscripts have been published analysing the</w:t>
      </w:r>
      <w:r w:rsidR="008820E0" w:rsidRPr="001445C2">
        <w:rPr>
          <w:rFonts w:ascii="Arial" w:hAnsi="Arial" w:cs="Arial"/>
          <w:color w:val="000000" w:themeColor="text1"/>
          <w:lang w:val="en-GB"/>
        </w:rPr>
        <w:t xml:space="preserve"> </w:t>
      </w:r>
      <w:r w:rsidR="00F446C0" w:rsidRPr="001445C2">
        <w:rPr>
          <w:rFonts w:ascii="Arial" w:hAnsi="Arial" w:cs="Arial"/>
          <w:color w:val="000000" w:themeColor="text1"/>
          <w:lang w:val="en-GB"/>
        </w:rPr>
        <w:t xml:space="preserve">patterns of ATT treatment and </w:t>
      </w:r>
      <w:r w:rsidR="00D22CA4" w:rsidRPr="001445C2">
        <w:rPr>
          <w:rFonts w:ascii="Arial" w:hAnsi="Arial" w:cs="Arial"/>
          <w:color w:val="000000" w:themeColor="text1"/>
          <w:lang w:val="en-GB"/>
        </w:rPr>
        <w:t xml:space="preserve">clinical </w:t>
      </w:r>
      <w:r w:rsidR="00F446C0" w:rsidRPr="001445C2">
        <w:rPr>
          <w:rFonts w:ascii="Arial" w:hAnsi="Arial" w:cs="Arial"/>
          <w:color w:val="000000" w:themeColor="text1"/>
          <w:lang w:val="en-GB"/>
        </w:rPr>
        <w:t xml:space="preserve">outcomes </w:t>
      </w:r>
      <w:r w:rsidR="006F7F07" w:rsidRPr="001445C2">
        <w:rPr>
          <w:rFonts w:ascii="Arial" w:hAnsi="Arial" w:cs="Arial"/>
          <w:color w:val="000000" w:themeColor="text1"/>
          <w:lang w:val="en-GB"/>
        </w:rPr>
        <w:t>among</w:t>
      </w:r>
      <w:r w:rsidR="00F446C0" w:rsidRPr="001445C2">
        <w:rPr>
          <w:rFonts w:ascii="Arial" w:hAnsi="Arial" w:cs="Arial"/>
          <w:color w:val="000000" w:themeColor="text1"/>
          <w:lang w:val="en-GB"/>
        </w:rPr>
        <w:t xml:space="preserve"> </w:t>
      </w:r>
      <w:r w:rsidR="008820E0" w:rsidRPr="001445C2">
        <w:rPr>
          <w:rFonts w:ascii="Arial" w:hAnsi="Arial" w:cs="Arial"/>
          <w:color w:val="000000" w:themeColor="text1"/>
          <w:lang w:val="en-GB"/>
        </w:rPr>
        <w:t>patient</w:t>
      </w:r>
      <w:r w:rsidR="00D22CA4" w:rsidRPr="001445C2">
        <w:rPr>
          <w:rFonts w:ascii="Arial" w:hAnsi="Arial" w:cs="Arial"/>
          <w:color w:val="000000" w:themeColor="text1"/>
          <w:lang w:val="en-GB"/>
        </w:rPr>
        <w:t xml:space="preserve">s with </w:t>
      </w:r>
      <w:r w:rsidR="0054762C" w:rsidRPr="001445C2">
        <w:rPr>
          <w:rFonts w:ascii="Arial" w:hAnsi="Arial" w:cs="Arial"/>
          <w:color w:val="000000" w:themeColor="text1"/>
          <w:lang w:val="en-GB"/>
        </w:rPr>
        <w:t>tubercul</w:t>
      </w:r>
      <w:r w:rsidR="00D22CA4" w:rsidRPr="001445C2">
        <w:rPr>
          <w:rFonts w:ascii="Arial" w:hAnsi="Arial" w:cs="Arial"/>
          <w:color w:val="000000" w:themeColor="text1"/>
          <w:lang w:val="en-GB"/>
        </w:rPr>
        <w:t>ar</w:t>
      </w:r>
      <w:r w:rsidR="0054762C" w:rsidRPr="001445C2">
        <w:rPr>
          <w:rFonts w:ascii="Arial" w:hAnsi="Arial" w:cs="Arial"/>
          <w:color w:val="000000" w:themeColor="text1"/>
          <w:lang w:val="en-GB"/>
        </w:rPr>
        <w:t xml:space="preserve"> </w:t>
      </w:r>
      <w:r w:rsidR="008820E0" w:rsidRPr="001445C2">
        <w:rPr>
          <w:rFonts w:ascii="Arial" w:hAnsi="Arial" w:cs="Arial"/>
          <w:color w:val="000000" w:themeColor="text1"/>
          <w:lang w:val="en-GB"/>
        </w:rPr>
        <w:t>r</w:t>
      </w:r>
      <w:r w:rsidRPr="001445C2">
        <w:rPr>
          <w:rFonts w:ascii="Arial" w:hAnsi="Arial" w:cs="Arial"/>
          <w:color w:val="000000" w:themeColor="text1"/>
          <w:lang w:val="en-GB"/>
        </w:rPr>
        <w:t xml:space="preserve">etinal </w:t>
      </w:r>
      <w:r w:rsidR="008820E0" w:rsidRPr="001445C2">
        <w:rPr>
          <w:rFonts w:ascii="Arial" w:hAnsi="Arial" w:cs="Arial"/>
          <w:color w:val="000000" w:themeColor="text1"/>
          <w:lang w:val="en-GB"/>
        </w:rPr>
        <w:t>v</w:t>
      </w:r>
      <w:r w:rsidRPr="001445C2">
        <w:rPr>
          <w:rFonts w:ascii="Arial" w:hAnsi="Arial" w:cs="Arial"/>
          <w:color w:val="000000" w:themeColor="text1"/>
          <w:lang w:val="en-GB"/>
        </w:rPr>
        <w:t xml:space="preserve">asculitis and </w:t>
      </w:r>
      <w:r w:rsidR="00D22CA4" w:rsidRPr="001445C2">
        <w:rPr>
          <w:rFonts w:ascii="Arial" w:hAnsi="Arial" w:cs="Arial"/>
          <w:color w:val="000000" w:themeColor="text1"/>
          <w:lang w:val="en-GB"/>
        </w:rPr>
        <w:t xml:space="preserve">with </w:t>
      </w:r>
      <w:r w:rsidR="0054762C" w:rsidRPr="001445C2">
        <w:rPr>
          <w:rFonts w:ascii="Arial" w:hAnsi="Arial" w:cs="Arial"/>
          <w:color w:val="000000" w:themeColor="text1"/>
          <w:lang w:val="en-GB"/>
        </w:rPr>
        <w:t>choroidal involvement</w:t>
      </w:r>
      <w:r w:rsidRPr="001445C2">
        <w:rPr>
          <w:rFonts w:ascii="Arial" w:hAnsi="Arial" w:cs="Arial"/>
          <w:color w:val="000000" w:themeColor="text1"/>
          <w:lang w:val="en-GB"/>
        </w:rPr>
        <w:t>.</w:t>
      </w:r>
      <w:r w:rsidR="00AF101E" w:rsidRPr="001445C2">
        <w:rPr>
          <w:rFonts w:ascii="Arial" w:hAnsi="Arial" w:cs="Arial"/>
          <w:color w:val="000000" w:themeColor="text1"/>
          <w:vertAlign w:val="superscript"/>
          <w:lang w:val="en-GB"/>
        </w:rPr>
        <w:t>21,22</w:t>
      </w:r>
      <w:r w:rsidRPr="001445C2">
        <w:rPr>
          <w:rFonts w:ascii="Arial" w:hAnsi="Arial" w:cs="Arial"/>
          <w:color w:val="000000" w:themeColor="text1"/>
          <w:lang w:val="en-GB"/>
        </w:rPr>
        <w:t xml:space="preserve"> </w:t>
      </w:r>
      <w:r w:rsidR="006F7F07" w:rsidRPr="001445C2">
        <w:rPr>
          <w:rFonts w:ascii="Arial" w:hAnsi="Arial" w:cs="Arial"/>
          <w:color w:val="000000" w:themeColor="text1"/>
          <w:lang w:val="en-GB"/>
        </w:rPr>
        <w:t>Fewer</w:t>
      </w:r>
      <w:r w:rsidRPr="001445C2">
        <w:rPr>
          <w:rFonts w:ascii="Arial" w:hAnsi="Arial" w:cs="Arial"/>
          <w:color w:val="000000" w:themeColor="text1"/>
          <w:lang w:val="en-GB"/>
        </w:rPr>
        <w:t xml:space="preserve"> TAU </w:t>
      </w:r>
      <w:r w:rsidR="006F7F07" w:rsidRPr="001445C2">
        <w:rPr>
          <w:rFonts w:ascii="Arial" w:hAnsi="Arial" w:cs="Arial"/>
          <w:color w:val="000000" w:themeColor="text1"/>
          <w:lang w:val="en-GB"/>
        </w:rPr>
        <w:t xml:space="preserve">cases used ATT </w:t>
      </w:r>
      <w:r w:rsidR="00991AB4" w:rsidRPr="001445C2">
        <w:rPr>
          <w:rFonts w:ascii="Arial" w:hAnsi="Arial" w:cs="Arial"/>
          <w:color w:val="000000" w:themeColor="text1"/>
          <w:lang w:val="en-GB"/>
        </w:rPr>
        <w:t xml:space="preserve">(n = 107/165, 64.8%) </w:t>
      </w:r>
      <w:r w:rsidR="006F7F07" w:rsidRPr="001445C2">
        <w:rPr>
          <w:rFonts w:ascii="Arial" w:hAnsi="Arial" w:cs="Arial"/>
          <w:color w:val="000000" w:themeColor="text1"/>
          <w:lang w:val="en-GB"/>
        </w:rPr>
        <w:t>than we observed for cases of</w:t>
      </w:r>
      <w:r w:rsidR="00C36602" w:rsidRPr="001445C2">
        <w:rPr>
          <w:rFonts w:ascii="Arial" w:hAnsi="Arial" w:cs="Arial"/>
          <w:color w:val="000000" w:themeColor="text1"/>
          <w:lang w:val="en-GB"/>
        </w:rPr>
        <w:t xml:space="preserve"> tubercular retinal vasculitis </w:t>
      </w:r>
      <w:r w:rsidR="008820E0" w:rsidRPr="001445C2">
        <w:rPr>
          <w:rFonts w:ascii="Arial" w:hAnsi="Arial" w:cs="Arial"/>
          <w:color w:val="000000" w:themeColor="text1"/>
          <w:lang w:val="en-GB"/>
        </w:rPr>
        <w:t>(n = 228/251</w:t>
      </w:r>
      <w:r w:rsidR="0018587F" w:rsidRPr="001445C2">
        <w:rPr>
          <w:rFonts w:ascii="Arial" w:hAnsi="Arial" w:cs="Arial"/>
          <w:color w:val="000000" w:themeColor="text1"/>
          <w:lang w:val="en-GB"/>
        </w:rPr>
        <w:t>, 90.8%</w:t>
      </w:r>
      <w:r w:rsidR="008820E0" w:rsidRPr="001445C2">
        <w:rPr>
          <w:rFonts w:ascii="Arial" w:hAnsi="Arial" w:cs="Arial"/>
          <w:color w:val="000000" w:themeColor="text1"/>
          <w:lang w:val="en-GB"/>
        </w:rPr>
        <w:t>)</w:t>
      </w:r>
      <w:r w:rsidR="0054762C" w:rsidRPr="001445C2">
        <w:rPr>
          <w:rFonts w:ascii="Arial" w:hAnsi="Arial" w:cs="Arial"/>
          <w:color w:val="000000" w:themeColor="text1"/>
          <w:lang w:val="en-GB"/>
        </w:rPr>
        <w:t xml:space="preserve"> </w:t>
      </w:r>
      <w:r w:rsidR="0018587F" w:rsidRPr="001445C2">
        <w:rPr>
          <w:rFonts w:ascii="Arial" w:hAnsi="Arial" w:cs="Arial"/>
          <w:color w:val="000000" w:themeColor="text1"/>
          <w:lang w:val="en-GB"/>
        </w:rPr>
        <w:t>and the</w:t>
      </w:r>
      <w:r w:rsidR="0054762C" w:rsidRPr="001445C2">
        <w:rPr>
          <w:rFonts w:ascii="Arial" w:hAnsi="Arial" w:cs="Arial"/>
          <w:color w:val="000000" w:themeColor="text1"/>
          <w:lang w:val="en-GB"/>
        </w:rPr>
        <w:t xml:space="preserve"> </w:t>
      </w:r>
      <w:r w:rsidR="00991AB4" w:rsidRPr="001445C2">
        <w:rPr>
          <w:rFonts w:ascii="Arial" w:hAnsi="Arial" w:cs="Arial"/>
          <w:color w:val="000000" w:themeColor="text1"/>
          <w:lang w:val="en-GB"/>
        </w:rPr>
        <w:t>subset analysing choroidal involvement</w:t>
      </w:r>
      <w:r w:rsidR="0054762C" w:rsidRPr="001445C2">
        <w:rPr>
          <w:rFonts w:ascii="Arial" w:hAnsi="Arial" w:cs="Arial"/>
          <w:color w:val="000000" w:themeColor="text1"/>
          <w:lang w:val="en-GB"/>
        </w:rPr>
        <w:t xml:space="preserve"> (n = 219/245, 89.38%)</w:t>
      </w:r>
      <w:r w:rsidR="00991AB4" w:rsidRPr="001445C2">
        <w:rPr>
          <w:rFonts w:ascii="Arial" w:hAnsi="Arial" w:cs="Arial"/>
          <w:color w:val="000000" w:themeColor="text1"/>
          <w:lang w:val="en-GB"/>
        </w:rPr>
        <w:t>.</w:t>
      </w:r>
      <w:r w:rsidR="00AF101E" w:rsidRPr="001445C2">
        <w:rPr>
          <w:rFonts w:ascii="Arial" w:hAnsi="Arial" w:cs="Arial"/>
          <w:color w:val="000000" w:themeColor="text1"/>
          <w:vertAlign w:val="superscript"/>
          <w:lang w:val="en-GB"/>
        </w:rPr>
        <w:t>21</w:t>
      </w:r>
      <w:r w:rsidR="00214D27" w:rsidRPr="001445C2">
        <w:rPr>
          <w:rFonts w:ascii="Arial" w:hAnsi="Arial" w:cs="Arial"/>
          <w:color w:val="000000" w:themeColor="text1"/>
          <w:lang w:val="en-GB"/>
        </w:rPr>
        <w:t xml:space="preserve"> </w:t>
      </w:r>
      <w:r w:rsidR="00991AB4" w:rsidRPr="001445C2">
        <w:rPr>
          <w:rFonts w:ascii="Arial" w:hAnsi="Arial" w:cs="Arial"/>
          <w:color w:val="000000" w:themeColor="text1"/>
          <w:lang w:val="en-GB"/>
        </w:rPr>
        <w:t>Th</w:t>
      </w:r>
      <w:r w:rsidR="00A870A5" w:rsidRPr="001445C2">
        <w:rPr>
          <w:rFonts w:ascii="Arial" w:hAnsi="Arial" w:cs="Arial"/>
          <w:color w:val="000000" w:themeColor="text1"/>
          <w:lang w:val="en-GB"/>
        </w:rPr>
        <w:t xml:space="preserve">e individual reasons </w:t>
      </w:r>
      <w:r w:rsidR="006F7F07" w:rsidRPr="001445C2">
        <w:rPr>
          <w:rFonts w:ascii="Arial" w:hAnsi="Arial" w:cs="Arial"/>
          <w:color w:val="000000" w:themeColor="text1"/>
          <w:lang w:val="en-GB"/>
        </w:rPr>
        <w:t>for choosing or not choosing ATT</w:t>
      </w:r>
      <w:r w:rsidR="00A870A5" w:rsidRPr="001445C2">
        <w:rPr>
          <w:rFonts w:ascii="Arial" w:hAnsi="Arial" w:cs="Arial"/>
          <w:color w:val="000000" w:themeColor="text1"/>
          <w:lang w:val="en-GB"/>
        </w:rPr>
        <w:t xml:space="preserve"> could not be </w:t>
      </w:r>
      <w:r w:rsidR="00214D27" w:rsidRPr="001445C2">
        <w:rPr>
          <w:rFonts w:ascii="Arial" w:hAnsi="Arial" w:cs="Arial"/>
          <w:color w:val="000000" w:themeColor="text1"/>
          <w:lang w:val="en-GB"/>
        </w:rPr>
        <w:t>analysed</w:t>
      </w:r>
      <w:r w:rsidR="00A870A5" w:rsidRPr="001445C2">
        <w:rPr>
          <w:rFonts w:ascii="Arial" w:hAnsi="Arial" w:cs="Arial"/>
          <w:color w:val="000000" w:themeColor="text1"/>
          <w:lang w:val="en-GB"/>
        </w:rPr>
        <w:t xml:space="preserve"> because of the lack of </w:t>
      </w:r>
      <w:r w:rsidR="009E745E" w:rsidRPr="001445C2">
        <w:rPr>
          <w:rFonts w:ascii="Arial" w:hAnsi="Arial" w:cs="Arial"/>
          <w:color w:val="000000" w:themeColor="text1"/>
          <w:lang w:val="en-GB"/>
        </w:rPr>
        <w:t xml:space="preserve">documented rationale </w:t>
      </w:r>
      <w:r w:rsidR="00A870A5" w:rsidRPr="001445C2">
        <w:rPr>
          <w:rFonts w:ascii="Arial" w:hAnsi="Arial" w:cs="Arial"/>
          <w:color w:val="000000" w:themeColor="text1"/>
          <w:lang w:val="en-GB"/>
        </w:rPr>
        <w:t>and the retrospective nature of this study.</w:t>
      </w:r>
      <w:r w:rsidR="00214D27" w:rsidRPr="001445C2">
        <w:rPr>
          <w:rFonts w:ascii="Arial" w:hAnsi="Arial" w:cs="Arial"/>
          <w:color w:val="000000" w:themeColor="text1"/>
          <w:lang w:val="en-GB"/>
        </w:rPr>
        <w:t xml:space="preserve"> Nevertheless, some possible reasons include patient reluctance because </w:t>
      </w:r>
      <w:r w:rsidR="008578BB" w:rsidRPr="001445C2">
        <w:rPr>
          <w:rFonts w:ascii="Arial" w:hAnsi="Arial" w:cs="Arial"/>
          <w:color w:val="000000" w:themeColor="text1"/>
          <w:lang w:val="en-GB"/>
        </w:rPr>
        <w:t>of lack of strong robust studies demonstrating efficacy of ATT in preventing recurrences of inflammation in TAU and</w:t>
      </w:r>
      <w:r w:rsidR="00214D27" w:rsidRPr="001445C2">
        <w:rPr>
          <w:rFonts w:ascii="Arial" w:hAnsi="Arial" w:cs="Arial"/>
          <w:color w:val="000000" w:themeColor="text1"/>
          <w:lang w:val="en-GB"/>
        </w:rPr>
        <w:t xml:space="preserve"> adequacy of topical </w:t>
      </w:r>
      <w:r w:rsidR="006F7F07" w:rsidRPr="001445C2">
        <w:rPr>
          <w:rFonts w:ascii="Arial" w:hAnsi="Arial" w:cs="Arial"/>
          <w:color w:val="000000" w:themeColor="text1"/>
          <w:lang w:val="en-GB"/>
        </w:rPr>
        <w:t>cortico</w:t>
      </w:r>
      <w:r w:rsidR="00214D27" w:rsidRPr="001445C2">
        <w:rPr>
          <w:rFonts w:ascii="Arial" w:hAnsi="Arial" w:cs="Arial"/>
          <w:color w:val="000000" w:themeColor="text1"/>
          <w:lang w:val="en-GB"/>
        </w:rPr>
        <w:t>steroids in management, as determined by the attending physicians.</w:t>
      </w:r>
      <w:r w:rsidR="00F446C0" w:rsidRPr="001445C2">
        <w:rPr>
          <w:rFonts w:ascii="Arial" w:hAnsi="Arial" w:cs="Arial"/>
          <w:color w:val="000000" w:themeColor="text1"/>
          <w:lang w:val="en-GB"/>
        </w:rPr>
        <w:t xml:space="preserve"> </w:t>
      </w:r>
      <w:r w:rsidR="008578BB" w:rsidRPr="001445C2">
        <w:rPr>
          <w:rFonts w:ascii="Arial" w:hAnsi="Arial" w:cs="Arial"/>
          <w:color w:val="000000" w:themeColor="text1"/>
          <w:lang w:val="en-GB"/>
        </w:rPr>
        <w:t>Also, the absolute risk of recurrence/treatment failure was low, which may raise the threshold for ATT treatment in TAU.</w:t>
      </w:r>
      <w:r w:rsidR="00942958" w:rsidRPr="001445C2">
        <w:rPr>
          <w:rFonts w:ascii="Arial" w:hAnsi="Arial" w:cs="Arial"/>
          <w:color w:val="000000" w:themeColor="text1"/>
          <w:lang w:val="en-GB"/>
        </w:rPr>
        <w:t xml:space="preserve"> </w:t>
      </w:r>
      <w:r w:rsidR="00557FE8" w:rsidRPr="001445C2">
        <w:rPr>
          <w:rFonts w:ascii="Arial" w:hAnsi="Arial" w:cs="Arial"/>
          <w:color w:val="000000" w:themeColor="text1"/>
          <w:lang w:val="en-GB"/>
        </w:rPr>
        <w:t xml:space="preserve">In the present study, a significantly </w:t>
      </w:r>
      <w:r w:rsidR="004210F9" w:rsidRPr="001445C2">
        <w:rPr>
          <w:rFonts w:ascii="Arial" w:hAnsi="Arial" w:cs="Arial"/>
          <w:color w:val="000000" w:themeColor="text1"/>
          <w:lang w:val="en-GB"/>
        </w:rPr>
        <w:t xml:space="preserve">(p = 0.045) </w:t>
      </w:r>
      <w:r w:rsidR="00557FE8" w:rsidRPr="001445C2">
        <w:rPr>
          <w:rFonts w:ascii="Arial" w:hAnsi="Arial" w:cs="Arial"/>
          <w:color w:val="000000" w:themeColor="text1"/>
          <w:lang w:val="en-GB"/>
        </w:rPr>
        <w:t xml:space="preserve">higher proportion of </w:t>
      </w:r>
      <w:r w:rsidR="004210F9" w:rsidRPr="001445C2">
        <w:rPr>
          <w:rFonts w:ascii="Arial" w:hAnsi="Arial" w:cs="Arial"/>
          <w:color w:val="000000" w:themeColor="text1"/>
          <w:lang w:val="en-GB"/>
        </w:rPr>
        <w:t xml:space="preserve">patients presented with unilateral TAU </w:t>
      </w:r>
      <w:r w:rsidR="0012490B" w:rsidRPr="001445C2">
        <w:rPr>
          <w:rFonts w:ascii="Arial" w:hAnsi="Arial" w:cs="Arial"/>
          <w:color w:val="000000" w:themeColor="text1"/>
          <w:lang w:val="en-GB"/>
        </w:rPr>
        <w:t xml:space="preserve">(compared to bilateral TAU) </w:t>
      </w:r>
      <w:r w:rsidR="004210F9" w:rsidRPr="001445C2">
        <w:rPr>
          <w:rFonts w:ascii="Arial" w:hAnsi="Arial" w:cs="Arial"/>
          <w:color w:val="000000" w:themeColor="text1"/>
          <w:lang w:val="en-GB"/>
        </w:rPr>
        <w:t xml:space="preserve">in </w:t>
      </w:r>
      <w:r w:rsidR="00D22CA4" w:rsidRPr="001445C2">
        <w:rPr>
          <w:rFonts w:ascii="Arial" w:hAnsi="Arial" w:cs="Arial"/>
          <w:color w:val="000000" w:themeColor="text1"/>
          <w:lang w:val="en-GB"/>
        </w:rPr>
        <w:t xml:space="preserve">the group </w:t>
      </w:r>
      <w:r w:rsidR="004210F9" w:rsidRPr="001445C2">
        <w:rPr>
          <w:rFonts w:ascii="Arial" w:hAnsi="Arial" w:cs="Arial"/>
          <w:color w:val="000000" w:themeColor="text1"/>
          <w:lang w:val="en-GB"/>
        </w:rPr>
        <w:t>not treated with ATT</w:t>
      </w:r>
      <w:r w:rsidR="00D22CA4" w:rsidRPr="001445C2">
        <w:rPr>
          <w:rFonts w:ascii="Arial" w:hAnsi="Arial" w:cs="Arial"/>
          <w:color w:val="000000" w:themeColor="text1"/>
          <w:lang w:val="en-GB"/>
        </w:rPr>
        <w:t xml:space="preserve"> </w:t>
      </w:r>
      <w:r w:rsidR="004210F9" w:rsidRPr="001445C2">
        <w:rPr>
          <w:rFonts w:ascii="Arial" w:hAnsi="Arial" w:cs="Arial"/>
          <w:color w:val="000000" w:themeColor="text1"/>
          <w:lang w:val="en-GB"/>
        </w:rPr>
        <w:t xml:space="preserve">(n = 42/58, 72.4%) than in </w:t>
      </w:r>
      <w:r w:rsidR="00D22CA4" w:rsidRPr="001445C2">
        <w:rPr>
          <w:rFonts w:ascii="Arial" w:hAnsi="Arial" w:cs="Arial"/>
          <w:color w:val="000000" w:themeColor="text1"/>
          <w:lang w:val="en-GB"/>
        </w:rPr>
        <w:t xml:space="preserve">the group </w:t>
      </w:r>
      <w:r w:rsidR="00557FE8" w:rsidRPr="001445C2">
        <w:rPr>
          <w:rFonts w:ascii="Arial" w:hAnsi="Arial" w:cs="Arial"/>
          <w:color w:val="000000" w:themeColor="text1"/>
          <w:lang w:val="en-GB"/>
        </w:rPr>
        <w:t>treated with ATT (n = 59/107, 55.1%)</w:t>
      </w:r>
      <w:r w:rsidR="00461DF3" w:rsidRPr="001445C2">
        <w:rPr>
          <w:rFonts w:ascii="Arial" w:hAnsi="Arial" w:cs="Arial"/>
          <w:color w:val="000000" w:themeColor="text1"/>
          <w:lang w:val="en-GB"/>
        </w:rPr>
        <w:t>.</w:t>
      </w:r>
      <w:r w:rsidR="00225A7C" w:rsidRPr="001445C2">
        <w:rPr>
          <w:rFonts w:ascii="Arial" w:hAnsi="Arial" w:cs="Arial"/>
          <w:color w:val="000000" w:themeColor="text1"/>
          <w:lang w:val="en-GB"/>
        </w:rPr>
        <w:t xml:space="preserve"> </w:t>
      </w:r>
      <w:r w:rsidR="00131A01" w:rsidRPr="001445C2">
        <w:rPr>
          <w:rFonts w:ascii="Arial" w:eastAsia="Times New Roman" w:hAnsi="Arial" w:cs="Arial"/>
          <w:color w:val="000000" w:themeColor="text1"/>
          <w:lang w:val="en-GB"/>
        </w:rPr>
        <w:t>The patients not treated with ATT had better vision with time as the mean scores are higher that those treated with ATT for the follow up times, except at presentation (Table 2, Figure 2). The vision deterioration is at a lesser rate in non-treated group as compared to treated group.</w:t>
      </w:r>
      <w:r w:rsidR="004F09BD" w:rsidRPr="001445C2">
        <w:rPr>
          <w:rFonts w:ascii="Arial" w:eastAsia="Times New Roman" w:hAnsi="Arial" w:cs="Arial"/>
          <w:color w:val="000000" w:themeColor="text1"/>
          <w:lang w:val="en-GB"/>
        </w:rPr>
        <w:t xml:space="preserve"> </w:t>
      </w:r>
    </w:p>
    <w:p w14:paraId="6BE76EE4" w14:textId="77777777" w:rsidR="004F09BD" w:rsidRPr="001445C2" w:rsidRDefault="004F09BD" w:rsidP="00131A01">
      <w:pPr>
        <w:spacing w:line="360" w:lineRule="auto"/>
        <w:jc w:val="both"/>
        <w:rPr>
          <w:rFonts w:ascii="Arial" w:eastAsia="Times New Roman" w:hAnsi="Arial" w:cs="Arial"/>
          <w:color w:val="000000" w:themeColor="text1"/>
          <w:lang w:val="en-GB"/>
        </w:rPr>
      </w:pPr>
    </w:p>
    <w:p w14:paraId="0DEC4A41" w14:textId="675A1083" w:rsidR="00AB582E" w:rsidRPr="001445C2" w:rsidRDefault="004F09BD" w:rsidP="00AB582E">
      <w:pPr>
        <w:spacing w:line="360" w:lineRule="auto"/>
        <w:jc w:val="both"/>
        <w:rPr>
          <w:rFonts w:ascii="Arial" w:hAnsi="Arial" w:cs="Arial"/>
          <w:color w:val="000000" w:themeColor="text1"/>
          <w:lang w:val="en-US"/>
        </w:rPr>
      </w:pPr>
      <w:r w:rsidRPr="001445C2">
        <w:rPr>
          <w:rFonts w:ascii="Arial" w:hAnsi="Arial" w:cs="Arial"/>
          <w:color w:val="000000" w:themeColor="text1"/>
          <w:lang w:val="en-US"/>
        </w:rPr>
        <w:t>Although from this retrospective analysis it appeared that the addition of ATT to topical t</w:t>
      </w:r>
      <w:r w:rsidR="00AB582E" w:rsidRPr="001445C2">
        <w:rPr>
          <w:rFonts w:ascii="Arial" w:hAnsi="Arial" w:cs="Arial"/>
          <w:color w:val="000000" w:themeColor="text1"/>
          <w:lang w:val="en-US"/>
        </w:rPr>
        <w:t>herapy</w:t>
      </w:r>
      <w:r w:rsidRPr="001445C2">
        <w:rPr>
          <w:rFonts w:ascii="Arial" w:hAnsi="Arial" w:cs="Arial"/>
          <w:color w:val="000000" w:themeColor="text1"/>
          <w:lang w:val="en-US"/>
        </w:rPr>
        <w:t xml:space="preserve"> does not significantly affect the treatment outcome of </w:t>
      </w:r>
      <w:r w:rsidR="00AB582E" w:rsidRPr="001445C2">
        <w:rPr>
          <w:rFonts w:ascii="Arial" w:hAnsi="Arial" w:cs="Arial"/>
          <w:color w:val="000000" w:themeColor="text1"/>
          <w:lang w:val="en-US"/>
        </w:rPr>
        <w:t xml:space="preserve">TAU </w:t>
      </w:r>
      <w:r w:rsidRPr="001445C2">
        <w:rPr>
          <w:rFonts w:ascii="Arial" w:hAnsi="Arial" w:cs="Arial"/>
          <w:color w:val="000000" w:themeColor="text1"/>
          <w:lang w:val="en-US"/>
        </w:rPr>
        <w:t xml:space="preserve">patients, </w:t>
      </w:r>
      <w:r w:rsidR="00AB582E" w:rsidRPr="001445C2">
        <w:rPr>
          <w:rFonts w:ascii="Arial" w:hAnsi="Arial" w:cs="Arial"/>
          <w:color w:val="000000" w:themeColor="text1"/>
          <w:lang w:val="en-US"/>
        </w:rPr>
        <w:t>different</w:t>
      </w:r>
      <w:r w:rsidRPr="001445C2">
        <w:rPr>
          <w:rFonts w:ascii="Arial" w:hAnsi="Arial" w:cs="Arial"/>
          <w:color w:val="000000" w:themeColor="text1"/>
          <w:lang w:val="en-US"/>
        </w:rPr>
        <w:t xml:space="preserve"> </w:t>
      </w:r>
      <w:r w:rsidRPr="001445C2">
        <w:rPr>
          <w:rFonts w:ascii="Arial" w:hAnsi="Arial" w:cs="Arial"/>
          <w:color w:val="000000" w:themeColor="text1"/>
          <w:lang w:val="en-US"/>
        </w:rPr>
        <w:lastRenderedPageBreak/>
        <w:t xml:space="preserve">single </w:t>
      </w:r>
      <w:r w:rsidR="00AB582E" w:rsidRPr="001445C2">
        <w:rPr>
          <w:rFonts w:ascii="Arial" w:hAnsi="Arial" w:cs="Arial"/>
          <w:color w:val="000000" w:themeColor="text1"/>
          <w:lang w:val="en-US"/>
        </w:rPr>
        <w:t>centers</w:t>
      </w:r>
      <w:r w:rsidRPr="001445C2">
        <w:rPr>
          <w:rFonts w:ascii="Arial" w:hAnsi="Arial" w:cs="Arial"/>
          <w:color w:val="000000" w:themeColor="text1"/>
          <w:lang w:val="en-US"/>
        </w:rPr>
        <w:t xml:space="preserve"> studies </w:t>
      </w:r>
      <w:r w:rsidR="00AB582E" w:rsidRPr="001445C2">
        <w:rPr>
          <w:rFonts w:ascii="Arial" w:hAnsi="Arial" w:cs="Arial"/>
          <w:color w:val="000000" w:themeColor="text1"/>
          <w:lang w:val="en-US"/>
        </w:rPr>
        <w:t>reported a</w:t>
      </w:r>
      <w:r w:rsidRPr="001445C2">
        <w:rPr>
          <w:rFonts w:ascii="Arial" w:hAnsi="Arial" w:cs="Arial"/>
          <w:color w:val="000000" w:themeColor="text1"/>
          <w:lang w:val="en-US"/>
        </w:rPr>
        <w:t xml:space="preserve"> therapeutic role of ATT in patients with TAU.</w:t>
      </w:r>
      <w:r w:rsidR="00D06B56" w:rsidRPr="001445C2">
        <w:rPr>
          <w:rFonts w:ascii="Arial" w:eastAsia="Times New Roman" w:hAnsi="Arial" w:cs="Arial"/>
          <w:color w:val="000000" w:themeColor="text1"/>
          <w:sz w:val="21"/>
          <w:szCs w:val="21"/>
          <w:shd w:val="clear" w:color="auto" w:fill="FFFFFF"/>
          <w:vertAlign w:val="superscript"/>
          <w:lang w:val="en-GB"/>
        </w:rPr>
        <w:t>2</w:t>
      </w:r>
      <w:r w:rsidR="00D17A13" w:rsidRPr="001445C2">
        <w:rPr>
          <w:rFonts w:ascii="Arial" w:eastAsia="Times New Roman" w:hAnsi="Arial" w:cs="Arial"/>
          <w:color w:val="000000" w:themeColor="text1"/>
          <w:sz w:val="21"/>
          <w:szCs w:val="21"/>
          <w:shd w:val="clear" w:color="auto" w:fill="FFFFFF"/>
          <w:vertAlign w:val="superscript"/>
          <w:lang w:val="en-GB"/>
        </w:rPr>
        <w:t>,</w:t>
      </w:r>
      <w:r w:rsidR="00D06B56" w:rsidRPr="001445C2">
        <w:rPr>
          <w:rFonts w:ascii="Arial" w:eastAsia="Times New Roman" w:hAnsi="Arial" w:cs="Arial"/>
          <w:color w:val="000000" w:themeColor="text1"/>
          <w:sz w:val="21"/>
          <w:szCs w:val="21"/>
          <w:shd w:val="clear" w:color="auto" w:fill="FFFFFF"/>
          <w:vertAlign w:val="superscript"/>
          <w:lang w:val="en-GB"/>
        </w:rPr>
        <w:t xml:space="preserve"> 6</w:t>
      </w:r>
      <w:r w:rsidR="00D17A13" w:rsidRPr="001445C2">
        <w:rPr>
          <w:rFonts w:ascii="Arial" w:eastAsia="Times New Roman" w:hAnsi="Arial" w:cs="Arial"/>
          <w:color w:val="000000" w:themeColor="text1"/>
          <w:sz w:val="21"/>
          <w:szCs w:val="21"/>
          <w:shd w:val="clear" w:color="auto" w:fill="FFFFFF"/>
          <w:vertAlign w:val="superscript"/>
          <w:lang w:val="en-GB"/>
        </w:rPr>
        <w:t>,</w:t>
      </w:r>
      <w:r w:rsidR="00D06B56" w:rsidRPr="001445C2">
        <w:rPr>
          <w:rFonts w:ascii="Arial" w:eastAsia="Times New Roman" w:hAnsi="Arial" w:cs="Arial"/>
          <w:color w:val="000000" w:themeColor="text1"/>
          <w:sz w:val="21"/>
          <w:szCs w:val="21"/>
          <w:shd w:val="clear" w:color="auto" w:fill="FFFFFF"/>
          <w:vertAlign w:val="superscript"/>
          <w:lang w:val="en-GB"/>
        </w:rPr>
        <w:t xml:space="preserve"> 23</w:t>
      </w:r>
      <w:r w:rsidR="00D17A13" w:rsidRPr="001445C2">
        <w:rPr>
          <w:rFonts w:ascii="Arial" w:eastAsia="Times New Roman" w:hAnsi="Arial" w:cs="Arial"/>
          <w:color w:val="000000" w:themeColor="text1"/>
          <w:sz w:val="21"/>
          <w:szCs w:val="21"/>
          <w:shd w:val="clear" w:color="auto" w:fill="FFFFFF"/>
          <w:vertAlign w:val="superscript"/>
          <w:lang w:val="en-GB"/>
        </w:rPr>
        <w:t>,</w:t>
      </w:r>
      <w:r w:rsidR="00D06B56" w:rsidRPr="001445C2">
        <w:rPr>
          <w:rFonts w:ascii="Arial" w:eastAsia="Times New Roman" w:hAnsi="Arial" w:cs="Arial"/>
          <w:color w:val="000000" w:themeColor="text1"/>
          <w:sz w:val="21"/>
          <w:szCs w:val="21"/>
          <w:shd w:val="clear" w:color="auto" w:fill="FFFFFF"/>
          <w:vertAlign w:val="superscript"/>
          <w:lang w:val="en-GB"/>
        </w:rPr>
        <w:t xml:space="preserve"> 24</w:t>
      </w:r>
      <w:r w:rsidR="00D17A13" w:rsidRPr="001445C2">
        <w:rPr>
          <w:rFonts w:ascii="Arial" w:eastAsia="Times New Roman" w:hAnsi="Arial" w:cs="Arial"/>
          <w:color w:val="000000" w:themeColor="text1"/>
          <w:sz w:val="21"/>
          <w:szCs w:val="21"/>
          <w:shd w:val="clear" w:color="auto" w:fill="FFFFFF"/>
          <w:vertAlign w:val="superscript"/>
          <w:lang w:val="en-GB"/>
        </w:rPr>
        <w:t>,</w:t>
      </w:r>
      <w:r w:rsidR="00D06B56" w:rsidRPr="001445C2">
        <w:rPr>
          <w:rFonts w:ascii="Arial" w:eastAsia="Times New Roman" w:hAnsi="Arial" w:cs="Arial"/>
          <w:color w:val="000000" w:themeColor="text1"/>
          <w:sz w:val="21"/>
          <w:szCs w:val="21"/>
          <w:shd w:val="clear" w:color="auto" w:fill="FFFFFF"/>
          <w:vertAlign w:val="superscript"/>
          <w:lang w:val="en-GB"/>
        </w:rPr>
        <w:t xml:space="preserve"> 26</w:t>
      </w:r>
      <w:r w:rsidR="00D17A13" w:rsidRPr="001445C2">
        <w:rPr>
          <w:rFonts w:ascii="Arial" w:eastAsia="Times New Roman" w:hAnsi="Arial" w:cs="Arial"/>
          <w:color w:val="000000" w:themeColor="text1"/>
          <w:sz w:val="21"/>
          <w:szCs w:val="21"/>
          <w:shd w:val="clear" w:color="auto" w:fill="FFFFFF"/>
          <w:vertAlign w:val="superscript"/>
          <w:lang w:val="en-GB"/>
        </w:rPr>
        <w:t xml:space="preserve">-39 </w:t>
      </w:r>
      <w:r w:rsidR="00D06B56" w:rsidRPr="001445C2">
        <w:rPr>
          <w:rFonts w:ascii="Arial" w:hAnsi="Arial" w:cs="Arial"/>
          <w:color w:val="000000" w:themeColor="text1"/>
          <w:lang w:val="en-US"/>
        </w:rPr>
        <w:t xml:space="preserve">In addition, </w:t>
      </w:r>
      <w:r w:rsidR="00D06B56" w:rsidRPr="001445C2">
        <w:rPr>
          <w:rFonts w:ascii="Arial" w:eastAsia="Times New Roman" w:hAnsi="Arial" w:cs="Arial"/>
          <w:color w:val="000000" w:themeColor="text1"/>
          <w:lang w:val="en-GB"/>
        </w:rPr>
        <w:t>f</w:t>
      </w:r>
      <w:r w:rsidR="00AB582E" w:rsidRPr="001445C2">
        <w:rPr>
          <w:rFonts w:ascii="Arial" w:eastAsia="Times New Roman" w:hAnsi="Arial" w:cs="Arial"/>
          <w:color w:val="000000" w:themeColor="text1"/>
          <w:lang w:val="en-GB"/>
        </w:rPr>
        <w:t xml:space="preserve">rom </w:t>
      </w:r>
      <w:r w:rsidRPr="001445C2">
        <w:rPr>
          <w:rFonts w:ascii="Arial" w:eastAsia="Times New Roman" w:hAnsi="Arial" w:cs="Arial"/>
          <w:color w:val="000000" w:themeColor="text1"/>
          <w:lang w:val="en-GB"/>
        </w:rPr>
        <w:t>COTS consensus guidelines (unpublished data) it emerged that experts</w:t>
      </w:r>
      <w:r w:rsidR="00AB582E" w:rsidRPr="001445C2">
        <w:rPr>
          <w:rFonts w:ascii="Arial" w:eastAsia="Times New Roman" w:hAnsi="Arial" w:cs="Arial"/>
          <w:color w:val="000000" w:themeColor="text1"/>
          <w:lang w:val="en-GB"/>
        </w:rPr>
        <w:t xml:space="preserve"> are keen to start ATT in TAU </w:t>
      </w:r>
      <w:r w:rsidR="00AB582E" w:rsidRPr="001445C2">
        <w:rPr>
          <w:rFonts w:ascii="Arial" w:hAnsi="Arial" w:cs="Arial"/>
          <w:color w:val="000000" w:themeColor="text1"/>
          <w:lang w:val="en-US"/>
        </w:rPr>
        <w:t xml:space="preserve">in case of recurrent episodes in patients with one immunological evidence of TB, together with radiological findings suggestive of active or healed pulmonary TB, irrespective of patient’s endemicity. </w:t>
      </w:r>
      <w:r w:rsidR="00D06B56" w:rsidRPr="001445C2">
        <w:rPr>
          <w:rFonts w:ascii="Arial" w:hAnsi="Arial" w:cs="Arial"/>
          <w:color w:val="000000" w:themeColor="text1"/>
          <w:lang w:val="en-US"/>
        </w:rPr>
        <w:t>In case of</w:t>
      </w:r>
      <w:r w:rsidR="00AB582E" w:rsidRPr="001445C2">
        <w:rPr>
          <w:rFonts w:ascii="Arial" w:hAnsi="Arial" w:cs="Arial"/>
          <w:color w:val="000000" w:themeColor="text1"/>
          <w:lang w:val="en-US"/>
        </w:rPr>
        <w:t xml:space="preserve"> first episode of </w:t>
      </w:r>
      <w:r w:rsidR="00D06B56" w:rsidRPr="001445C2">
        <w:rPr>
          <w:rFonts w:ascii="Arial" w:hAnsi="Arial" w:cs="Arial"/>
          <w:color w:val="000000" w:themeColor="text1"/>
          <w:lang w:val="en-US"/>
        </w:rPr>
        <w:t>TAU,</w:t>
      </w:r>
      <w:r w:rsidR="00AB582E" w:rsidRPr="001445C2">
        <w:rPr>
          <w:rFonts w:ascii="Arial" w:hAnsi="Arial" w:cs="Arial"/>
          <w:color w:val="000000" w:themeColor="text1"/>
          <w:lang w:val="en-US"/>
        </w:rPr>
        <w:t xml:space="preserve"> experts </w:t>
      </w:r>
      <w:r w:rsidR="00D06B56" w:rsidRPr="001445C2">
        <w:rPr>
          <w:rFonts w:ascii="Arial" w:hAnsi="Arial" w:cs="Arial"/>
          <w:color w:val="000000" w:themeColor="text1"/>
          <w:lang w:val="en-US"/>
        </w:rPr>
        <w:t>are inclined to initiate ATT</w:t>
      </w:r>
      <w:r w:rsidR="00AB582E" w:rsidRPr="001445C2">
        <w:rPr>
          <w:rFonts w:ascii="Arial" w:hAnsi="Arial" w:cs="Arial"/>
          <w:color w:val="000000" w:themeColor="text1"/>
          <w:lang w:val="en-US"/>
        </w:rPr>
        <w:t xml:space="preserve"> </w:t>
      </w:r>
      <w:r w:rsidR="00D06B56" w:rsidRPr="001445C2">
        <w:rPr>
          <w:rFonts w:ascii="Arial" w:hAnsi="Arial" w:cs="Arial"/>
          <w:color w:val="000000" w:themeColor="text1"/>
          <w:lang w:val="en-US"/>
        </w:rPr>
        <w:t>in patients with</w:t>
      </w:r>
      <w:r w:rsidR="00AB582E" w:rsidRPr="001445C2">
        <w:rPr>
          <w:rFonts w:ascii="Arial" w:hAnsi="Arial" w:cs="Arial"/>
          <w:color w:val="000000" w:themeColor="text1"/>
          <w:lang w:val="en-US"/>
        </w:rPr>
        <w:t xml:space="preserve"> both immunological and radiological tests positive</w:t>
      </w:r>
      <w:r w:rsidR="00D17A13" w:rsidRPr="001445C2">
        <w:rPr>
          <w:rFonts w:ascii="Arial" w:hAnsi="Arial" w:cs="Arial"/>
          <w:color w:val="000000" w:themeColor="text1"/>
          <w:lang w:val="en-US"/>
        </w:rPr>
        <w:t>, coming from both endemic and non endemic region.</w:t>
      </w:r>
    </w:p>
    <w:p w14:paraId="365A3E8B" w14:textId="77777777" w:rsidR="00D06B56" w:rsidRPr="001445C2" w:rsidRDefault="00D06B56" w:rsidP="00D119BD">
      <w:pPr>
        <w:spacing w:line="360" w:lineRule="auto"/>
        <w:jc w:val="both"/>
        <w:rPr>
          <w:rFonts w:ascii="Arial" w:eastAsia="Times New Roman" w:hAnsi="Arial" w:cs="Arial"/>
          <w:color w:val="000000" w:themeColor="text1"/>
          <w:lang w:val="en-GB"/>
        </w:rPr>
      </w:pPr>
    </w:p>
    <w:p w14:paraId="7E2839B0" w14:textId="3E507237" w:rsidR="00782657" w:rsidRPr="001445C2" w:rsidRDefault="00245689" w:rsidP="00D119BD">
      <w:pPr>
        <w:spacing w:line="360" w:lineRule="auto"/>
        <w:jc w:val="both"/>
        <w:rPr>
          <w:rFonts w:ascii="Arial" w:hAnsi="Arial" w:cs="Arial"/>
          <w:color w:val="000000" w:themeColor="text1"/>
          <w:lang w:val="en-GB"/>
        </w:rPr>
      </w:pPr>
      <w:r w:rsidRPr="001445C2">
        <w:rPr>
          <w:rFonts w:ascii="Arial" w:hAnsi="Arial" w:cs="Arial"/>
          <w:color w:val="000000" w:themeColor="text1"/>
          <w:lang w:val="en-GB"/>
        </w:rPr>
        <w:t xml:space="preserve">A limitation for this study is its </w:t>
      </w:r>
      <w:r w:rsidR="00962229" w:rsidRPr="001445C2">
        <w:rPr>
          <w:rFonts w:ascii="Arial" w:hAnsi="Arial" w:cs="Arial"/>
          <w:color w:val="000000" w:themeColor="text1"/>
          <w:lang w:val="en-GB"/>
        </w:rPr>
        <w:t>retrospective methodology</w:t>
      </w:r>
      <w:r w:rsidRPr="001445C2">
        <w:rPr>
          <w:rFonts w:ascii="Arial" w:hAnsi="Arial" w:cs="Arial"/>
          <w:color w:val="000000" w:themeColor="text1"/>
          <w:lang w:val="en-GB"/>
        </w:rPr>
        <w:t xml:space="preserve"> and the resultant unstandardized </w:t>
      </w:r>
      <w:r w:rsidR="00131A01" w:rsidRPr="001445C2">
        <w:rPr>
          <w:rFonts w:ascii="Arial" w:hAnsi="Arial" w:cs="Arial"/>
          <w:color w:val="000000" w:themeColor="text1"/>
          <w:lang w:val="en-GB"/>
        </w:rPr>
        <w:t>clinical definition and diagnostic criteria of TAU</w:t>
      </w:r>
      <w:r w:rsidRPr="001445C2">
        <w:rPr>
          <w:rFonts w:ascii="Arial" w:hAnsi="Arial" w:cs="Arial"/>
          <w:color w:val="000000" w:themeColor="text1"/>
          <w:lang w:val="en-GB"/>
        </w:rPr>
        <w:t>. Methods of documentation also varied across the multinational centre</w:t>
      </w:r>
      <w:r w:rsidR="00DF564C" w:rsidRPr="001445C2">
        <w:rPr>
          <w:rFonts w:ascii="Arial" w:hAnsi="Arial" w:cs="Arial"/>
          <w:color w:val="000000" w:themeColor="text1"/>
          <w:lang w:val="en-GB"/>
        </w:rPr>
        <w:t>s, and this has led to missing data, like the one related to the cause of visual impairment in patients with anterior uveitis</w:t>
      </w:r>
      <w:r w:rsidR="00DF564C" w:rsidRPr="001445C2">
        <w:rPr>
          <w:rFonts w:ascii="Arial" w:hAnsi="Arial" w:cs="Arial"/>
          <w:color w:val="000000" w:themeColor="text1"/>
        </w:rPr>
        <w:t xml:space="preserve">. </w:t>
      </w:r>
      <w:r w:rsidRPr="001445C2">
        <w:rPr>
          <w:rFonts w:ascii="Arial" w:hAnsi="Arial" w:cs="Arial"/>
          <w:color w:val="000000" w:themeColor="text1"/>
          <w:lang w:val="en-GB"/>
        </w:rPr>
        <w:t xml:space="preserve">Furthermore, </w:t>
      </w:r>
      <w:r w:rsidR="000C6FA2" w:rsidRPr="001445C2">
        <w:rPr>
          <w:rFonts w:ascii="Arial" w:eastAsia="Times New Roman" w:hAnsi="Arial" w:cs="Arial"/>
          <w:color w:val="000000" w:themeColor="text1"/>
          <w:lang w:val="en-GB"/>
        </w:rPr>
        <w:t>almost 90% of the patients came from the northern hemisphere and there were no data from South America and sub-equatorial Africa,</w:t>
      </w:r>
      <w:r w:rsidR="000C6FA2" w:rsidRPr="001445C2">
        <w:rPr>
          <w:rFonts w:ascii="Arial" w:hAnsi="Arial" w:cs="Arial"/>
          <w:color w:val="000000" w:themeColor="text1"/>
          <w:lang w:val="en-GB"/>
        </w:rPr>
        <w:t xml:space="preserve"> with small </w:t>
      </w:r>
      <w:r w:rsidRPr="001445C2">
        <w:rPr>
          <w:rFonts w:ascii="Arial" w:hAnsi="Arial" w:cs="Arial"/>
          <w:color w:val="000000" w:themeColor="text1"/>
          <w:lang w:val="en-GB"/>
        </w:rPr>
        <w:t xml:space="preserve">numbers </w:t>
      </w:r>
      <w:r w:rsidR="000C6FA2" w:rsidRPr="001445C2">
        <w:rPr>
          <w:rFonts w:ascii="Arial" w:hAnsi="Arial" w:cs="Arial"/>
          <w:color w:val="000000" w:themeColor="text1"/>
          <w:lang w:val="en-GB"/>
        </w:rPr>
        <w:t xml:space="preserve">of patients </w:t>
      </w:r>
      <w:r w:rsidRPr="001445C2">
        <w:rPr>
          <w:rFonts w:ascii="Arial" w:hAnsi="Arial" w:cs="Arial"/>
          <w:color w:val="000000" w:themeColor="text1"/>
          <w:lang w:val="en-GB"/>
        </w:rPr>
        <w:t>in some categories, such</w:t>
      </w:r>
      <w:r w:rsidR="000C6FA2" w:rsidRPr="001445C2">
        <w:rPr>
          <w:rFonts w:ascii="Arial" w:hAnsi="Arial" w:cs="Arial"/>
          <w:color w:val="000000" w:themeColor="text1"/>
          <w:lang w:val="en-GB"/>
        </w:rPr>
        <w:t xml:space="preserve"> as those coming from Middle-Eastern region</w:t>
      </w:r>
      <w:r w:rsidRPr="001445C2">
        <w:rPr>
          <w:rFonts w:ascii="Arial" w:hAnsi="Arial" w:cs="Arial"/>
          <w:color w:val="000000" w:themeColor="text1"/>
          <w:lang w:val="en-GB"/>
        </w:rPr>
        <w:t>.</w:t>
      </w:r>
      <w:r w:rsidR="00C56553" w:rsidRPr="001445C2">
        <w:rPr>
          <w:rFonts w:ascii="Arial" w:hAnsi="Arial" w:cs="Arial"/>
          <w:color w:val="000000" w:themeColor="text1"/>
          <w:lang w:val="en-GB"/>
        </w:rPr>
        <w:t xml:space="preserve"> </w:t>
      </w:r>
      <w:r w:rsidR="006641A7" w:rsidRPr="001445C2">
        <w:rPr>
          <w:rFonts w:ascii="Arial" w:hAnsi="Arial" w:cs="Arial"/>
          <w:color w:val="000000" w:themeColor="text1"/>
          <w:lang w:val="en-GB"/>
        </w:rPr>
        <w:t>Another point to note is that owing to the lack of a global standardised criteria for the definitive diagnosis of TBU, the 165 cases in this study can best be described as anterior uveitis with a presumed tubercular aetiology. That being said, the diagnosis of TAU was sufficiently arrived at by attending uveitis experts in consultation with infectious disease specialists when indicated; this involved the consideration of clinical, immunological, and radiological criteria, and the exclusion of other infectious and non-infectious differentials.</w:t>
      </w:r>
    </w:p>
    <w:p w14:paraId="0D59DF8B" w14:textId="54C5E300" w:rsidR="003A6FB8" w:rsidRPr="001445C2" w:rsidRDefault="00237D1D" w:rsidP="00211597">
      <w:pPr>
        <w:spacing w:line="360" w:lineRule="auto"/>
        <w:jc w:val="both"/>
        <w:rPr>
          <w:rFonts w:ascii="Arial" w:hAnsi="Arial" w:cs="Arial"/>
          <w:color w:val="000000" w:themeColor="text1"/>
          <w:lang w:val="en-GB"/>
        </w:rPr>
      </w:pPr>
      <w:r w:rsidRPr="001445C2">
        <w:rPr>
          <w:rFonts w:ascii="Arial" w:hAnsi="Arial" w:cs="Arial"/>
          <w:color w:val="000000" w:themeColor="text1"/>
          <w:lang w:val="en-GB"/>
        </w:rPr>
        <w:t>That being said</w:t>
      </w:r>
      <w:r w:rsidR="00112D91" w:rsidRPr="001445C2">
        <w:rPr>
          <w:rFonts w:ascii="Arial" w:hAnsi="Arial" w:cs="Arial"/>
          <w:color w:val="000000" w:themeColor="text1"/>
          <w:lang w:val="en-GB"/>
        </w:rPr>
        <w:t>,</w:t>
      </w:r>
      <w:r w:rsidR="00E13ADB" w:rsidRPr="001445C2">
        <w:rPr>
          <w:rFonts w:ascii="Arial" w:hAnsi="Arial" w:cs="Arial"/>
          <w:color w:val="000000" w:themeColor="text1"/>
          <w:lang w:val="en-GB"/>
        </w:rPr>
        <w:t xml:space="preserve"> </w:t>
      </w:r>
      <w:r w:rsidR="00782657" w:rsidRPr="001445C2">
        <w:rPr>
          <w:rFonts w:ascii="Arial" w:hAnsi="Arial" w:cs="Arial"/>
          <w:color w:val="000000" w:themeColor="text1"/>
          <w:lang w:val="en-GB"/>
        </w:rPr>
        <w:t>the strengths of this study</w:t>
      </w:r>
      <w:r w:rsidRPr="001445C2">
        <w:rPr>
          <w:rFonts w:ascii="Arial" w:hAnsi="Arial" w:cs="Arial"/>
          <w:color w:val="000000" w:themeColor="text1"/>
          <w:lang w:val="en-GB"/>
        </w:rPr>
        <w:t xml:space="preserve"> must be </w:t>
      </w:r>
      <w:r w:rsidR="00112D91" w:rsidRPr="001445C2">
        <w:rPr>
          <w:rFonts w:ascii="Arial" w:hAnsi="Arial" w:cs="Arial"/>
          <w:color w:val="000000" w:themeColor="text1"/>
          <w:lang w:val="en-GB"/>
        </w:rPr>
        <w:t>acknowledged</w:t>
      </w:r>
      <w:r w:rsidR="00782657" w:rsidRPr="001445C2">
        <w:rPr>
          <w:rFonts w:ascii="Arial" w:hAnsi="Arial" w:cs="Arial"/>
          <w:color w:val="000000" w:themeColor="text1"/>
          <w:lang w:val="en-GB"/>
        </w:rPr>
        <w:t>.</w:t>
      </w:r>
      <w:r w:rsidR="00E577D5" w:rsidRPr="001445C2">
        <w:rPr>
          <w:rFonts w:ascii="Arial" w:hAnsi="Arial" w:cs="Arial"/>
          <w:color w:val="000000" w:themeColor="text1"/>
          <w:lang w:val="en-GB"/>
        </w:rPr>
        <w:t xml:space="preserve"> </w:t>
      </w:r>
      <w:r w:rsidR="00782657" w:rsidRPr="001445C2">
        <w:rPr>
          <w:rFonts w:ascii="Arial" w:hAnsi="Arial" w:cs="Arial"/>
          <w:color w:val="000000" w:themeColor="text1"/>
          <w:lang w:val="en-GB"/>
        </w:rPr>
        <w:t>This paper</w:t>
      </w:r>
      <w:r w:rsidR="00461630" w:rsidRPr="001445C2">
        <w:rPr>
          <w:rFonts w:ascii="Arial" w:hAnsi="Arial" w:cs="Arial"/>
          <w:color w:val="000000" w:themeColor="text1"/>
          <w:lang w:val="en-GB"/>
        </w:rPr>
        <w:t>,</w:t>
      </w:r>
      <w:r w:rsidR="003A6FB8" w:rsidRPr="001445C2">
        <w:rPr>
          <w:rFonts w:ascii="Arial" w:hAnsi="Arial" w:cs="Arial"/>
          <w:color w:val="000000" w:themeColor="text1"/>
          <w:lang w:val="en-GB"/>
        </w:rPr>
        <w:t xml:space="preserve"> part of the COTS-1 study</w:t>
      </w:r>
      <w:r w:rsidRPr="001445C2">
        <w:rPr>
          <w:rFonts w:ascii="Arial" w:hAnsi="Arial" w:cs="Arial"/>
          <w:color w:val="000000" w:themeColor="text1"/>
          <w:lang w:val="en-GB"/>
        </w:rPr>
        <w:t xml:space="preserve">, </w:t>
      </w:r>
      <w:r w:rsidR="00782657" w:rsidRPr="001445C2">
        <w:rPr>
          <w:rFonts w:ascii="Arial" w:hAnsi="Arial" w:cs="Arial"/>
          <w:color w:val="000000" w:themeColor="text1"/>
          <w:lang w:val="en-GB"/>
        </w:rPr>
        <w:t>describes the only multinational dataset of TAU to date</w:t>
      </w:r>
      <w:r w:rsidRPr="001445C2">
        <w:rPr>
          <w:rFonts w:ascii="Arial" w:hAnsi="Arial" w:cs="Arial"/>
          <w:color w:val="000000" w:themeColor="text1"/>
          <w:lang w:val="en-GB"/>
        </w:rPr>
        <w:t xml:space="preserve"> based o</w:t>
      </w:r>
      <w:r w:rsidR="00783251" w:rsidRPr="001445C2">
        <w:rPr>
          <w:rFonts w:ascii="Arial" w:hAnsi="Arial" w:cs="Arial"/>
          <w:color w:val="000000" w:themeColor="text1"/>
          <w:lang w:val="en-GB"/>
        </w:rPr>
        <w:t xml:space="preserve">n </w:t>
      </w:r>
      <w:r w:rsidR="003A6FB8" w:rsidRPr="001445C2">
        <w:rPr>
          <w:rFonts w:ascii="Arial" w:hAnsi="Arial" w:cs="Arial"/>
          <w:color w:val="000000" w:themeColor="text1"/>
          <w:lang w:val="en-GB"/>
        </w:rPr>
        <w:t xml:space="preserve">a large </w:t>
      </w:r>
      <w:r w:rsidR="00D22CA4" w:rsidRPr="001445C2">
        <w:rPr>
          <w:rFonts w:ascii="Arial" w:hAnsi="Arial" w:cs="Arial"/>
          <w:color w:val="000000" w:themeColor="text1"/>
          <w:lang w:val="en-GB"/>
        </w:rPr>
        <w:t>and</w:t>
      </w:r>
      <w:r w:rsidR="003A6FB8" w:rsidRPr="001445C2">
        <w:rPr>
          <w:rFonts w:ascii="Arial" w:hAnsi="Arial" w:cs="Arial"/>
          <w:color w:val="000000" w:themeColor="text1"/>
          <w:lang w:val="en-GB"/>
        </w:rPr>
        <w:t xml:space="preserve"> diverse patient cohort.</w:t>
      </w:r>
      <w:r w:rsidR="00782657" w:rsidRPr="001445C2">
        <w:rPr>
          <w:rFonts w:ascii="Arial" w:hAnsi="Arial" w:cs="Arial"/>
          <w:color w:val="000000" w:themeColor="text1"/>
          <w:lang w:val="en-GB"/>
        </w:rPr>
        <w:t xml:space="preserve"> </w:t>
      </w:r>
      <w:r w:rsidR="003A6FB8" w:rsidRPr="001445C2">
        <w:rPr>
          <w:rFonts w:ascii="Arial" w:hAnsi="Arial" w:cs="Arial"/>
          <w:color w:val="000000" w:themeColor="text1"/>
          <w:lang w:val="en-GB"/>
        </w:rPr>
        <w:t>Inclusion, exclusion and diagnostic criteria have been</w:t>
      </w:r>
      <w:r w:rsidR="00782657" w:rsidRPr="001445C2">
        <w:rPr>
          <w:rFonts w:ascii="Arial" w:hAnsi="Arial" w:cs="Arial"/>
          <w:color w:val="000000" w:themeColor="text1"/>
          <w:lang w:val="en-GB"/>
        </w:rPr>
        <w:t xml:space="preserve"> standardized</w:t>
      </w:r>
      <w:r w:rsidR="00517EB1" w:rsidRPr="001445C2">
        <w:rPr>
          <w:rFonts w:ascii="Arial" w:hAnsi="Arial" w:cs="Arial"/>
          <w:color w:val="000000" w:themeColor="text1"/>
          <w:lang w:val="en-GB"/>
        </w:rPr>
        <w:t xml:space="preserve"> so as to</w:t>
      </w:r>
      <w:r w:rsidR="004B2F99" w:rsidRPr="001445C2">
        <w:rPr>
          <w:rFonts w:ascii="Arial" w:hAnsi="Arial" w:cs="Arial"/>
          <w:color w:val="000000" w:themeColor="text1"/>
          <w:lang w:val="en-GB"/>
        </w:rPr>
        <w:t xml:space="preserve"> ad</w:t>
      </w:r>
      <w:r w:rsidR="003A6FB8" w:rsidRPr="001445C2">
        <w:rPr>
          <w:rFonts w:ascii="Arial" w:hAnsi="Arial" w:cs="Arial"/>
          <w:color w:val="000000" w:themeColor="text1"/>
          <w:lang w:val="en-GB"/>
        </w:rPr>
        <w:t xml:space="preserve">dress the limitations of the existing literature on TAU. </w:t>
      </w:r>
      <w:r w:rsidR="004B2F99" w:rsidRPr="001445C2">
        <w:rPr>
          <w:rFonts w:ascii="Arial" w:hAnsi="Arial" w:cs="Arial"/>
          <w:color w:val="000000" w:themeColor="text1"/>
          <w:lang w:val="en-GB"/>
        </w:rPr>
        <w:t>For instance, c</w:t>
      </w:r>
      <w:r w:rsidR="00D47F98" w:rsidRPr="001445C2">
        <w:rPr>
          <w:rFonts w:ascii="Arial" w:hAnsi="Arial" w:cs="Arial"/>
          <w:color w:val="000000" w:themeColor="text1"/>
          <w:lang w:val="en-GB"/>
        </w:rPr>
        <w:t xml:space="preserve">urrent reports of TAU are retrospective studies in isolated </w:t>
      </w:r>
      <w:r w:rsidR="00EF53FA" w:rsidRPr="001445C2">
        <w:rPr>
          <w:rFonts w:ascii="Arial" w:hAnsi="Arial" w:cs="Arial"/>
          <w:color w:val="000000" w:themeColor="text1"/>
          <w:lang w:val="en-GB"/>
        </w:rPr>
        <w:t>centres</w:t>
      </w:r>
      <w:r w:rsidR="00D47F98" w:rsidRPr="001445C2">
        <w:rPr>
          <w:rFonts w:ascii="Arial" w:hAnsi="Arial" w:cs="Arial"/>
          <w:color w:val="000000" w:themeColor="text1"/>
          <w:lang w:val="en-GB"/>
        </w:rPr>
        <w:t>.</w:t>
      </w:r>
      <w:r w:rsidR="00AF101E" w:rsidRPr="001445C2">
        <w:rPr>
          <w:rFonts w:ascii="Arial" w:hAnsi="Arial" w:cs="Arial"/>
          <w:color w:val="000000" w:themeColor="text1"/>
          <w:vertAlign w:val="superscript"/>
          <w:lang w:val="en-GB"/>
        </w:rPr>
        <w:t>3,13,23-26</w:t>
      </w:r>
      <w:r w:rsidR="00D47F98" w:rsidRPr="001445C2">
        <w:rPr>
          <w:rFonts w:ascii="Arial" w:hAnsi="Arial" w:cs="Arial"/>
          <w:color w:val="000000" w:themeColor="text1"/>
          <w:lang w:val="en-GB"/>
        </w:rPr>
        <w:t xml:space="preserve"> </w:t>
      </w:r>
      <w:r w:rsidR="004B2F99" w:rsidRPr="001445C2">
        <w:rPr>
          <w:rFonts w:ascii="Arial" w:hAnsi="Arial" w:cs="Arial"/>
          <w:color w:val="000000" w:themeColor="text1"/>
          <w:lang w:val="en-GB"/>
        </w:rPr>
        <w:t>C</w:t>
      </w:r>
      <w:r w:rsidR="00D47F98" w:rsidRPr="001445C2">
        <w:rPr>
          <w:rFonts w:ascii="Arial" w:hAnsi="Arial" w:cs="Arial"/>
          <w:color w:val="000000" w:themeColor="text1"/>
          <w:lang w:val="en-GB"/>
        </w:rPr>
        <w:t xml:space="preserve">ross comparison between </w:t>
      </w:r>
      <w:r w:rsidR="004B2F99" w:rsidRPr="001445C2">
        <w:rPr>
          <w:rFonts w:ascii="Arial" w:hAnsi="Arial" w:cs="Arial"/>
          <w:color w:val="000000" w:themeColor="text1"/>
          <w:lang w:val="en-GB"/>
        </w:rPr>
        <w:t xml:space="preserve">these </w:t>
      </w:r>
      <w:r w:rsidR="00D47F98" w:rsidRPr="001445C2">
        <w:rPr>
          <w:rFonts w:ascii="Arial" w:hAnsi="Arial" w:cs="Arial"/>
          <w:color w:val="000000" w:themeColor="text1"/>
          <w:lang w:val="en-GB"/>
        </w:rPr>
        <w:t xml:space="preserve">reports </w:t>
      </w:r>
      <w:r w:rsidR="004B2F99" w:rsidRPr="001445C2">
        <w:rPr>
          <w:rFonts w:ascii="Arial" w:hAnsi="Arial" w:cs="Arial"/>
          <w:color w:val="000000" w:themeColor="text1"/>
          <w:lang w:val="en-GB"/>
        </w:rPr>
        <w:t>is difficult</w:t>
      </w:r>
      <w:r w:rsidR="00D47F98" w:rsidRPr="001445C2">
        <w:rPr>
          <w:rFonts w:ascii="Arial" w:hAnsi="Arial" w:cs="Arial"/>
          <w:color w:val="000000" w:themeColor="text1"/>
          <w:lang w:val="en-GB"/>
        </w:rPr>
        <w:t xml:space="preserve"> b</w:t>
      </w:r>
      <w:r w:rsidR="004B2F99" w:rsidRPr="001445C2">
        <w:rPr>
          <w:rFonts w:ascii="Arial" w:hAnsi="Arial" w:cs="Arial"/>
          <w:color w:val="000000" w:themeColor="text1"/>
          <w:lang w:val="en-GB"/>
        </w:rPr>
        <w:t>ecause of</w:t>
      </w:r>
      <w:r w:rsidR="00D47F98" w:rsidRPr="001445C2">
        <w:rPr>
          <w:rFonts w:ascii="Arial" w:hAnsi="Arial" w:cs="Arial"/>
          <w:color w:val="000000" w:themeColor="text1"/>
          <w:lang w:val="en-GB"/>
        </w:rPr>
        <w:t xml:space="preserve"> inconsistencies in </w:t>
      </w:r>
      <w:r w:rsidR="004B2F99" w:rsidRPr="001445C2">
        <w:rPr>
          <w:rFonts w:ascii="Arial" w:hAnsi="Arial" w:cs="Arial"/>
          <w:color w:val="000000" w:themeColor="text1"/>
          <w:lang w:val="en-GB"/>
        </w:rPr>
        <w:t xml:space="preserve">inclusion </w:t>
      </w:r>
      <w:r w:rsidR="00D47F98" w:rsidRPr="001445C2">
        <w:rPr>
          <w:rFonts w:ascii="Arial" w:hAnsi="Arial" w:cs="Arial"/>
          <w:color w:val="000000" w:themeColor="text1"/>
          <w:lang w:val="en-GB"/>
        </w:rPr>
        <w:t>criteria</w:t>
      </w:r>
      <w:r w:rsidR="004B2F99" w:rsidRPr="001445C2">
        <w:rPr>
          <w:rFonts w:ascii="Arial" w:hAnsi="Arial" w:cs="Arial"/>
          <w:color w:val="000000" w:themeColor="text1"/>
          <w:lang w:val="en-GB"/>
        </w:rPr>
        <w:t xml:space="preserve"> and varying methods of </w:t>
      </w:r>
      <w:r w:rsidR="00D47F98" w:rsidRPr="001445C2">
        <w:rPr>
          <w:rFonts w:ascii="Arial" w:hAnsi="Arial" w:cs="Arial"/>
          <w:color w:val="000000" w:themeColor="text1"/>
          <w:lang w:val="en-GB"/>
        </w:rPr>
        <w:t>outcomes analysis.</w:t>
      </w:r>
      <w:r w:rsidR="00214D27" w:rsidRPr="001445C2">
        <w:rPr>
          <w:rFonts w:ascii="Arial" w:hAnsi="Arial" w:cs="Arial"/>
          <w:color w:val="000000" w:themeColor="text1"/>
          <w:lang w:val="en-GB"/>
        </w:rPr>
        <w:t xml:space="preserve"> Future studies can build on the current results through prospective methodology, mandatory documentation of key clinical features, and </w:t>
      </w:r>
      <w:r w:rsidR="00112D91" w:rsidRPr="001445C2">
        <w:rPr>
          <w:rFonts w:ascii="Arial" w:hAnsi="Arial" w:cs="Arial"/>
          <w:color w:val="000000" w:themeColor="text1"/>
          <w:lang w:val="en-GB"/>
        </w:rPr>
        <w:t xml:space="preserve">proper explanation </w:t>
      </w:r>
      <w:r w:rsidR="00214D27" w:rsidRPr="001445C2">
        <w:rPr>
          <w:rFonts w:ascii="Arial" w:hAnsi="Arial" w:cs="Arial"/>
          <w:color w:val="000000" w:themeColor="text1"/>
          <w:lang w:val="en-GB"/>
        </w:rPr>
        <w:t xml:space="preserve">of </w:t>
      </w:r>
      <w:r w:rsidR="00112D91" w:rsidRPr="001445C2">
        <w:rPr>
          <w:rFonts w:ascii="Arial" w:hAnsi="Arial" w:cs="Arial"/>
          <w:color w:val="000000" w:themeColor="text1"/>
          <w:lang w:val="en-GB"/>
        </w:rPr>
        <w:t xml:space="preserve">the </w:t>
      </w:r>
      <w:r w:rsidR="00214D27" w:rsidRPr="001445C2">
        <w:rPr>
          <w:rFonts w:ascii="Arial" w:hAnsi="Arial" w:cs="Arial"/>
          <w:color w:val="000000" w:themeColor="text1"/>
          <w:lang w:val="en-GB"/>
        </w:rPr>
        <w:t xml:space="preserve">reasons </w:t>
      </w:r>
      <w:r w:rsidR="00112D91" w:rsidRPr="001445C2">
        <w:rPr>
          <w:rFonts w:ascii="Arial" w:hAnsi="Arial" w:cs="Arial"/>
          <w:color w:val="000000" w:themeColor="text1"/>
          <w:lang w:val="en-GB"/>
        </w:rPr>
        <w:t xml:space="preserve">why </w:t>
      </w:r>
      <w:r w:rsidR="00214D27" w:rsidRPr="001445C2">
        <w:rPr>
          <w:rFonts w:ascii="Arial" w:hAnsi="Arial" w:cs="Arial"/>
          <w:color w:val="000000" w:themeColor="text1"/>
          <w:lang w:val="en-GB"/>
        </w:rPr>
        <w:t>some patients are not started on ATT</w:t>
      </w:r>
      <w:r w:rsidR="009E745E" w:rsidRPr="001445C2">
        <w:rPr>
          <w:rFonts w:ascii="Arial" w:hAnsi="Arial" w:cs="Arial"/>
          <w:color w:val="000000" w:themeColor="text1"/>
          <w:lang w:val="en-GB"/>
        </w:rPr>
        <w:t xml:space="preserve"> by attending physicians</w:t>
      </w:r>
      <w:r w:rsidR="00214D27" w:rsidRPr="001445C2">
        <w:rPr>
          <w:rFonts w:ascii="Arial" w:hAnsi="Arial" w:cs="Arial"/>
          <w:color w:val="000000" w:themeColor="text1"/>
          <w:lang w:val="en-GB"/>
        </w:rPr>
        <w:t>.</w:t>
      </w:r>
      <w:r w:rsidR="0049188D" w:rsidRPr="001445C2">
        <w:rPr>
          <w:rFonts w:ascii="Arial" w:hAnsi="Arial" w:cs="Arial"/>
          <w:color w:val="000000" w:themeColor="text1"/>
          <w:lang w:val="en-GB"/>
        </w:rPr>
        <w:t xml:space="preserve"> </w:t>
      </w:r>
    </w:p>
    <w:p w14:paraId="5E3FB5DF" w14:textId="77777777" w:rsidR="00913F4D" w:rsidRPr="001445C2" w:rsidRDefault="00913F4D" w:rsidP="00032E4B">
      <w:pPr>
        <w:outlineLvl w:val="0"/>
        <w:rPr>
          <w:rFonts w:ascii="Arial" w:hAnsi="Arial" w:cs="Arial"/>
          <w:b/>
          <w:bCs/>
          <w:caps/>
          <w:color w:val="000000" w:themeColor="text1"/>
          <w:lang w:val="en-GB"/>
        </w:rPr>
      </w:pPr>
    </w:p>
    <w:p w14:paraId="26C8BBBA" w14:textId="587010C2" w:rsidR="00977823" w:rsidRPr="001445C2" w:rsidRDefault="00211597" w:rsidP="00032E4B">
      <w:pPr>
        <w:outlineLvl w:val="0"/>
        <w:rPr>
          <w:rFonts w:ascii="Arial" w:hAnsi="Arial" w:cs="Arial"/>
          <w:b/>
          <w:bCs/>
          <w:caps/>
          <w:color w:val="000000" w:themeColor="text1"/>
          <w:lang w:val="en-GB"/>
        </w:rPr>
      </w:pPr>
      <w:r w:rsidRPr="001445C2">
        <w:rPr>
          <w:rFonts w:ascii="Arial" w:hAnsi="Arial" w:cs="Arial"/>
          <w:b/>
          <w:bCs/>
          <w:caps/>
          <w:color w:val="000000" w:themeColor="text1"/>
          <w:lang w:val="en-GB"/>
        </w:rPr>
        <w:t>CONCLUSION</w:t>
      </w:r>
    </w:p>
    <w:p w14:paraId="56095215" w14:textId="77777777" w:rsidR="00AF101E" w:rsidRPr="001445C2" w:rsidRDefault="00AF101E" w:rsidP="00032E4B">
      <w:pPr>
        <w:outlineLvl w:val="0"/>
        <w:rPr>
          <w:rFonts w:ascii="Arial" w:hAnsi="Arial" w:cs="Arial"/>
          <w:b/>
          <w:bCs/>
          <w:caps/>
          <w:color w:val="000000" w:themeColor="text1"/>
          <w:lang w:val="en-GB"/>
        </w:rPr>
      </w:pPr>
    </w:p>
    <w:p w14:paraId="13206913" w14:textId="6DAF0E86" w:rsidR="00AF101E" w:rsidRPr="001445C2" w:rsidRDefault="00211597" w:rsidP="00131A01">
      <w:pPr>
        <w:spacing w:line="360" w:lineRule="auto"/>
        <w:jc w:val="both"/>
        <w:rPr>
          <w:rFonts w:ascii="Arial" w:hAnsi="Arial" w:cs="Arial"/>
          <w:color w:val="000000" w:themeColor="text1"/>
          <w:lang w:val="en-GB"/>
        </w:rPr>
      </w:pPr>
      <w:r w:rsidRPr="001445C2">
        <w:rPr>
          <w:rFonts w:ascii="Arial" w:hAnsi="Arial" w:cs="Arial"/>
          <w:color w:val="000000" w:themeColor="text1"/>
          <w:lang w:val="en-GB"/>
        </w:rPr>
        <w:t>The</w:t>
      </w:r>
      <w:r w:rsidR="00B27703" w:rsidRPr="001445C2">
        <w:rPr>
          <w:rFonts w:ascii="Arial" w:hAnsi="Arial" w:cs="Arial"/>
          <w:color w:val="000000" w:themeColor="text1"/>
          <w:lang w:val="en-GB"/>
        </w:rPr>
        <w:t xml:space="preserve"> current </w:t>
      </w:r>
      <w:r w:rsidR="003565C6" w:rsidRPr="001445C2">
        <w:rPr>
          <w:rFonts w:ascii="Arial" w:hAnsi="Arial" w:cs="Arial"/>
          <w:color w:val="000000" w:themeColor="text1"/>
          <w:lang w:val="en-GB"/>
        </w:rPr>
        <w:t>study</w:t>
      </w:r>
      <w:r w:rsidR="00B27703" w:rsidRPr="001445C2">
        <w:rPr>
          <w:rFonts w:ascii="Arial" w:hAnsi="Arial" w:cs="Arial"/>
          <w:color w:val="000000" w:themeColor="text1"/>
          <w:lang w:val="en-GB"/>
        </w:rPr>
        <w:t xml:space="preserve"> </w:t>
      </w:r>
      <w:r w:rsidR="00A55A87" w:rsidRPr="001445C2">
        <w:rPr>
          <w:rFonts w:ascii="Arial" w:hAnsi="Arial" w:cs="Arial"/>
          <w:color w:val="000000" w:themeColor="text1"/>
          <w:lang w:val="en-GB"/>
        </w:rPr>
        <w:t>provides</w:t>
      </w:r>
      <w:r w:rsidR="00B27703" w:rsidRPr="001445C2">
        <w:rPr>
          <w:rFonts w:ascii="Arial" w:hAnsi="Arial" w:cs="Arial"/>
          <w:color w:val="000000" w:themeColor="text1"/>
          <w:lang w:val="en-GB"/>
        </w:rPr>
        <w:t xml:space="preserve"> information </w:t>
      </w:r>
      <w:r w:rsidR="003565C6" w:rsidRPr="001445C2">
        <w:rPr>
          <w:rFonts w:ascii="Arial" w:hAnsi="Arial" w:cs="Arial"/>
          <w:color w:val="000000" w:themeColor="text1"/>
          <w:lang w:val="en-GB"/>
        </w:rPr>
        <w:t>from multinational centres on patients presenting with</w:t>
      </w:r>
      <w:r w:rsidR="00B27703" w:rsidRPr="001445C2">
        <w:rPr>
          <w:rFonts w:ascii="Arial" w:hAnsi="Arial" w:cs="Arial"/>
          <w:color w:val="000000" w:themeColor="text1"/>
          <w:lang w:val="en-GB"/>
        </w:rPr>
        <w:t xml:space="preserve"> TA</w:t>
      </w:r>
      <w:r w:rsidR="003565C6" w:rsidRPr="001445C2">
        <w:rPr>
          <w:rFonts w:ascii="Arial" w:hAnsi="Arial" w:cs="Arial"/>
          <w:color w:val="000000" w:themeColor="text1"/>
          <w:lang w:val="en-GB"/>
        </w:rPr>
        <w:t>U,</w:t>
      </w:r>
      <w:r w:rsidR="00B27703" w:rsidRPr="001445C2">
        <w:rPr>
          <w:rFonts w:ascii="Arial" w:hAnsi="Arial" w:cs="Arial"/>
          <w:color w:val="000000" w:themeColor="text1"/>
          <w:lang w:val="en-GB"/>
        </w:rPr>
        <w:t xml:space="preserve"> </w:t>
      </w:r>
      <w:r w:rsidR="003565C6" w:rsidRPr="001445C2">
        <w:rPr>
          <w:rFonts w:ascii="Arial" w:hAnsi="Arial" w:cs="Arial"/>
          <w:color w:val="000000" w:themeColor="text1"/>
          <w:lang w:val="en-GB"/>
        </w:rPr>
        <w:t xml:space="preserve">and the corresponding outcomes of ATT treatment. </w:t>
      </w:r>
      <w:r w:rsidR="008578BB" w:rsidRPr="001445C2">
        <w:rPr>
          <w:rFonts w:ascii="Arial" w:hAnsi="Arial" w:cs="Arial"/>
          <w:color w:val="000000" w:themeColor="text1"/>
          <w:lang w:val="en-GB"/>
        </w:rPr>
        <w:t xml:space="preserve">The (absolute) risk of relapse is low and it doesn’t differ based on ATT treatment as far we can see taking into account the limitations of the retrospective, non-randomized design.  </w:t>
      </w:r>
      <w:r w:rsidR="00913F4D" w:rsidRPr="001445C2">
        <w:rPr>
          <w:rFonts w:ascii="Arial" w:hAnsi="Arial" w:cs="Arial"/>
          <w:color w:val="000000" w:themeColor="text1"/>
          <w:lang w:val="en-GB"/>
        </w:rPr>
        <w:t xml:space="preserve">Limitations with respect to the retrospective nature of the study, among others, imply that the current study cannot provide conclusive evidence on the therapeutic benefit of ATT in TAU. </w:t>
      </w:r>
      <w:r w:rsidR="003B3629" w:rsidRPr="001445C2">
        <w:rPr>
          <w:rFonts w:ascii="Arial" w:hAnsi="Arial" w:cs="Arial"/>
          <w:color w:val="000000" w:themeColor="text1"/>
          <w:lang w:val="en-GB"/>
        </w:rPr>
        <w:t>One of the inferences</w:t>
      </w:r>
      <w:r w:rsidR="00913F4D" w:rsidRPr="001445C2">
        <w:rPr>
          <w:rFonts w:ascii="Arial" w:hAnsi="Arial" w:cs="Arial"/>
          <w:color w:val="000000" w:themeColor="text1"/>
          <w:lang w:val="en-GB"/>
        </w:rPr>
        <w:t xml:space="preserve"> from this study can be that if the risk of relapse is low anyway, and probably the risks of vision loss with relapse promptly treated also is low, then we may not consider initiating ATT in patients with TAU.  </w:t>
      </w:r>
      <w:r w:rsidR="00A55A87" w:rsidRPr="001445C2">
        <w:rPr>
          <w:rFonts w:ascii="Arial" w:hAnsi="Arial" w:cs="Arial"/>
          <w:color w:val="000000" w:themeColor="text1"/>
          <w:lang w:val="en-GB"/>
        </w:rPr>
        <w:t>This study</w:t>
      </w:r>
      <w:r w:rsidR="00180938" w:rsidRPr="001445C2">
        <w:rPr>
          <w:rFonts w:ascii="Arial" w:hAnsi="Arial" w:cs="Arial"/>
          <w:color w:val="000000" w:themeColor="text1"/>
          <w:lang w:val="en-GB"/>
        </w:rPr>
        <w:t xml:space="preserve"> </w:t>
      </w:r>
      <w:r w:rsidR="00A55A87" w:rsidRPr="001445C2">
        <w:rPr>
          <w:rFonts w:ascii="Arial" w:hAnsi="Arial" w:cs="Arial"/>
          <w:color w:val="000000" w:themeColor="text1"/>
          <w:lang w:val="en-GB"/>
        </w:rPr>
        <w:t>highlights</w:t>
      </w:r>
      <w:r w:rsidR="00C871D8" w:rsidRPr="001445C2">
        <w:rPr>
          <w:rFonts w:ascii="Arial" w:hAnsi="Arial" w:cs="Arial"/>
          <w:color w:val="000000" w:themeColor="text1"/>
          <w:lang w:val="en-GB"/>
        </w:rPr>
        <w:t xml:space="preserve"> the </w:t>
      </w:r>
      <w:r w:rsidR="00180938" w:rsidRPr="001445C2">
        <w:rPr>
          <w:rFonts w:ascii="Arial" w:hAnsi="Arial" w:cs="Arial"/>
          <w:color w:val="000000" w:themeColor="text1"/>
          <w:lang w:val="en-GB"/>
        </w:rPr>
        <w:t xml:space="preserve">real </w:t>
      </w:r>
      <w:r w:rsidR="00C871D8" w:rsidRPr="001445C2">
        <w:rPr>
          <w:rFonts w:ascii="Arial" w:hAnsi="Arial" w:cs="Arial"/>
          <w:color w:val="000000" w:themeColor="text1"/>
          <w:lang w:val="en-GB"/>
        </w:rPr>
        <w:t xml:space="preserve">need for the design of </w:t>
      </w:r>
      <w:r w:rsidR="00180938" w:rsidRPr="001445C2">
        <w:rPr>
          <w:rFonts w:ascii="Arial" w:hAnsi="Arial" w:cs="Arial"/>
          <w:color w:val="000000" w:themeColor="text1"/>
          <w:lang w:val="en-GB"/>
        </w:rPr>
        <w:t xml:space="preserve">systematic and </w:t>
      </w:r>
      <w:r w:rsidR="008A2838" w:rsidRPr="001445C2">
        <w:rPr>
          <w:rFonts w:ascii="Arial" w:hAnsi="Arial" w:cs="Arial"/>
          <w:color w:val="000000" w:themeColor="text1"/>
          <w:lang w:val="en-GB"/>
        </w:rPr>
        <w:t xml:space="preserve">global collaborative </w:t>
      </w:r>
      <w:r w:rsidR="00C871D8" w:rsidRPr="001445C2">
        <w:rPr>
          <w:rFonts w:ascii="Arial" w:hAnsi="Arial" w:cs="Arial"/>
          <w:color w:val="000000" w:themeColor="text1"/>
          <w:lang w:val="en-GB"/>
        </w:rPr>
        <w:t>prospective studies</w:t>
      </w:r>
      <w:r w:rsidR="008A2838" w:rsidRPr="001445C2">
        <w:rPr>
          <w:rFonts w:ascii="Arial" w:hAnsi="Arial" w:cs="Arial"/>
          <w:color w:val="000000" w:themeColor="text1"/>
          <w:lang w:val="en-GB"/>
        </w:rPr>
        <w:t xml:space="preserve"> to </w:t>
      </w:r>
      <w:r w:rsidR="009E745E" w:rsidRPr="001445C2">
        <w:rPr>
          <w:rFonts w:ascii="Arial" w:hAnsi="Arial" w:cs="Arial"/>
          <w:color w:val="000000" w:themeColor="text1"/>
          <w:lang w:val="en-GB"/>
        </w:rPr>
        <w:t>advance the</w:t>
      </w:r>
      <w:r w:rsidR="008A2838" w:rsidRPr="001445C2">
        <w:rPr>
          <w:rFonts w:ascii="Arial" w:hAnsi="Arial" w:cs="Arial"/>
          <w:color w:val="000000" w:themeColor="text1"/>
          <w:lang w:val="en-GB"/>
        </w:rPr>
        <w:t xml:space="preserve"> current understanding of the </w:t>
      </w:r>
      <w:r w:rsidR="00804176" w:rsidRPr="001445C2">
        <w:rPr>
          <w:rFonts w:ascii="Arial" w:hAnsi="Arial" w:cs="Arial"/>
          <w:color w:val="000000" w:themeColor="text1"/>
          <w:lang w:val="en-GB"/>
        </w:rPr>
        <w:t xml:space="preserve">TAU and its </w:t>
      </w:r>
      <w:r w:rsidR="008A2838" w:rsidRPr="001445C2">
        <w:rPr>
          <w:rFonts w:ascii="Arial" w:hAnsi="Arial" w:cs="Arial"/>
          <w:color w:val="000000" w:themeColor="text1"/>
          <w:lang w:val="en-GB"/>
        </w:rPr>
        <w:t>management.</w:t>
      </w:r>
    </w:p>
    <w:p w14:paraId="4D4E77FF" w14:textId="77777777" w:rsidR="00942958" w:rsidRPr="001445C2" w:rsidRDefault="00942958" w:rsidP="00032E4B">
      <w:pPr>
        <w:shd w:val="clear" w:color="auto" w:fill="FFFFFF"/>
        <w:spacing w:after="100"/>
        <w:outlineLvl w:val="0"/>
        <w:rPr>
          <w:rFonts w:ascii="Arial" w:hAnsi="Arial" w:cs="Arial"/>
          <w:b/>
          <w:bCs/>
          <w:caps/>
          <w:color w:val="000000" w:themeColor="text1"/>
          <w:lang w:val="en-GB"/>
        </w:rPr>
      </w:pPr>
    </w:p>
    <w:p w14:paraId="565E6301" w14:textId="77777777" w:rsidR="00942958" w:rsidRPr="001445C2" w:rsidRDefault="00942958" w:rsidP="00032E4B">
      <w:pPr>
        <w:shd w:val="clear" w:color="auto" w:fill="FFFFFF"/>
        <w:spacing w:after="100"/>
        <w:outlineLvl w:val="0"/>
        <w:rPr>
          <w:rFonts w:ascii="Arial" w:hAnsi="Arial" w:cs="Arial"/>
          <w:b/>
          <w:bCs/>
          <w:caps/>
          <w:color w:val="000000" w:themeColor="text1"/>
          <w:lang w:val="en-GB"/>
        </w:rPr>
      </w:pPr>
    </w:p>
    <w:p w14:paraId="764AF1EB"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342FAD7F"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241FB4FC"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6F6EE4D6"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0C4DD5EA"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21142257"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1C761D27"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7A4927D2"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6389AE81"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33F87796"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5E107E79"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39D0BEA6"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182EC637"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5576F2A3"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4F473C11"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7AD844BE"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55D234CB"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7C402EAD"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454BA85F"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0287125E"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12D84910"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0E77A50A"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1F0319EC"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5506296E" w14:textId="77777777" w:rsidR="001B34A5" w:rsidRPr="001445C2" w:rsidRDefault="001B34A5" w:rsidP="00032E4B">
      <w:pPr>
        <w:shd w:val="clear" w:color="auto" w:fill="FFFFFF"/>
        <w:spacing w:after="100"/>
        <w:outlineLvl w:val="0"/>
        <w:rPr>
          <w:rFonts w:ascii="Arial" w:hAnsi="Arial" w:cs="Arial"/>
          <w:b/>
          <w:bCs/>
          <w:caps/>
          <w:color w:val="000000" w:themeColor="text1"/>
          <w:lang w:val="en-GB"/>
        </w:rPr>
      </w:pPr>
    </w:p>
    <w:p w14:paraId="7CEBD935" w14:textId="7B0CF08C" w:rsidR="00485AA4" w:rsidRPr="001445C2" w:rsidRDefault="00485AA4" w:rsidP="00032E4B">
      <w:pPr>
        <w:shd w:val="clear" w:color="auto" w:fill="FFFFFF"/>
        <w:spacing w:after="100"/>
        <w:outlineLvl w:val="0"/>
        <w:rPr>
          <w:rFonts w:ascii="Arial" w:hAnsi="Arial" w:cs="Arial"/>
          <w:b/>
          <w:bCs/>
          <w:caps/>
          <w:color w:val="000000" w:themeColor="text1"/>
          <w:lang w:val="en-GB"/>
        </w:rPr>
      </w:pPr>
      <w:r w:rsidRPr="001445C2">
        <w:rPr>
          <w:rFonts w:ascii="Arial" w:hAnsi="Arial" w:cs="Arial"/>
          <w:b/>
          <w:bCs/>
          <w:caps/>
          <w:color w:val="000000" w:themeColor="text1"/>
          <w:lang w:val="en-GB"/>
        </w:rPr>
        <w:t>DECLARATION OF INTEREST</w:t>
      </w:r>
    </w:p>
    <w:p w14:paraId="3A7516C2" w14:textId="77777777" w:rsidR="00977823" w:rsidRPr="001445C2" w:rsidRDefault="00977823" w:rsidP="00485AA4">
      <w:pPr>
        <w:shd w:val="clear" w:color="auto" w:fill="FFFFFF"/>
        <w:spacing w:after="100"/>
        <w:jc w:val="center"/>
        <w:rPr>
          <w:rFonts w:ascii="Arial" w:hAnsi="Arial" w:cs="Arial"/>
          <w:b/>
          <w:bCs/>
          <w:caps/>
          <w:color w:val="000000" w:themeColor="text1"/>
          <w:lang w:val="en-GB"/>
        </w:rPr>
      </w:pPr>
    </w:p>
    <w:p w14:paraId="5C948E92" w14:textId="5E3C9359" w:rsidR="00D165EC" w:rsidRPr="001445C2" w:rsidRDefault="00485AA4" w:rsidP="00BE35E0">
      <w:pPr>
        <w:spacing w:line="360" w:lineRule="auto"/>
        <w:jc w:val="both"/>
        <w:rPr>
          <w:rFonts w:ascii="Arial" w:hAnsi="Arial" w:cs="Arial"/>
          <w:color w:val="000000" w:themeColor="text1"/>
          <w:lang w:val="en-GB"/>
        </w:rPr>
      </w:pPr>
      <w:r w:rsidRPr="001445C2">
        <w:rPr>
          <w:rFonts w:ascii="Arial" w:hAnsi="Arial" w:cs="Arial"/>
          <w:color w:val="000000" w:themeColor="text1"/>
          <w:lang w:val="en-GB"/>
        </w:rPr>
        <w:t>The authors report no conflicts of interest</w:t>
      </w:r>
      <w:r w:rsidR="00B400C1" w:rsidRPr="001445C2">
        <w:rPr>
          <w:rFonts w:ascii="Arial" w:hAnsi="Arial" w:cs="Arial"/>
          <w:color w:val="000000" w:themeColor="text1"/>
          <w:lang w:val="en-GB"/>
        </w:rPr>
        <w:t>, financial or non-financial, in the subject matter or materials discussed in this manuscript</w:t>
      </w:r>
      <w:r w:rsidRPr="001445C2">
        <w:rPr>
          <w:rFonts w:ascii="Arial" w:hAnsi="Arial" w:cs="Arial"/>
          <w:color w:val="000000" w:themeColor="text1"/>
          <w:lang w:val="en-GB"/>
        </w:rPr>
        <w:t xml:space="preserve">. </w:t>
      </w:r>
      <w:r w:rsidR="008578BB" w:rsidRPr="001445C2">
        <w:rPr>
          <w:rFonts w:ascii="Arial" w:hAnsi="Arial" w:cs="Arial"/>
          <w:color w:val="000000" w:themeColor="text1"/>
          <w:lang w:val="en-GB"/>
        </w:rPr>
        <w:t xml:space="preserve">Prof Kempen is consultant for Gilead (DSMC chair) and also equity owner for Betaliq. </w:t>
      </w:r>
      <w:r w:rsidR="00913F4D" w:rsidRPr="001445C2">
        <w:rPr>
          <w:rFonts w:ascii="Arial" w:hAnsi="Arial" w:cs="Arial"/>
          <w:color w:val="000000" w:themeColor="text1"/>
          <w:lang w:val="en-GB"/>
        </w:rPr>
        <w:t xml:space="preserve">The work was supported by NIHR biomedical research, UK. </w:t>
      </w:r>
      <w:r w:rsidRPr="001445C2">
        <w:rPr>
          <w:rFonts w:ascii="Arial" w:hAnsi="Arial" w:cs="Arial"/>
          <w:color w:val="000000" w:themeColor="text1"/>
          <w:lang w:val="en-GB"/>
        </w:rPr>
        <w:t>The authors alone are responsible for the content and writing of the paper.</w:t>
      </w:r>
      <w:r w:rsidR="00B400C1" w:rsidRPr="001445C2">
        <w:rPr>
          <w:rFonts w:ascii="Arial" w:hAnsi="Arial" w:cs="Arial"/>
          <w:color w:val="000000" w:themeColor="text1"/>
          <w:lang w:val="en-GB"/>
        </w:rPr>
        <w:t xml:space="preserve"> </w:t>
      </w:r>
    </w:p>
    <w:p w14:paraId="5D6BB92B" w14:textId="77777777" w:rsidR="00AF101E" w:rsidRPr="001445C2" w:rsidRDefault="00AF101E" w:rsidP="00BE35E0">
      <w:pPr>
        <w:spacing w:line="360" w:lineRule="auto"/>
        <w:jc w:val="both"/>
        <w:rPr>
          <w:rFonts w:ascii="Arial" w:hAnsi="Arial" w:cs="Arial"/>
          <w:color w:val="000000" w:themeColor="text1"/>
          <w:lang w:val="en-GB"/>
        </w:rPr>
      </w:pPr>
    </w:p>
    <w:p w14:paraId="5B20827E" w14:textId="59733DEB" w:rsidR="00913F4D" w:rsidRPr="001445C2" w:rsidRDefault="00913F4D" w:rsidP="00BE35E0">
      <w:pPr>
        <w:spacing w:line="360" w:lineRule="auto"/>
        <w:jc w:val="both"/>
        <w:rPr>
          <w:rFonts w:ascii="Arial" w:hAnsi="Arial" w:cs="Arial"/>
          <w:b/>
          <w:color w:val="000000" w:themeColor="text1"/>
          <w:lang w:val="en-GB"/>
        </w:rPr>
      </w:pPr>
      <w:r w:rsidRPr="001445C2">
        <w:rPr>
          <w:rFonts w:ascii="Arial" w:hAnsi="Arial" w:cs="Arial"/>
          <w:b/>
          <w:color w:val="000000" w:themeColor="text1"/>
          <w:lang w:val="en-GB"/>
        </w:rPr>
        <w:t>Acknowledgements:</w:t>
      </w:r>
    </w:p>
    <w:p w14:paraId="08AB9A77" w14:textId="77777777" w:rsidR="00AF101E" w:rsidRPr="001445C2" w:rsidRDefault="00AF101E" w:rsidP="001B34A5">
      <w:pPr>
        <w:spacing w:line="360" w:lineRule="auto"/>
        <w:jc w:val="both"/>
        <w:rPr>
          <w:rFonts w:ascii="Arial" w:hAnsi="Arial" w:cs="Arial"/>
          <w:b/>
          <w:color w:val="000000" w:themeColor="text1"/>
          <w:lang w:val="en-GB"/>
        </w:rPr>
      </w:pPr>
    </w:p>
    <w:p w14:paraId="0E61476E" w14:textId="638141F2" w:rsidR="00913F4D" w:rsidRPr="001445C2" w:rsidRDefault="00913F4D" w:rsidP="001B34A5">
      <w:pPr>
        <w:spacing w:line="360" w:lineRule="auto"/>
        <w:jc w:val="both"/>
        <w:rPr>
          <w:rFonts w:ascii="Arial" w:eastAsia="Times New Roman" w:hAnsi="Arial" w:cs="Arial"/>
          <w:color w:val="000000" w:themeColor="text1"/>
          <w:shd w:val="clear" w:color="auto" w:fill="FFFFFF"/>
          <w:lang w:val="en-GB"/>
        </w:rPr>
      </w:pPr>
      <w:r w:rsidRPr="001445C2">
        <w:rPr>
          <w:rFonts w:ascii="Arial" w:eastAsia="Times New Roman" w:hAnsi="Arial" w:cs="Arial"/>
          <w:color w:val="000000" w:themeColor="text1"/>
          <w:shd w:val="clear" w:color="auto" w:fill="FFFFFF"/>
          <w:lang w:val="en-GB"/>
        </w:rPr>
        <w:t xml:space="preserve">The research was partially funded by the National Institute for Health Research (NIHR) Biomedical Research Centre at Moorfields Eye Hospital NHS Foundation Trust and UCL Institute of Ophthalmology. This sponsor supported some of the research man-hours that were contributed by all our part-time collaborators from the Moorfields Eye Hospital that are salaried as Ophthalmology clinicians by the hospital. Debra A. Goldstein is supported by an unrestricted grant from Research to Prevent Blindness (RPB). Vishali Gupta is supported by grant from Department of Biotechnology (DBT), India. </w:t>
      </w:r>
      <w:r w:rsidRPr="001445C2">
        <w:rPr>
          <w:rFonts w:ascii="Arial" w:hAnsi="Arial" w:cs="Arial"/>
          <w:bCs/>
          <w:color w:val="000000" w:themeColor="text1"/>
          <w:shd w:val="clear" w:color="auto" w:fill="FFFFFF"/>
          <w:lang w:val="en-GB"/>
        </w:rPr>
        <w:t>Julio J GONZÁLEZ-LÓPEZ</w:t>
      </w:r>
      <w:r w:rsidRPr="001445C2">
        <w:rPr>
          <w:rFonts w:ascii="Arial" w:hAnsi="Arial" w:cs="Arial"/>
          <w:bCs/>
          <w:color w:val="000000" w:themeColor="text1"/>
          <w:shd w:val="clear" w:color="auto" w:fill="FFFFFF"/>
          <w:vertAlign w:val="superscript"/>
          <w:lang w:val="en-GB"/>
        </w:rPr>
        <w:t xml:space="preserve">2 </w:t>
      </w:r>
      <w:r w:rsidRPr="001445C2">
        <w:rPr>
          <w:rFonts w:ascii="Arial" w:hAnsi="Arial" w:cs="Arial"/>
          <w:bCs/>
          <w:color w:val="000000" w:themeColor="text1"/>
          <w:shd w:val="clear" w:color="auto" w:fill="FFFFFF"/>
          <w:lang w:val="en-GB"/>
        </w:rPr>
        <w:t>is supported by study grants from Abbvie, Allergan, and Angelini.</w:t>
      </w:r>
      <w:r w:rsidRPr="001445C2">
        <w:rPr>
          <w:rFonts w:ascii="Arial" w:eastAsia="Times New Roman" w:hAnsi="Arial" w:cs="Arial"/>
          <w:color w:val="000000" w:themeColor="text1"/>
          <w:shd w:val="clear" w:color="auto" w:fill="FFFFFF"/>
          <w:lang w:val="en-GB"/>
        </w:rPr>
        <w:t xml:space="preserve"> Funders played no part in the design and conduct of the study; collection, management, analysis, and interpretation of the data; preparation, review, or approval of the manuscript; nor the decision to submit the manuscript for publication. </w:t>
      </w:r>
      <w:r w:rsidRPr="001445C2">
        <w:rPr>
          <w:rFonts w:ascii="Arial" w:hAnsi="Arial" w:cs="Arial"/>
          <w:color w:val="000000" w:themeColor="text1"/>
          <w:lang w:val="en-GB"/>
        </w:rPr>
        <w:t>Rupesh AGRAWAL, Dinesh Visva GUNASEKERAN, and Dhananjay RAJE had full access to all the data in the study and takes responsibility for the integrity of the data and the accuracy of the data analysis.</w:t>
      </w:r>
    </w:p>
    <w:p w14:paraId="44FE07D9" w14:textId="77777777" w:rsidR="00913F4D" w:rsidRPr="001445C2" w:rsidRDefault="00913F4D" w:rsidP="00913F4D">
      <w:pPr>
        <w:jc w:val="both"/>
        <w:rPr>
          <w:rFonts w:ascii="Arial" w:hAnsi="Arial" w:cs="Arial"/>
          <w:color w:val="000000" w:themeColor="text1"/>
          <w:lang w:val="en-GB"/>
        </w:rPr>
      </w:pPr>
    </w:p>
    <w:p w14:paraId="351B49CC" w14:textId="5FAB3FBE" w:rsidR="00913F4D" w:rsidRPr="001445C2" w:rsidRDefault="00913F4D" w:rsidP="00BE35E0">
      <w:pPr>
        <w:spacing w:line="360" w:lineRule="auto"/>
        <w:jc w:val="both"/>
        <w:rPr>
          <w:rFonts w:ascii="Arial" w:hAnsi="Arial" w:cs="Arial"/>
          <w:color w:val="000000" w:themeColor="text1"/>
          <w:lang w:val="en-GB"/>
        </w:rPr>
      </w:pPr>
    </w:p>
    <w:p w14:paraId="47B94A3E" w14:textId="2A620DC8" w:rsidR="00913F4D" w:rsidRPr="001445C2" w:rsidRDefault="00913F4D" w:rsidP="00BE35E0">
      <w:pPr>
        <w:spacing w:line="360" w:lineRule="auto"/>
        <w:jc w:val="both"/>
        <w:rPr>
          <w:rFonts w:ascii="Arial" w:hAnsi="Arial" w:cs="Arial"/>
          <w:color w:val="000000" w:themeColor="text1"/>
          <w:lang w:val="en-GB"/>
        </w:rPr>
      </w:pPr>
    </w:p>
    <w:p w14:paraId="0EB782A8" w14:textId="311C2812" w:rsidR="00913F4D" w:rsidRPr="001445C2" w:rsidRDefault="00913F4D" w:rsidP="00BE35E0">
      <w:pPr>
        <w:spacing w:line="360" w:lineRule="auto"/>
        <w:jc w:val="both"/>
        <w:rPr>
          <w:rFonts w:ascii="Arial" w:hAnsi="Arial" w:cs="Arial"/>
          <w:color w:val="000000" w:themeColor="text1"/>
          <w:lang w:val="en-GB"/>
        </w:rPr>
      </w:pPr>
    </w:p>
    <w:p w14:paraId="61CF0F95" w14:textId="77777777" w:rsidR="00AF101E" w:rsidRPr="001445C2" w:rsidRDefault="00AF101E" w:rsidP="001F6BE4">
      <w:pPr>
        <w:jc w:val="both"/>
        <w:rPr>
          <w:rFonts w:ascii="Arial" w:hAnsi="Arial" w:cs="Arial"/>
          <w:color w:val="000000" w:themeColor="text1"/>
          <w:lang w:val="en-GB"/>
        </w:rPr>
      </w:pPr>
    </w:p>
    <w:p w14:paraId="63310DD2" w14:textId="77777777" w:rsidR="008E6A87" w:rsidRPr="001445C2" w:rsidRDefault="008E6A87" w:rsidP="001F6BE4">
      <w:pPr>
        <w:jc w:val="both"/>
        <w:rPr>
          <w:rFonts w:ascii="Arial" w:hAnsi="Arial" w:cs="Arial"/>
          <w:color w:val="000000" w:themeColor="text1"/>
          <w:lang w:val="en-GB"/>
        </w:rPr>
      </w:pPr>
    </w:p>
    <w:p w14:paraId="57F88D14" w14:textId="77777777" w:rsidR="008E6A87" w:rsidRPr="001445C2" w:rsidRDefault="008E6A87" w:rsidP="001F6BE4">
      <w:pPr>
        <w:jc w:val="both"/>
        <w:rPr>
          <w:rFonts w:ascii="Arial" w:hAnsi="Arial" w:cs="Arial"/>
          <w:color w:val="000000" w:themeColor="text1"/>
          <w:lang w:val="en-GB"/>
        </w:rPr>
      </w:pPr>
    </w:p>
    <w:p w14:paraId="75493000" w14:textId="77777777" w:rsidR="008E6A87" w:rsidRPr="001445C2" w:rsidRDefault="008E6A87" w:rsidP="001F6BE4">
      <w:pPr>
        <w:jc w:val="both"/>
        <w:rPr>
          <w:rFonts w:ascii="Arial" w:hAnsi="Arial" w:cs="Arial"/>
          <w:color w:val="000000" w:themeColor="text1"/>
          <w:lang w:val="en-GB"/>
        </w:rPr>
      </w:pPr>
    </w:p>
    <w:p w14:paraId="55D173E1" w14:textId="77777777" w:rsidR="00CF55BF" w:rsidRPr="001445C2" w:rsidRDefault="00CF55BF" w:rsidP="008E6A87">
      <w:pPr>
        <w:jc w:val="center"/>
        <w:rPr>
          <w:rFonts w:ascii="Arial" w:hAnsi="Arial" w:cs="Arial"/>
          <w:b/>
          <w:color w:val="000000" w:themeColor="text1"/>
          <w:lang w:val="en-GB"/>
        </w:rPr>
      </w:pPr>
    </w:p>
    <w:p w14:paraId="5F5754E7" w14:textId="77777777" w:rsidR="00CF55BF" w:rsidRPr="001445C2" w:rsidRDefault="00CF55BF" w:rsidP="008E6A87">
      <w:pPr>
        <w:jc w:val="center"/>
        <w:rPr>
          <w:rFonts w:ascii="Arial" w:hAnsi="Arial" w:cs="Arial"/>
          <w:b/>
          <w:color w:val="000000" w:themeColor="text1"/>
          <w:lang w:val="en-GB"/>
        </w:rPr>
      </w:pPr>
    </w:p>
    <w:p w14:paraId="687051BA" w14:textId="77777777" w:rsidR="001B34A5" w:rsidRPr="001445C2" w:rsidRDefault="001B34A5" w:rsidP="008E6A87">
      <w:pPr>
        <w:jc w:val="center"/>
        <w:rPr>
          <w:rFonts w:ascii="Arial" w:hAnsi="Arial" w:cs="Arial"/>
          <w:b/>
          <w:color w:val="000000" w:themeColor="text1"/>
          <w:lang w:val="en-GB"/>
        </w:rPr>
      </w:pPr>
    </w:p>
    <w:p w14:paraId="37FC3492" w14:textId="77777777" w:rsidR="001B34A5" w:rsidRPr="001445C2" w:rsidRDefault="001B34A5" w:rsidP="008E6A87">
      <w:pPr>
        <w:jc w:val="center"/>
        <w:rPr>
          <w:rFonts w:ascii="Arial" w:hAnsi="Arial" w:cs="Arial"/>
          <w:b/>
          <w:color w:val="000000" w:themeColor="text1"/>
          <w:lang w:val="en-GB"/>
        </w:rPr>
      </w:pPr>
    </w:p>
    <w:p w14:paraId="6179A35F" w14:textId="77777777" w:rsidR="001B34A5" w:rsidRPr="001445C2" w:rsidRDefault="001B34A5" w:rsidP="008E6A87">
      <w:pPr>
        <w:jc w:val="center"/>
        <w:rPr>
          <w:rFonts w:ascii="Arial" w:hAnsi="Arial" w:cs="Arial"/>
          <w:b/>
          <w:color w:val="000000" w:themeColor="text1"/>
          <w:lang w:val="en-GB"/>
        </w:rPr>
      </w:pPr>
    </w:p>
    <w:p w14:paraId="6BEC2A72" w14:textId="5E254C9A" w:rsidR="008E6A87" w:rsidRPr="001445C2" w:rsidRDefault="008E6A87" w:rsidP="008E6A87">
      <w:pPr>
        <w:jc w:val="center"/>
        <w:rPr>
          <w:rFonts w:ascii="Arial" w:hAnsi="Arial" w:cs="Arial"/>
          <w:b/>
          <w:color w:val="000000" w:themeColor="text1"/>
          <w:lang w:val="en-GB"/>
        </w:rPr>
      </w:pPr>
      <w:r w:rsidRPr="001445C2">
        <w:rPr>
          <w:rFonts w:ascii="Arial" w:hAnsi="Arial" w:cs="Arial"/>
          <w:b/>
          <w:color w:val="000000" w:themeColor="text1"/>
          <w:lang w:val="en-GB"/>
        </w:rPr>
        <w:t>BIBLIOGRAPHY</w:t>
      </w:r>
    </w:p>
    <w:p w14:paraId="77F1BD5A" w14:textId="0FFA2F1E" w:rsidR="00000137" w:rsidRPr="001445C2" w:rsidRDefault="00000137" w:rsidP="00D12016">
      <w:pPr>
        <w:jc w:val="both"/>
        <w:rPr>
          <w:rFonts w:ascii="Arial" w:hAnsi="Arial" w:cs="Arial"/>
          <w:color w:val="000000" w:themeColor="text1"/>
          <w:lang w:val="en-GB"/>
        </w:rPr>
      </w:pPr>
    </w:p>
    <w:p w14:paraId="0BEE4A79" w14:textId="4FABBCC1" w:rsidR="00000137" w:rsidRPr="001445C2" w:rsidRDefault="00000137" w:rsidP="00D12016">
      <w:pPr>
        <w:jc w:val="both"/>
        <w:rPr>
          <w:rFonts w:ascii="Arial" w:hAnsi="Arial" w:cs="Arial"/>
          <w:color w:val="000000" w:themeColor="text1"/>
          <w:lang w:val="en-GB"/>
        </w:rPr>
      </w:pPr>
    </w:p>
    <w:p w14:paraId="21DE395C" w14:textId="775B6AA2" w:rsidR="00D12016" w:rsidRPr="001445C2" w:rsidRDefault="00D12016" w:rsidP="007F7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1"/>
          <w:szCs w:val="21"/>
          <w:lang w:val="en-GB"/>
        </w:rPr>
      </w:pPr>
      <w:r w:rsidRPr="001445C2">
        <w:rPr>
          <w:rFonts w:ascii="Arial" w:hAnsi="Arial" w:cs="Arial"/>
          <w:color w:val="000000" w:themeColor="text1"/>
          <w:sz w:val="21"/>
          <w:szCs w:val="21"/>
          <w:lang w:val="en-GB"/>
        </w:rPr>
        <w:t>1</w:t>
      </w:r>
      <w:r w:rsidR="007F7C5C" w:rsidRPr="001445C2">
        <w:rPr>
          <w:rFonts w:ascii="Arial" w:hAnsi="Arial" w:cs="Arial"/>
          <w:color w:val="000000" w:themeColor="text1"/>
          <w:sz w:val="21"/>
          <w:szCs w:val="21"/>
          <w:lang w:val="en-GB"/>
        </w:rPr>
        <w:t>.</w:t>
      </w:r>
      <w:r w:rsidRPr="001445C2">
        <w:rPr>
          <w:rFonts w:ascii="Arial" w:hAnsi="Arial" w:cs="Arial"/>
          <w:color w:val="000000" w:themeColor="text1"/>
          <w:sz w:val="21"/>
          <w:szCs w:val="21"/>
          <w:lang w:val="en-GB"/>
        </w:rPr>
        <w:t xml:space="preserve"> Dheda K, Barry CE 3rd, Maartens G. Tuberculosis. Lancet. 2016;387(10024):1211-26.</w:t>
      </w:r>
    </w:p>
    <w:p w14:paraId="2D1DA8C1" w14:textId="0916CFE0" w:rsidR="00D12016" w:rsidRPr="001445C2" w:rsidRDefault="007F7C5C"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 xml:space="preserve">2. </w:t>
      </w:r>
      <w:r w:rsidR="00D12016" w:rsidRPr="001445C2">
        <w:rPr>
          <w:rFonts w:ascii="Arial" w:eastAsia="Times New Roman" w:hAnsi="Arial" w:cs="Arial"/>
          <w:color w:val="000000" w:themeColor="text1"/>
          <w:sz w:val="21"/>
          <w:szCs w:val="21"/>
          <w:shd w:val="clear" w:color="auto" w:fill="FFFFFF"/>
          <w:lang w:val="en-GB"/>
        </w:rPr>
        <w:t xml:space="preserve">Conant MM, Vrasich CR, Wongskhaluang JV, et al. Role of the Infectious Disease Consultant in Management of Patients With Tuberculosis-Associated Ocular Inflammation. Open Forum Infect Dis. 2015;3(1):ofv195. </w:t>
      </w:r>
    </w:p>
    <w:p w14:paraId="6A2AD030" w14:textId="4B318423" w:rsidR="00D12016" w:rsidRPr="001445C2" w:rsidRDefault="00D12016"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3</w:t>
      </w:r>
      <w:r w:rsidR="007F7C5C" w:rsidRPr="001445C2">
        <w:rPr>
          <w:rFonts w:ascii="Arial" w:eastAsia="Times New Roman" w:hAnsi="Arial" w:cs="Arial"/>
          <w:color w:val="000000" w:themeColor="text1"/>
          <w:sz w:val="21"/>
          <w:szCs w:val="21"/>
          <w:shd w:val="clear" w:color="auto" w:fill="FFFFFF"/>
          <w:lang w:val="en-GB"/>
        </w:rPr>
        <w:t>.</w:t>
      </w:r>
      <w:r w:rsidRPr="001445C2">
        <w:rPr>
          <w:rFonts w:ascii="Arial" w:eastAsia="Times New Roman" w:hAnsi="Arial" w:cs="Arial"/>
          <w:color w:val="000000" w:themeColor="text1"/>
          <w:sz w:val="21"/>
          <w:szCs w:val="21"/>
          <w:shd w:val="clear" w:color="auto" w:fill="FFFFFF"/>
          <w:lang w:val="en-GB"/>
        </w:rPr>
        <w:t xml:space="preserve"> Agrawal R, Gunasekeran DV, Raje D, et al.Collaborative Ocular Tuberculosis Study Group. Global Variations and Challenges With Tubercular Uveitis in the Collaborative Ocular Tuberculosis Study. Invest Ophthalmol Vis Sci. 2018;59(10):4162-4171.</w:t>
      </w:r>
    </w:p>
    <w:p w14:paraId="38B4BF90" w14:textId="45A722A8" w:rsidR="00D12016" w:rsidRPr="001445C2" w:rsidRDefault="00D12016"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4</w:t>
      </w:r>
      <w:r w:rsidR="007F7C5C" w:rsidRPr="001445C2">
        <w:rPr>
          <w:rFonts w:ascii="Arial" w:eastAsia="Times New Roman" w:hAnsi="Arial" w:cs="Arial"/>
          <w:color w:val="000000" w:themeColor="text1"/>
          <w:sz w:val="21"/>
          <w:szCs w:val="21"/>
          <w:shd w:val="clear" w:color="auto" w:fill="FFFFFF"/>
          <w:lang w:val="en-GB"/>
        </w:rPr>
        <w:t>.</w:t>
      </w:r>
      <w:r w:rsidRPr="001445C2">
        <w:rPr>
          <w:rFonts w:ascii="Arial" w:eastAsia="Times New Roman" w:hAnsi="Arial" w:cs="Arial"/>
          <w:color w:val="000000" w:themeColor="text1"/>
          <w:sz w:val="21"/>
          <w:szCs w:val="21"/>
          <w:shd w:val="clear" w:color="auto" w:fill="FFFFFF"/>
          <w:lang w:val="en-GB"/>
        </w:rPr>
        <w:t xml:space="preserve"> Abu El-Asrar AM, Abouammoh M, Al-Mezaine HS. Tuberculous uveitis. Int</w:t>
      </w:r>
      <w:r w:rsidR="00FC3B46" w:rsidRPr="001445C2">
        <w:rPr>
          <w:rFonts w:ascii="Arial" w:eastAsia="Times New Roman" w:hAnsi="Arial" w:cs="Arial"/>
          <w:color w:val="000000" w:themeColor="text1"/>
          <w:sz w:val="21"/>
          <w:szCs w:val="21"/>
          <w:shd w:val="clear" w:color="auto" w:fill="FFFFFF"/>
          <w:lang w:val="en-GB"/>
        </w:rPr>
        <w:t xml:space="preserve"> Ophthalmol Clin. </w:t>
      </w:r>
      <w:r w:rsidRPr="001445C2">
        <w:rPr>
          <w:rFonts w:ascii="Arial" w:eastAsia="Times New Roman" w:hAnsi="Arial" w:cs="Arial"/>
          <w:color w:val="000000" w:themeColor="text1"/>
          <w:sz w:val="21"/>
          <w:szCs w:val="21"/>
          <w:shd w:val="clear" w:color="auto" w:fill="FFFFFF"/>
          <w:lang w:val="en-GB"/>
        </w:rPr>
        <w:t>2010;50(2):19-39.</w:t>
      </w:r>
    </w:p>
    <w:p w14:paraId="0D13F0EC" w14:textId="37E96F1C" w:rsidR="00000137" w:rsidRPr="001445C2" w:rsidRDefault="00D12016"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5</w:t>
      </w:r>
      <w:r w:rsidR="007F7C5C" w:rsidRPr="001445C2">
        <w:rPr>
          <w:rFonts w:ascii="Arial" w:eastAsia="Times New Roman" w:hAnsi="Arial" w:cs="Arial"/>
          <w:color w:val="000000" w:themeColor="text1"/>
          <w:sz w:val="21"/>
          <w:szCs w:val="21"/>
          <w:shd w:val="clear" w:color="auto" w:fill="FFFFFF"/>
          <w:lang w:val="en-GB"/>
        </w:rPr>
        <w:t>.</w:t>
      </w:r>
      <w:r w:rsidRPr="001445C2">
        <w:rPr>
          <w:rFonts w:ascii="Arial" w:eastAsia="Times New Roman" w:hAnsi="Arial" w:cs="Arial"/>
          <w:color w:val="000000" w:themeColor="text1"/>
          <w:sz w:val="21"/>
          <w:szCs w:val="21"/>
          <w:shd w:val="clear" w:color="auto" w:fill="FFFFFF"/>
          <w:lang w:val="en-GB"/>
        </w:rPr>
        <w:t xml:space="preserve"> Gupta B, Agrawal R, Swampillai AJ, et al. Ocular manifestations of tuberc</w:t>
      </w:r>
      <w:r w:rsidR="00FC3B46" w:rsidRPr="001445C2">
        <w:rPr>
          <w:rFonts w:ascii="Arial" w:eastAsia="Times New Roman" w:hAnsi="Arial" w:cs="Arial"/>
          <w:color w:val="000000" w:themeColor="text1"/>
          <w:sz w:val="21"/>
          <w:szCs w:val="21"/>
          <w:shd w:val="clear" w:color="auto" w:fill="FFFFFF"/>
          <w:lang w:val="en-GB"/>
        </w:rPr>
        <w:t>ulosis: an update. Expert Rev Ophthalmol.</w:t>
      </w:r>
      <w:r w:rsidRPr="001445C2">
        <w:rPr>
          <w:rFonts w:ascii="Arial" w:eastAsia="Times New Roman" w:hAnsi="Arial" w:cs="Arial"/>
          <w:color w:val="000000" w:themeColor="text1"/>
          <w:sz w:val="21"/>
          <w:szCs w:val="21"/>
          <w:shd w:val="clear" w:color="auto" w:fill="FFFFFF"/>
          <w:lang w:val="en-GB"/>
        </w:rPr>
        <w:t xml:space="preserve"> 2016;11(2):145-54</w:t>
      </w:r>
      <w:r w:rsidR="00FC3B46" w:rsidRPr="001445C2">
        <w:rPr>
          <w:rFonts w:ascii="Arial" w:eastAsia="Times New Roman" w:hAnsi="Arial" w:cs="Arial"/>
          <w:color w:val="000000" w:themeColor="text1"/>
          <w:sz w:val="21"/>
          <w:szCs w:val="21"/>
          <w:shd w:val="clear" w:color="auto" w:fill="FFFFFF"/>
          <w:lang w:val="en-GB"/>
        </w:rPr>
        <w:t>.</w:t>
      </w:r>
    </w:p>
    <w:p w14:paraId="2AD12F0D" w14:textId="1158441D" w:rsidR="00FC3B46" w:rsidRPr="001445C2" w:rsidRDefault="00FC3B46"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6</w:t>
      </w:r>
      <w:r w:rsidR="007F7C5C" w:rsidRPr="001445C2">
        <w:rPr>
          <w:rFonts w:ascii="Arial" w:eastAsia="Times New Roman" w:hAnsi="Arial" w:cs="Arial"/>
          <w:color w:val="000000" w:themeColor="text1"/>
          <w:sz w:val="21"/>
          <w:szCs w:val="21"/>
          <w:shd w:val="clear" w:color="auto" w:fill="FFFFFF"/>
          <w:lang w:val="en-GB"/>
        </w:rPr>
        <w:t>.</w:t>
      </w:r>
      <w:r w:rsidRPr="001445C2">
        <w:rPr>
          <w:rFonts w:ascii="Arial" w:eastAsia="Times New Roman" w:hAnsi="Arial" w:cs="Arial"/>
          <w:color w:val="000000" w:themeColor="text1"/>
          <w:sz w:val="21"/>
          <w:szCs w:val="21"/>
          <w:shd w:val="clear" w:color="auto" w:fill="FFFFFF"/>
          <w:lang w:val="en-GB"/>
        </w:rPr>
        <w:t xml:space="preserve"> Bansal R, Gupta A, Gupta V, Dogra MR, Bambery P, Arora SK. Role of</w:t>
      </w:r>
      <w:r w:rsidR="007F7C5C" w:rsidRPr="001445C2">
        <w:rPr>
          <w:rFonts w:ascii="Arial" w:eastAsia="Times New Roman" w:hAnsi="Arial" w:cs="Arial"/>
          <w:color w:val="000000" w:themeColor="text1"/>
          <w:sz w:val="21"/>
          <w:szCs w:val="21"/>
          <w:shd w:val="clear" w:color="auto" w:fill="FFFFFF"/>
          <w:lang w:val="en-GB"/>
        </w:rPr>
        <w:t xml:space="preserve"> </w:t>
      </w:r>
      <w:r w:rsidRPr="001445C2">
        <w:rPr>
          <w:rFonts w:ascii="Arial" w:eastAsia="Times New Roman" w:hAnsi="Arial" w:cs="Arial"/>
          <w:color w:val="000000" w:themeColor="text1"/>
          <w:sz w:val="21"/>
          <w:szCs w:val="21"/>
          <w:shd w:val="clear" w:color="auto" w:fill="FFFFFF"/>
          <w:lang w:val="en-GB"/>
        </w:rPr>
        <w:t>anti-tubercular therapy in uveitis with latent/manifest tuberculosis. Am J</w:t>
      </w:r>
      <w:r w:rsidR="007F7C5C" w:rsidRPr="001445C2">
        <w:rPr>
          <w:rFonts w:ascii="Arial" w:eastAsia="Times New Roman" w:hAnsi="Arial" w:cs="Arial"/>
          <w:color w:val="000000" w:themeColor="text1"/>
          <w:sz w:val="21"/>
          <w:szCs w:val="21"/>
          <w:shd w:val="clear" w:color="auto" w:fill="FFFFFF"/>
          <w:lang w:val="en-GB"/>
        </w:rPr>
        <w:t xml:space="preserve"> </w:t>
      </w:r>
      <w:r w:rsidRPr="001445C2">
        <w:rPr>
          <w:rFonts w:ascii="Arial" w:eastAsia="Times New Roman" w:hAnsi="Arial" w:cs="Arial"/>
          <w:color w:val="000000" w:themeColor="text1"/>
          <w:sz w:val="21"/>
          <w:szCs w:val="21"/>
          <w:shd w:val="clear" w:color="auto" w:fill="FFFFFF"/>
          <w:lang w:val="en-GB"/>
        </w:rPr>
        <w:t>Ophthalmol. 2008;146(5):772-9.</w:t>
      </w:r>
    </w:p>
    <w:p w14:paraId="4D835DAD" w14:textId="0239D632" w:rsidR="007F7C5C" w:rsidRPr="001445C2" w:rsidRDefault="007F7C5C"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7. Agrawal R, Gunasekeran DV, Grant R, et al. Collaborative Ocular Tuberculosis Study (COTS)–1 Study Group. Clinical Features and Outcomes of Patients With Tubercular Uveitis Treated With Antitubercular Therapy in the Collaborative Ocular Tuberculosis Study (COTS)-1. JAMA Ophthalmol. 2017;135(12):1318-1327.</w:t>
      </w:r>
    </w:p>
    <w:p w14:paraId="66BC55F3" w14:textId="1C590973" w:rsidR="007F7C5C" w:rsidRPr="001445C2" w:rsidRDefault="007F7C5C"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8. Ang M, Chee SP. Controversies in ocular tuberculosis. Br J Ophthalmol. 2017;101(1):6-9.</w:t>
      </w:r>
    </w:p>
    <w:p w14:paraId="53676662" w14:textId="2B0106D8" w:rsidR="007F7C5C" w:rsidRPr="001445C2" w:rsidRDefault="007F7C5C"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9. Agarwal A, Agrawal R, Gunasekaran DV,et al. The Collaborative Ocular Tuberculosis Study (COTS)-1 Report 3: Polymerase Chain Reaction in the Diagnosis and Management of Tubercular Uveitis: Global Trends. Ocul Immunol Inflamm. 2019;27(3):465-473.</w:t>
      </w:r>
    </w:p>
    <w:p w14:paraId="4D4835AD" w14:textId="76B20B74" w:rsidR="00000137" w:rsidRPr="001445C2" w:rsidRDefault="007F7C5C"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10. Ang M, Htoon HM, Chee SP. Diagnosis of tuberculous uveitis: clinical</w:t>
      </w:r>
      <w:r w:rsidR="00783251" w:rsidRPr="001445C2">
        <w:rPr>
          <w:rFonts w:ascii="Arial" w:eastAsia="Times New Roman" w:hAnsi="Arial" w:cs="Arial"/>
          <w:color w:val="000000" w:themeColor="text1"/>
          <w:sz w:val="21"/>
          <w:szCs w:val="21"/>
          <w:shd w:val="clear" w:color="auto" w:fill="FFFFFF"/>
          <w:lang w:val="en-GB"/>
        </w:rPr>
        <w:t xml:space="preserve"> </w:t>
      </w:r>
      <w:r w:rsidRPr="001445C2">
        <w:rPr>
          <w:rFonts w:ascii="Arial" w:eastAsia="Times New Roman" w:hAnsi="Arial" w:cs="Arial"/>
          <w:color w:val="000000" w:themeColor="text1"/>
          <w:sz w:val="21"/>
          <w:szCs w:val="21"/>
          <w:shd w:val="clear" w:color="auto" w:fill="FFFFFF"/>
          <w:lang w:val="en-GB"/>
        </w:rPr>
        <w:t>application of an interferon-gamma release assay. Ophthalmology. 2009;116(7):1391-6.</w:t>
      </w:r>
    </w:p>
    <w:p w14:paraId="55EE44DB" w14:textId="0ED2F4C6" w:rsidR="007F7C5C" w:rsidRPr="001445C2" w:rsidRDefault="007F7C5C" w:rsidP="007F7C5C">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11. Jabs DA, Nussenblatt RB, Rosenbaum JT; Standardization of Uveitis Nomenclature (SUN) Working Group. Standardization of uveitis nomenclature for reporting clinical data. Results of the First International Workshop. Am J Ophthalmol. 2005;140(3):509-16.</w:t>
      </w:r>
    </w:p>
    <w:p w14:paraId="67909034" w14:textId="50A4BE33" w:rsidR="007324C7" w:rsidRPr="001445C2" w:rsidRDefault="007324C7" w:rsidP="002A11AD">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12. Wang R, Lagakos SW, Ware JH, Hunter DJ, Drazen JM. Statistics in</w:t>
      </w:r>
      <w:r w:rsidR="00783251" w:rsidRPr="001445C2">
        <w:rPr>
          <w:rFonts w:ascii="Arial" w:eastAsia="Times New Roman" w:hAnsi="Arial" w:cs="Arial"/>
          <w:color w:val="000000" w:themeColor="text1"/>
          <w:sz w:val="21"/>
          <w:szCs w:val="21"/>
          <w:shd w:val="clear" w:color="auto" w:fill="FFFFFF"/>
          <w:lang w:val="en-GB"/>
        </w:rPr>
        <w:t xml:space="preserve"> </w:t>
      </w:r>
      <w:r w:rsidR="002A11AD" w:rsidRPr="001445C2">
        <w:rPr>
          <w:rFonts w:ascii="Arial" w:eastAsia="Times New Roman" w:hAnsi="Arial" w:cs="Arial"/>
          <w:color w:val="000000" w:themeColor="text1"/>
          <w:sz w:val="21"/>
          <w:szCs w:val="21"/>
          <w:shd w:val="clear" w:color="auto" w:fill="FFFFFF"/>
          <w:lang w:val="en-GB"/>
        </w:rPr>
        <w:t>medicine-</w:t>
      </w:r>
      <w:r w:rsidRPr="001445C2">
        <w:rPr>
          <w:rFonts w:ascii="Arial" w:eastAsia="Times New Roman" w:hAnsi="Arial" w:cs="Arial"/>
          <w:color w:val="000000" w:themeColor="text1"/>
          <w:sz w:val="21"/>
          <w:szCs w:val="21"/>
          <w:shd w:val="clear" w:color="auto" w:fill="FFFFFF"/>
          <w:lang w:val="en-GB"/>
        </w:rPr>
        <w:t>reporting of subgroup analyses in clinical trials. N Engl J Med. 2007;357(21):2189-94</w:t>
      </w:r>
    </w:p>
    <w:p w14:paraId="5AC7263F" w14:textId="731691CA" w:rsidR="002A11AD" w:rsidRPr="001445C2" w:rsidRDefault="002A11AD" w:rsidP="002A11AD">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13. Kee AR, Gonzalez-Lopez JJ, Al-Hity A, et al.Anti-tubercular therapy for intraocular tuberculosis: A systematic review and meta-analysis. Surv Ophthalmol. 2016;61(5):628-53.</w:t>
      </w:r>
    </w:p>
    <w:p w14:paraId="4A01879C" w14:textId="7C1C7492" w:rsidR="008D4AE7" w:rsidRPr="001445C2" w:rsidRDefault="008D4AE7" w:rsidP="008D4AE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14. Basu S, Nayak S, Padhi TR, Das T. Progressive ocular inflammation following anti-tubercular therapy for presumed ocular tuberculosis in a high-endemic setting. Eye (Lond). 2013;27(5):657-62.</w:t>
      </w:r>
    </w:p>
    <w:p w14:paraId="6F667BBF" w14:textId="49A64958" w:rsidR="008D4AE7" w:rsidRPr="001445C2" w:rsidRDefault="008D4AE7" w:rsidP="008D4AE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lastRenderedPageBreak/>
        <w:t xml:space="preserve">15. McAllister WA, Thompson PJ, Al-Habet SM, Rogers HJ. Rifampicin reduces effectiveness and bioavailability of prednisolone. Br Med J (Clin Res Ed). 1983;286(6369):923–925. </w:t>
      </w:r>
    </w:p>
    <w:p w14:paraId="6D4C30AD" w14:textId="0D4D9DCF" w:rsidR="008D4AE7" w:rsidRPr="001445C2" w:rsidRDefault="008D4AE7" w:rsidP="008D4AE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16. Pantoja A, Kik SV, Denkinger CM. Costs of novel tuberculosis diagnostics--willcountries be able to afford it? J Infect Dis. 2015;211 Suppl 2:S67-77.</w:t>
      </w:r>
    </w:p>
    <w:p w14:paraId="2446B1EF" w14:textId="10EB11E3" w:rsidR="008D4AE7" w:rsidRPr="001445C2" w:rsidRDefault="008D4AE7" w:rsidP="008D4AE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17. Zanetti S, Bua A, Molicotti P, Maiore I, Pinna A. QuantiFERON-TB Gold Assay on Plasma for Confirmation of Presumed Tuberculosis-Related Uveitis. J Clin Microbiol. 2016;54(8):2175-7.</w:t>
      </w:r>
    </w:p>
    <w:p w14:paraId="77EEDCFD" w14:textId="0593A62A" w:rsidR="008D4AE7" w:rsidRPr="001445C2" w:rsidRDefault="008D4AE7" w:rsidP="008D4AE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 xml:space="preserve">18. Singh R, Gupta V, Gupta A. Pattern of uveitis in a referral eye clinic in north India. Indian J Ophthalmol. 2004;52(2):121-5. </w:t>
      </w:r>
    </w:p>
    <w:p w14:paraId="5154F991" w14:textId="06D077DE" w:rsidR="008D4AE7" w:rsidRPr="001445C2" w:rsidRDefault="008D4AE7" w:rsidP="008D4AE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19. Gunasekeran DV, Gupta B, Cardoso J, Pavesio CE, Agrawal R. Visual Morbidity and Ocular Complications in Presumed Intraocular Tuberculosis: An Analysis of 354 Cases from a Non-Endemic Population. Ocul Immunol Inflamm. 2018;26(6):865-869.</w:t>
      </w:r>
    </w:p>
    <w:p w14:paraId="7BC5EC8C" w14:textId="2C917466" w:rsidR="008D4AE7" w:rsidRPr="001445C2" w:rsidRDefault="008D4AE7" w:rsidP="008D4AE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20. Spratt A, Key T, Vivian AJ. Chronic anterior uveitis following bacille Calmette-Guérin vaccination: molecular mimicry in action? J Pediatr Ophthalmol Strabismus. 2008;45(4):252-3.</w:t>
      </w:r>
    </w:p>
    <w:p w14:paraId="6EECDDC9" w14:textId="61F91751" w:rsidR="00E44FF2" w:rsidRPr="001445C2" w:rsidRDefault="00E44FF2" w:rsidP="007C048F">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21. Gunasekeran DV, Agrawal R, Agarwal A, et al. COTS-1 Study Group. THE COLLABORATIVE OCULAR TUBERCULOSIS STUDY (COTS)-1: A Multinational Review of 251 Patients With Tubercular Retinal Vasculitis. Retina. 2019;39(8):1623-1630.</w:t>
      </w:r>
    </w:p>
    <w:p w14:paraId="63443DDD" w14:textId="5E7C674C" w:rsidR="007C048F" w:rsidRPr="001445C2" w:rsidRDefault="007C048F" w:rsidP="007C048F">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22. Agrawal R, Gunasekeran DV, Agarwal A, et al. The Collaborative Ocular Tuberculosis Study (COTS)-1: A Multinational Description of the Spectrum of Choroidal Involvement in 245 Patients with Tubercular Uveitis. Ocul Immunol Inflamm. 2018;29:1-11.</w:t>
      </w:r>
    </w:p>
    <w:p w14:paraId="6E5E91DA" w14:textId="18129679" w:rsidR="00E622F1" w:rsidRPr="001445C2" w:rsidRDefault="00E622F1" w:rsidP="008E6A8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23. Al-Qarni A, Abouammoh MA, Almousa AN, Mousa A, Abu El-Asrar AM. Presumed</w:t>
      </w:r>
      <w:r w:rsidR="00783251" w:rsidRPr="001445C2">
        <w:rPr>
          <w:rFonts w:ascii="Arial" w:eastAsia="Times New Roman" w:hAnsi="Arial" w:cs="Arial"/>
          <w:color w:val="000000" w:themeColor="text1"/>
          <w:sz w:val="21"/>
          <w:szCs w:val="21"/>
          <w:shd w:val="clear" w:color="auto" w:fill="FFFFFF"/>
          <w:lang w:val="en-GB"/>
        </w:rPr>
        <w:t xml:space="preserve"> </w:t>
      </w:r>
      <w:r w:rsidRPr="001445C2">
        <w:rPr>
          <w:rFonts w:ascii="Arial" w:eastAsia="Times New Roman" w:hAnsi="Arial" w:cs="Arial"/>
          <w:color w:val="000000" w:themeColor="text1"/>
          <w:sz w:val="21"/>
          <w:szCs w:val="21"/>
          <w:shd w:val="clear" w:color="auto" w:fill="FFFFFF"/>
          <w:lang w:val="en-GB"/>
        </w:rPr>
        <w:t>tuberculous uveitis in a university-based tertiary referral center in Saudi</w:t>
      </w:r>
      <w:r w:rsidR="00783251" w:rsidRPr="001445C2">
        <w:rPr>
          <w:rFonts w:ascii="Arial" w:eastAsia="Times New Roman" w:hAnsi="Arial" w:cs="Arial"/>
          <w:color w:val="000000" w:themeColor="text1"/>
          <w:sz w:val="21"/>
          <w:szCs w:val="21"/>
          <w:shd w:val="clear" w:color="auto" w:fill="FFFFFF"/>
          <w:lang w:val="en-GB"/>
        </w:rPr>
        <w:t xml:space="preserve"> </w:t>
      </w:r>
      <w:r w:rsidRPr="001445C2">
        <w:rPr>
          <w:rFonts w:ascii="Arial" w:eastAsia="Times New Roman" w:hAnsi="Arial" w:cs="Arial"/>
          <w:color w:val="000000" w:themeColor="text1"/>
          <w:sz w:val="21"/>
          <w:szCs w:val="21"/>
          <w:shd w:val="clear" w:color="auto" w:fill="FFFFFF"/>
          <w:lang w:val="en-GB"/>
        </w:rPr>
        <w:t>Arabia. Int Ophthalmol. 2019;39(2):317-333.</w:t>
      </w:r>
    </w:p>
    <w:p w14:paraId="3CA821CA" w14:textId="77777777" w:rsidR="008E6A87" w:rsidRPr="001445C2" w:rsidRDefault="00E622F1" w:rsidP="008E6A8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24. Ang M, Hedayatfar A, Wong W, Chee SP. Duration of anti-tubercular therapy in uveitis associated with latent tuberculosis: a case-control study. Br J Ophthalmol. 2012;96(3):332-6.</w:t>
      </w:r>
    </w:p>
    <w:p w14:paraId="08627910" w14:textId="115EA558" w:rsidR="008E6A87" w:rsidRPr="001445C2" w:rsidRDefault="008E6A87" w:rsidP="008E6A8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25. Ang L, Kee A, Yeo TH, et al. Treatment outcome in patients with presumed tubercular uveitis at a tertiary referral eye care</w:t>
      </w:r>
      <w:r w:rsidR="00783251" w:rsidRPr="001445C2">
        <w:rPr>
          <w:rFonts w:ascii="Arial" w:eastAsia="Times New Roman" w:hAnsi="Arial" w:cs="Arial"/>
          <w:color w:val="000000" w:themeColor="text1"/>
          <w:sz w:val="21"/>
          <w:szCs w:val="21"/>
          <w:shd w:val="clear" w:color="auto" w:fill="FFFFFF"/>
          <w:lang w:val="en-GB"/>
        </w:rPr>
        <w:t xml:space="preserve"> </w:t>
      </w:r>
      <w:r w:rsidRPr="001445C2">
        <w:rPr>
          <w:rFonts w:ascii="Arial" w:eastAsia="Times New Roman" w:hAnsi="Arial" w:cs="Arial"/>
          <w:color w:val="000000" w:themeColor="text1"/>
          <w:sz w:val="21"/>
          <w:szCs w:val="21"/>
          <w:shd w:val="clear" w:color="auto" w:fill="FFFFFF"/>
          <w:lang w:val="en-GB"/>
        </w:rPr>
        <w:t>centre in Singapore. Int Ophthalmol. 2018;38(1):11-18.</w:t>
      </w:r>
    </w:p>
    <w:p w14:paraId="142174F0" w14:textId="30C568F8" w:rsidR="008E6A87" w:rsidRPr="001445C2" w:rsidRDefault="008E6A87" w:rsidP="008E6A87">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26. Khochtali S, Gargouri S, Abroug N, et al. The spectrum of presumed tubercular uveitis in Tunisia, North Africa. Int Ophthalmol. 2015;35(5):663-71.</w:t>
      </w:r>
    </w:p>
    <w:p w14:paraId="42120F62" w14:textId="49E4FF70" w:rsidR="00000137" w:rsidRPr="001445C2" w:rsidRDefault="00000137" w:rsidP="007F7C5C">
      <w:pPr>
        <w:spacing w:line="360" w:lineRule="auto"/>
        <w:jc w:val="both"/>
        <w:rPr>
          <w:rFonts w:ascii="Arial" w:eastAsia="Times New Roman" w:hAnsi="Arial" w:cs="Arial"/>
          <w:color w:val="000000" w:themeColor="text1"/>
          <w:sz w:val="21"/>
          <w:szCs w:val="21"/>
          <w:shd w:val="clear" w:color="auto" w:fill="FFFFFF"/>
          <w:lang w:val="en-GB"/>
        </w:rPr>
      </w:pPr>
    </w:p>
    <w:p w14:paraId="61CB67A5" w14:textId="28695998"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27. Ng KK, Nisbet M, Damato EM, Sims JL. Presumed tuberculous uveitis in non-endemic country for tuberculosis: case series from a New Zealand tertiary uveitis clinic. Clin Exp Ophthalmol. 2017 May;45(4):357-365.</w:t>
      </w:r>
    </w:p>
    <w:p w14:paraId="5353FFAE" w14:textId="2907B27C"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 xml:space="preserve">28. Agrawal R, Grant R, Gupta B et al. What does IGRA testing add to the diagnosis of ocular tuberculosis? A Bayesian latent class analysis. BMC Ophthalmol. 2017;17(1):245. </w:t>
      </w:r>
    </w:p>
    <w:p w14:paraId="70663697" w14:textId="52209C9F"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29. Babu K, Satish V, Prakash O, Subbakrishna DK, Murthy KR. Role of the mantoux test and treatment with antitubercular therapy in a South Indian patient population of presumed intraocular tuberculosis. Ocul Immunol Inflamm. 2009;17(5):307-11.</w:t>
      </w:r>
    </w:p>
    <w:p w14:paraId="3FF3E068" w14:textId="5C07F953"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lastRenderedPageBreak/>
        <w:t>30. Ahn SJ, Kim KE, Woo SJ, Park KH. The usefulness of interferon-gamma release assay for diagnosis of tuberculosis-related uveitis in Korea. Korean J Ophthalmol. 2014;28(3):226-33.</w:t>
      </w:r>
    </w:p>
    <w:p w14:paraId="10EA6BA2" w14:textId="1FD16DA3"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31. Babu K, Satish V, Satish S, Subbakrishna DK, Abraham MP, Murthy KR. Utility of QuantiFERON TB gold test in a south Indian patient population of ocular inflammation. Indian J Ophthalmol. 2009;57(6):427-30.</w:t>
      </w:r>
    </w:p>
    <w:p w14:paraId="0C2FE6E5" w14:textId="6A679DA3"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32. Campos WR, Henriques JF, Kritski AL, Curi A, Pimentel RT, Spindola de Miranda S. Tuberculous uveitis at a referral center in southeastern Brazil. J Bras Pneumol. 2008;34(2):98-102.</w:t>
      </w:r>
    </w:p>
    <w:p w14:paraId="24B985C8" w14:textId="3143CE45"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33. Chung CY, Li KKW. The efficacy of latent tuberculosis treatment for immunocompetent uveitis patients with a positive T-SPOT.TB test: 6-year experience in a tuberculosis endemic region. Int Ophthalmol. 2018;38(6):2273-2282.</w:t>
      </w:r>
    </w:p>
    <w:p w14:paraId="5A16CEF1" w14:textId="534281A0"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 xml:space="preserve">34. Shahidatul-Adha M, Zunaina E, Liza-Sharmini AT, et al. Ocular tuberculosis in Hospital Universiti Sains Malaysia - A case series. Ann Med Surg (Lond). 2017;24:25-30. </w:t>
      </w:r>
    </w:p>
    <w:p w14:paraId="380DCE24" w14:textId="26A941C8"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35. Agrawal R, Gonzalez-Lopez JJ, Nobre-Cardoso J, et al. Predictive factors for treatment failure in patients with presumed ocular tuberculosis in an area of low endemic prevalence.  Br J Ophthalmol. 2016;100(3):348-55.</w:t>
      </w:r>
    </w:p>
    <w:p w14:paraId="04AA05B6" w14:textId="239E6E1B"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 xml:space="preserve">36. Cimino L, Herbort CP, Aldigeri R, Salvarani C, Boiardi L. Tuberculous uveitis, a resurgent and underdiagnosed disease.. Int Ophthalmol. 2009;29(2):67-74. </w:t>
      </w:r>
    </w:p>
    <w:p w14:paraId="514F8095" w14:textId="6D7D7F0D" w:rsidR="00D06B56" w:rsidRPr="001445C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37. Damato EM, Dawson S, Liu X, Mukherjee C, et al. A retrospective cohort study of patients treated with anti-tuberculous therapy for presumed ocular tuberculosis. J Ophthalmic Inflamm Infect. 2017;7(1):23.</w:t>
      </w:r>
    </w:p>
    <w:p w14:paraId="7204A307" w14:textId="0440D498" w:rsidR="00D06B56" w:rsidRPr="007E4BB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1445C2">
        <w:rPr>
          <w:rFonts w:ascii="Arial" w:eastAsia="Times New Roman" w:hAnsi="Arial" w:cs="Arial"/>
          <w:color w:val="000000" w:themeColor="text1"/>
          <w:sz w:val="21"/>
          <w:szCs w:val="21"/>
          <w:shd w:val="clear" w:color="auto" w:fill="FFFFFF"/>
          <w:lang w:val="en-GB"/>
        </w:rPr>
        <w:t xml:space="preserve">38. Jakob E, Max R, Zimmermann </w:t>
      </w:r>
      <w:r w:rsidRPr="007E4BB2">
        <w:rPr>
          <w:rFonts w:ascii="Arial" w:eastAsia="Times New Roman" w:hAnsi="Arial" w:cs="Arial"/>
          <w:color w:val="000000" w:themeColor="text1"/>
          <w:sz w:val="21"/>
          <w:szCs w:val="21"/>
          <w:shd w:val="clear" w:color="auto" w:fill="FFFFFF"/>
          <w:lang w:val="en-GB"/>
        </w:rPr>
        <w:t>S, et al. Three years of experience with QuantiFERON-TB gold testing in patients with uveitis. Ocul Immunol Inflamm. 2014;22(6):478-84.</w:t>
      </w:r>
    </w:p>
    <w:p w14:paraId="36EF27A6" w14:textId="19DC437B" w:rsidR="00D06B56" w:rsidRPr="007E4BB2" w:rsidRDefault="00D06B56" w:rsidP="00D06B56">
      <w:pPr>
        <w:spacing w:line="360" w:lineRule="auto"/>
        <w:jc w:val="both"/>
        <w:rPr>
          <w:rFonts w:ascii="Arial" w:eastAsia="Times New Roman" w:hAnsi="Arial" w:cs="Arial"/>
          <w:color w:val="000000" w:themeColor="text1"/>
          <w:sz w:val="21"/>
          <w:szCs w:val="21"/>
          <w:shd w:val="clear" w:color="auto" w:fill="FFFFFF"/>
          <w:lang w:val="en-GB"/>
        </w:rPr>
      </w:pPr>
      <w:r w:rsidRPr="007E4BB2">
        <w:rPr>
          <w:rFonts w:ascii="Arial" w:eastAsia="Times New Roman" w:hAnsi="Arial" w:cs="Arial"/>
          <w:color w:val="000000" w:themeColor="text1"/>
          <w:sz w:val="21"/>
          <w:szCs w:val="21"/>
          <w:shd w:val="clear" w:color="auto" w:fill="FFFFFF"/>
          <w:lang w:val="en-GB"/>
        </w:rPr>
        <w:t>39. Psilas K, Aspiotis M, Petroutsos G, Kalogeropoulos C, Constantopoulos S. Antituberculosis therapy in the treatment of peripheral uveitis. AnnOphthalmol. 1991;23(7):254-8.</w:t>
      </w:r>
    </w:p>
    <w:p w14:paraId="7128478C" w14:textId="314DBA39" w:rsidR="00000137" w:rsidRPr="007E4BB2" w:rsidRDefault="00000137" w:rsidP="007F7C5C">
      <w:pPr>
        <w:spacing w:line="360" w:lineRule="auto"/>
        <w:jc w:val="both"/>
        <w:rPr>
          <w:rFonts w:ascii="Arial" w:eastAsia="Times New Roman" w:hAnsi="Arial" w:cs="Arial"/>
          <w:color w:val="000000" w:themeColor="text1"/>
          <w:sz w:val="21"/>
          <w:szCs w:val="21"/>
          <w:shd w:val="clear" w:color="auto" w:fill="FFFFFF"/>
          <w:lang w:val="en-GB"/>
        </w:rPr>
      </w:pPr>
    </w:p>
    <w:p w14:paraId="0DEDF9FF" w14:textId="7D9C6494" w:rsidR="00000137" w:rsidRPr="007E4BB2"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73CB83C3" w14:textId="618AD5BC" w:rsidR="00000137" w:rsidRPr="007E4BB2"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166B1D1E" w14:textId="74DCF341" w:rsidR="00000137" w:rsidRPr="007E4BB2"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5B6CEABD" w14:textId="7C7644AD" w:rsidR="00000137" w:rsidRPr="007E4BB2"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60358FE4" w14:textId="01DDFF2A" w:rsidR="00000137" w:rsidRPr="007E4BB2"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3957F0E1" w14:textId="77777777" w:rsidR="001230CB" w:rsidRPr="007E4BB2" w:rsidRDefault="001230CB" w:rsidP="00D06B56">
      <w:pPr>
        <w:spacing w:line="360" w:lineRule="auto"/>
        <w:jc w:val="both"/>
        <w:rPr>
          <w:rFonts w:ascii="Arial" w:eastAsia="Times New Roman" w:hAnsi="Arial" w:cs="Arial"/>
          <w:color w:val="000000" w:themeColor="text1"/>
          <w:sz w:val="21"/>
          <w:szCs w:val="21"/>
          <w:shd w:val="clear" w:color="auto" w:fill="FFFFFF"/>
          <w:lang w:val="en-GB"/>
        </w:rPr>
      </w:pPr>
    </w:p>
    <w:p w14:paraId="7DC0BA75" w14:textId="77777777" w:rsidR="001230CB" w:rsidRPr="007E4BB2" w:rsidRDefault="001230CB" w:rsidP="00D06B56">
      <w:pPr>
        <w:spacing w:line="360" w:lineRule="auto"/>
        <w:jc w:val="both"/>
        <w:rPr>
          <w:rFonts w:ascii="Arial" w:eastAsia="Times New Roman" w:hAnsi="Arial" w:cs="Arial"/>
          <w:color w:val="000000" w:themeColor="text1"/>
          <w:sz w:val="21"/>
          <w:szCs w:val="21"/>
          <w:shd w:val="clear" w:color="auto" w:fill="FFFFFF"/>
          <w:lang w:val="en-GB"/>
        </w:rPr>
      </w:pPr>
    </w:p>
    <w:p w14:paraId="65BE08B9" w14:textId="77777777" w:rsidR="001230CB" w:rsidRPr="007E4BB2" w:rsidRDefault="001230CB" w:rsidP="00D06B56">
      <w:pPr>
        <w:spacing w:line="360" w:lineRule="auto"/>
        <w:jc w:val="both"/>
        <w:rPr>
          <w:rFonts w:ascii="Arial" w:eastAsia="Times New Roman" w:hAnsi="Arial" w:cs="Arial"/>
          <w:color w:val="000000" w:themeColor="text1"/>
          <w:sz w:val="21"/>
          <w:szCs w:val="21"/>
          <w:shd w:val="clear" w:color="auto" w:fill="FFFFFF"/>
          <w:lang w:val="en-GB"/>
        </w:rPr>
      </w:pPr>
    </w:p>
    <w:p w14:paraId="3C929FDC" w14:textId="77777777" w:rsidR="00000137" w:rsidRPr="00D06B56"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531D5772" w14:textId="4A82D5B9" w:rsidR="00000137" w:rsidRPr="00D06B56"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184E09A1" w14:textId="77777777" w:rsidR="00D061A2" w:rsidRPr="00D06B56" w:rsidRDefault="00D061A2" w:rsidP="00D06B56">
      <w:pPr>
        <w:spacing w:line="360" w:lineRule="auto"/>
        <w:jc w:val="both"/>
        <w:rPr>
          <w:rFonts w:ascii="Arial" w:eastAsia="Times New Roman" w:hAnsi="Arial" w:cs="Arial"/>
          <w:color w:val="000000" w:themeColor="text1"/>
          <w:sz w:val="21"/>
          <w:szCs w:val="21"/>
          <w:shd w:val="clear" w:color="auto" w:fill="FFFFFF"/>
          <w:lang w:val="en-GB"/>
        </w:rPr>
      </w:pPr>
    </w:p>
    <w:p w14:paraId="63C30BF9" w14:textId="600B9E34" w:rsidR="00000137" w:rsidRPr="00D06B56"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38C11538" w14:textId="6257E77F" w:rsidR="00000137" w:rsidRPr="00D06B56"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6158F164" w14:textId="2C3165A4" w:rsidR="00000137" w:rsidRPr="00D06B56"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7E151606" w14:textId="09FACF08" w:rsidR="00000137" w:rsidRPr="00D06B56"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75E51A47" w14:textId="712E14B8" w:rsidR="00000137" w:rsidRPr="00D06B56" w:rsidRDefault="00000137" w:rsidP="00D06B56">
      <w:pPr>
        <w:spacing w:line="360" w:lineRule="auto"/>
        <w:jc w:val="both"/>
        <w:rPr>
          <w:rFonts w:ascii="Arial" w:eastAsia="Times New Roman" w:hAnsi="Arial" w:cs="Arial"/>
          <w:color w:val="000000" w:themeColor="text1"/>
          <w:sz w:val="21"/>
          <w:szCs w:val="21"/>
          <w:shd w:val="clear" w:color="auto" w:fill="FFFFFF"/>
          <w:lang w:val="en-GB"/>
        </w:rPr>
      </w:pPr>
    </w:p>
    <w:p w14:paraId="0FDDCBA9" w14:textId="4ADACCC3" w:rsidR="00000137" w:rsidRPr="00084775" w:rsidRDefault="00000137">
      <w:pPr>
        <w:rPr>
          <w:rFonts w:ascii="Arial" w:hAnsi="Arial" w:cs="Arial"/>
          <w:lang w:val="en-GB"/>
        </w:rPr>
      </w:pPr>
    </w:p>
    <w:p w14:paraId="46EE41C9" w14:textId="3D5E99E8" w:rsidR="00000137" w:rsidRPr="00084775" w:rsidRDefault="00000137">
      <w:pPr>
        <w:rPr>
          <w:rFonts w:ascii="Arial" w:hAnsi="Arial" w:cs="Arial"/>
          <w:lang w:val="en-GB"/>
        </w:rPr>
      </w:pPr>
    </w:p>
    <w:p w14:paraId="6CBFB864" w14:textId="77777777" w:rsidR="001230CB" w:rsidRPr="00084775" w:rsidRDefault="001230CB" w:rsidP="00000137">
      <w:pPr>
        <w:rPr>
          <w:rFonts w:ascii="Arial" w:hAnsi="Arial" w:cs="Arial"/>
          <w:b/>
          <w:lang w:val="en-GB"/>
        </w:rPr>
      </w:pPr>
    </w:p>
    <w:p w14:paraId="1211D1C3" w14:textId="77777777" w:rsidR="001230CB" w:rsidRPr="00084775" w:rsidRDefault="001230CB" w:rsidP="00000137">
      <w:pPr>
        <w:rPr>
          <w:rFonts w:ascii="Arial" w:hAnsi="Arial" w:cs="Arial"/>
          <w:b/>
          <w:lang w:val="en-GB"/>
        </w:rPr>
      </w:pPr>
    </w:p>
    <w:p w14:paraId="50A8DC03" w14:textId="2091E344" w:rsidR="001230CB" w:rsidRPr="00084775" w:rsidRDefault="001230CB" w:rsidP="00000137">
      <w:pPr>
        <w:rPr>
          <w:rFonts w:ascii="Arial" w:hAnsi="Arial" w:cs="Arial"/>
          <w:b/>
          <w:lang w:val="en-GB"/>
        </w:rPr>
      </w:pPr>
    </w:p>
    <w:p w14:paraId="17C870B0" w14:textId="7F97C043" w:rsidR="00D061A2" w:rsidRPr="00084775" w:rsidRDefault="00D061A2" w:rsidP="00000137">
      <w:pPr>
        <w:rPr>
          <w:rFonts w:ascii="Arial" w:hAnsi="Arial" w:cs="Arial"/>
          <w:b/>
          <w:lang w:val="en-GB"/>
        </w:rPr>
      </w:pPr>
    </w:p>
    <w:p w14:paraId="7BB7D09C" w14:textId="55CADDB1" w:rsidR="00D061A2" w:rsidRPr="00084775" w:rsidRDefault="00D061A2" w:rsidP="00000137">
      <w:pPr>
        <w:rPr>
          <w:rFonts w:ascii="Arial" w:hAnsi="Arial" w:cs="Arial"/>
          <w:b/>
          <w:lang w:val="en-GB"/>
        </w:rPr>
      </w:pPr>
    </w:p>
    <w:p w14:paraId="62A7B43A" w14:textId="56BA089C" w:rsidR="00D061A2" w:rsidRPr="00084775" w:rsidRDefault="00D061A2" w:rsidP="00000137">
      <w:pPr>
        <w:rPr>
          <w:rFonts w:ascii="Arial" w:hAnsi="Arial" w:cs="Arial"/>
          <w:b/>
          <w:lang w:val="en-GB"/>
        </w:rPr>
      </w:pPr>
    </w:p>
    <w:p w14:paraId="7143239C" w14:textId="77777777" w:rsidR="00000137" w:rsidRPr="00084775" w:rsidRDefault="00000137">
      <w:pPr>
        <w:rPr>
          <w:rFonts w:ascii="Arial" w:hAnsi="Arial" w:cs="Arial"/>
          <w:lang w:val="en-GB"/>
        </w:rPr>
      </w:pPr>
    </w:p>
    <w:sectPr w:rsidR="00000137" w:rsidRPr="00084775">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62FD2" w14:textId="77777777" w:rsidR="00403F10" w:rsidRDefault="00403F10" w:rsidP="001F6BE4">
      <w:r>
        <w:separator/>
      </w:r>
    </w:p>
  </w:endnote>
  <w:endnote w:type="continuationSeparator" w:id="0">
    <w:p w14:paraId="16A9D5F9" w14:textId="77777777" w:rsidR="00403F10" w:rsidRDefault="00403F10" w:rsidP="001F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F63F7" w14:textId="77777777" w:rsidR="00084775" w:rsidRDefault="00084775" w:rsidP="00FC2A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A691D" w14:textId="77777777" w:rsidR="00084775" w:rsidRDefault="00084775" w:rsidP="00084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7FC95" w14:textId="77777777" w:rsidR="00084775" w:rsidRDefault="00084775" w:rsidP="00FC2A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160">
      <w:rPr>
        <w:rStyle w:val="PageNumber"/>
        <w:noProof/>
      </w:rPr>
      <w:t>7</w:t>
    </w:r>
    <w:r>
      <w:rPr>
        <w:rStyle w:val="PageNumber"/>
      </w:rPr>
      <w:fldChar w:fldCharType="end"/>
    </w:r>
  </w:p>
  <w:p w14:paraId="6F9A64C0" w14:textId="77777777" w:rsidR="00084775" w:rsidRDefault="00084775" w:rsidP="000847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5916C" w14:textId="77777777" w:rsidR="00403F10" w:rsidRDefault="00403F10" w:rsidP="001F6BE4">
      <w:r>
        <w:separator/>
      </w:r>
    </w:p>
  </w:footnote>
  <w:footnote w:type="continuationSeparator" w:id="0">
    <w:p w14:paraId="7C41D2DC" w14:textId="77777777" w:rsidR="00403F10" w:rsidRDefault="00403F10" w:rsidP="001F6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593E"/>
    <w:multiLevelType w:val="hybridMultilevel"/>
    <w:tmpl w:val="F3A0C7A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B560B"/>
    <w:multiLevelType w:val="hybridMultilevel"/>
    <w:tmpl w:val="5EB822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259261D"/>
    <w:multiLevelType w:val="hybridMultilevel"/>
    <w:tmpl w:val="681C8F46"/>
    <w:lvl w:ilvl="0" w:tplc="4809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751BD6"/>
    <w:multiLevelType w:val="hybridMultilevel"/>
    <w:tmpl w:val="1B6AF0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D292A4B"/>
    <w:multiLevelType w:val="hybridMultilevel"/>
    <w:tmpl w:val="A726F7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6D5648"/>
    <w:multiLevelType w:val="hybridMultilevel"/>
    <w:tmpl w:val="7E64665A"/>
    <w:lvl w:ilvl="0" w:tplc="4809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A33CF2"/>
    <w:multiLevelType w:val="hybridMultilevel"/>
    <w:tmpl w:val="009CD0C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724C1534"/>
    <w:multiLevelType w:val="hybridMultilevel"/>
    <w:tmpl w:val="AF0AB1EE"/>
    <w:lvl w:ilvl="0" w:tplc="4809000F">
      <w:start w:val="1"/>
      <w:numFmt w:val="decimal"/>
      <w:lvlText w:val="%1."/>
      <w:lvlJc w:val="left"/>
      <w:pPr>
        <w:ind w:left="360" w:hanging="360"/>
      </w:pPr>
      <w:rPr>
        <w:rFonts w:hint="default"/>
      </w:rPr>
    </w:lvl>
    <w:lvl w:ilvl="1" w:tplc="48090019">
      <w:start w:val="1"/>
      <w:numFmt w:val="lowerLetter"/>
      <w:lvlText w:val="%2."/>
      <w:lvlJc w:val="left"/>
      <w:pPr>
        <w:ind w:left="-403" w:hanging="360"/>
      </w:pPr>
    </w:lvl>
    <w:lvl w:ilvl="2" w:tplc="4809001B" w:tentative="1">
      <w:start w:val="1"/>
      <w:numFmt w:val="lowerRoman"/>
      <w:lvlText w:val="%3."/>
      <w:lvlJc w:val="right"/>
      <w:pPr>
        <w:ind w:left="317" w:hanging="180"/>
      </w:pPr>
    </w:lvl>
    <w:lvl w:ilvl="3" w:tplc="4809000F" w:tentative="1">
      <w:start w:val="1"/>
      <w:numFmt w:val="decimal"/>
      <w:lvlText w:val="%4."/>
      <w:lvlJc w:val="left"/>
      <w:pPr>
        <w:ind w:left="1037" w:hanging="360"/>
      </w:pPr>
    </w:lvl>
    <w:lvl w:ilvl="4" w:tplc="48090019" w:tentative="1">
      <w:start w:val="1"/>
      <w:numFmt w:val="lowerLetter"/>
      <w:lvlText w:val="%5."/>
      <w:lvlJc w:val="left"/>
      <w:pPr>
        <w:ind w:left="1757" w:hanging="360"/>
      </w:pPr>
    </w:lvl>
    <w:lvl w:ilvl="5" w:tplc="4809001B" w:tentative="1">
      <w:start w:val="1"/>
      <w:numFmt w:val="lowerRoman"/>
      <w:lvlText w:val="%6."/>
      <w:lvlJc w:val="right"/>
      <w:pPr>
        <w:ind w:left="2477" w:hanging="180"/>
      </w:pPr>
    </w:lvl>
    <w:lvl w:ilvl="6" w:tplc="4809000F" w:tentative="1">
      <w:start w:val="1"/>
      <w:numFmt w:val="decimal"/>
      <w:lvlText w:val="%7."/>
      <w:lvlJc w:val="left"/>
      <w:pPr>
        <w:ind w:left="3197" w:hanging="360"/>
      </w:pPr>
    </w:lvl>
    <w:lvl w:ilvl="7" w:tplc="48090019" w:tentative="1">
      <w:start w:val="1"/>
      <w:numFmt w:val="lowerLetter"/>
      <w:lvlText w:val="%8."/>
      <w:lvlJc w:val="left"/>
      <w:pPr>
        <w:ind w:left="3917" w:hanging="360"/>
      </w:pPr>
    </w:lvl>
    <w:lvl w:ilvl="8" w:tplc="4809001B" w:tentative="1">
      <w:start w:val="1"/>
      <w:numFmt w:val="lowerRoman"/>
      <w:lvlText w:val="%9."/>
      <w:lvlJc w:val="right"/>
      <w:pPr>
        <w:ind w:left="4637" w:hanging="180"/>
      </w:pPr>
    </w:lvl>
  </w:abstractNum>
  <w:abstractNum w:abstractNumId="8" w15:restartNumberingAfterBreak="0">
    <w:nsid w:val="767954CF"/>
    <w:multiLevelType w:val="hybridMultilevel"/>
    <w:tmpl w:val="C88652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D64281C"/>
    <w:multiLevelType w:val="hybridMultilevel"/>
    <w:tmpl w:val="CE9A8F6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
  </w:num>
  <w:num w:numId="5">
    <w:abstractNumId w:val="0"/>
  </w:num>
  <w:num w:numId="6">
    <w:abstractNumId w:val="8"/>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wNLM0MzQ0szAzNDZW0lEKTi0uzszPAykwrAUAfyf2MywAAAA="/>
    <w:docVar w:name="EN.InstantFormat" w:val="&lt;ENInstantFormat&gt;&lt;Enabled&gt;1&lt;/Enabled&gt;&lt;ScanUnformatted&gt;1&lt;/ScanUnformatted&gt;&lt;ScanChanges&gt;1&lt;/ScanChanges&gt;&lt;Suspended&gt;0&lt;/Suspended&gt;&lt;/ENInstantFormat&gt;"/>
    <w:docVar w:name="EN.Layout" w:val="&lt;ENLayout&gt;&lt;Style&gt;J Amer Med Info Assoc&lt;/Style&gt;&lt;LeftDelim&gt;{&lt;/LeftDelim&gt;&lt;RightDelim&gt;}&lt;/RightDelim&gt;&lt;FontName&gt;Calibri&lt;/FontName&gt;&lt;FontSize&gt;11&lt;/FontSize&gt;&lt;ReflistTitle&gt;&lt;style face=&quot;bold&quot; size=&quot;14&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xadxzvxpfsaxeptx65vre89ssf9svvxtae&quot;&gt;My EndNote Library&lt;record-ids&gt;&lt;item&gt;8&lt;/item&gt;&lt;item&gt;13&lt;/item&gt;&lt;item&gt;14&lt;/item&gt;&lt;item&gt;15&lt;/item&gt;&lt;item&gt;16&lt;/item&gt;&lt;item&gt;39&lt;/item&gt;&lt;item&gt;69&lt;/item&gt;&lt;item&gt;74&lt;/item&gt;&lt;item&gt;75&lt;/item&gt;&lt;item&gt;82&lt;/item&gt;&lt;item&gt;85&lt;/item&gt;&lt;item&gt;86&lt;/item&gt;&lt;item&gt;87&lt;/item&gt;&lt;item&gt;88&lt;/item&gt;&lt;item&gt;91&lt;/item&gt;&lt;item&gt;93&lt;/item&gt;&lt;item&gt;116&lt;/item&gt;&lt;item&gt;118&lt;/item&gt;&lt;item&gt;119&lt;/item&gt;&lt;item&gt;121&lt;/item&gt;&lt;item&gt;122&lt;/item&gt;&lt;item&gt;140&lt;/item&gt;&lt;item&gt;142&lt;/item&gt;&lt;item&gt;143&lt;/item&gt;&lt;item&gt;146&lt;/item&gt;&lt;item&gt;148&lt;/item&gt;&lt;/record-ids&gt;&lt;/item&gt;&lt;/Libraries&gt;"/>
  </w:docVars>
  <w:rsids>
    <w:rsidRoot w:val="00492A77"/>
    <w:rsid w:val="00000137"/>
    <w:rsid w:val="000032DD"/>
    <w:rsid w:val="00012581"/>
    <w:rsid w:val="00013032"/>
    <w:rsid w:val="000141E9"/>
    <w:rsid w:val="00021ADE"/>
    <w:rsid w:val="00023D66"/>
    <w:rsid w:val="00032412"/>
    <w:rsid w:val="00032E4B"/>
    <w:rsid w:val="00035EB7"/>
    <w:rsid w:val="00040E11"/>
    <w:rsid w:val="00047EA7"/>
    <w:rsid w:val="00057984"/>
    <w:rsid w:val="00065A65"/>
    <w:rsid w:val="00084775"/>
    <w:rsid w:val="000A2FFC"/>
    <w:rsid w:val="000A3F9F"/>
    <w:rsid w:val="000A594D"/>
    <w:rsid w:val="000A6351"/>
    <w:rsid w:val="000B102D"/>
    <w:rsid w:val="000B67E0"/>
    <w:rsid w:val="000B74D3"/>
    <w:rsid w:val="000C4C04"/>
    <w:rsid w:val="000C6FA2"/>
    <w:rsid w:val="000D423C"/>
    <w:rsid w:val="000D72B5"/>
    <w:rsid w:val="000E11F8"/>
    <w:rsid w:val="000E157B"/>
    <w:rsid w:val="000E24F5"/>
    <w:rsid w:val="000F2DCA"/>
    <w:rsid w:val="00112D91"/>
    <w:rsid w:val="00113E53"/>
    <w:rsid w:val="001227DD"/>
    <w:rsid w:val="001230CB"/>
    <w:rsid w:val="0012490B"/>
    <w:rsid w:val="00127E4F"/>
    <w:rsid w:val="001307AC"/>
    <w:rsid w:val="00131A01"/>
    <w:rsid w:val="00135837"/>
    <w:rsid w:val="001445C2"/>
    <w:rsid w:val="00163317"/>
    <w:rsid w:val="00170593"/>
    <w:rsid w:val="00173341"/>
    <w:rsid w:val="00180938"/>
    <w:rsid w:val="00184577"/>
    <w:rsid w:val="0018587F"/>
    <w:rsid w:val="0018763A"/>
    <w:rsid w:val="001956C7"/>
    <w:rsid w:val="001A25AD"/>
    <w:rsid w:val="001A54A6"/>
    <w:rsid w:val="001A5B4A"/>
    <w:rsid w:val="001B150A"/>
    <w:rsid w:val="001B32C4"/>
    <w:rsid w:val="001B34A5"/>
    <w:rsid w:val="001B602B"/>
    <w:rsid w:val="001D2AED"/>
    <w:rsid w:val="001D771F"/>
    <w:rsid w:val="001E4DE6"/>
    <w:rsid w:val="001E7717"/>
    <w:rsid w:val="001F6BE4"/>
    <w:rsid w:val="0020255C"/>
    <w:rsid w:val="00202AF3"/>
    <w:rsid w:val="00203F58"/>
    <w:rsid w:val="00207071"/>
    <w:rsid w:val="00211597"/>
    <w:rsid w:val="002123BB"/>
    <w:rsid w:val="00212F43"/>
    <w:rsid w:val="00214D27"/>
    <w:rsid w:val="00221F00"/>
    <w:rsid w:val="00225A7C"/>
    <w:rsid w:val="00237D1D"/>
    <w:rsid w:val="002412BE"/>
    <w:rsid w:val="00241E39"/>
    <w:rsid w:val="00242918"/>
    <w:rsid w:val="00245689"/>
    <w:rsid w:val="0024676E"/>
    <w:rsid w:val="00255933"/>
    <w:rsid w:val="002566CC"/>
    <w:rsid w:val="002647C7"/>
    <w:rsid w:val="002659AA"/>
    <w:rsid w:val="00271914"/>
    <w:rsid w:val="00271BE4"/>
    <w:rsid w:val="00287D9D"/>
    <w:rsid w:val="002A11AD"/>
    <w:rsid w:val="002B09A2"/>
    <w:rsid w:val="002C297F"/>
    <w:rsid w:val="002C3E0A"/>
    <w:rsid w:val="002D025D"/>
    <w:rsid w:val="002D4907"/>
    <w:rsid w:val="002D7A98"/>
    <w:rsid w:val="002E1C3F"/>
    <w:rsid w:val="002E40FA"/>
    <w:rsid w:val="002E75F0"/>
    <w:rsid w:val="002F04F5"/>
    <w:rsid w:val="00301832"/>
    <w:rsid w:val="003070DE"/>
    <w:rsid w:val="003119E8"/>
    <w:rsid w:val="0031236E"/>
    <w:rsid w:val="003133E8"/>
    <w:rsid w:val="00314612"/>
    <w:rsid w:val="0031685B"/>
    <w:rsid w:val="00331456"/>
    <w:rsid w:val="00350688"/>
    <w:rsid w:val="003524F0"/>
    <w:rsid w:val="003565C6"/>
    <w:rsid w:val="00365646"/>
    <w:rsid w:val="00365E14"/>
    <w:rsid w:val="00383A01"/>
    <w:rsid w:val="00391AE4"/>
    <w:rsid w:val="003948F9"/>
    <w:rsid w:val="003A0F39"/>
    <w:rsid w:val="003A6FB8"/>
    <w:rsid w:val="003B3629"/>
    <w:rsid w:val="003B523A"/>
    <w:rsid w:val="003B6ED5"/>
    <w:rsid w:val="003E500A"/>
    <w:rsid w:val="003F5B56"/>
    <w:rsid w:val="00402016"/>
    <w:rsid w:val="00403F10"/>
    <w:rsid w:val="00411C30"/>
    <w:rsid w:val="00413D3C"/>
    <w:rsid w:val="004148FD"/>
    <w:rsid w:val="004210F9"/>
    <w:rsid w:val="004211CA"/>
    <w:rsid w:val="0043628E"/>
    <w:rsid w:val="00440F54"/>
    <w:rsid w:val="0044219C"/>
    <w:rsid w:val="004613F9"/>
    <w:rsid w:val="00461630"/>
    <w:rsid w:val="00461DF3"/>
    <w:rsid w:val="0046508A"/>
    <w:rsid w:val="004839F9"/>
    <w:rsid w:val="00485AA4"/>
    <w:rsid w:val="00490DFA"/>
    <w:rsid w:val="0049188D"/>
    <w:rsid w:val="00492A77"/>
    <w:rsid w:val="00497C94"/>
    <w:rsid w:val="004A0A49"/>
    <w:rsid w:val="004B2E8B"/>
    <w:rsid w:val="004B2F99"/>
    <w:rsid w:val="004B73B9"/>
    <w:rsid w:val="004C725D"/>
    <w:rsid w:val="004E008A"/>
    <w:rsid w:val="004E3ED8"/>
    <w:rsid w:val="004F09BD"/>
    <w:rsid w:val="005068D6"/>
    <w:rsid w:val="00515C58"/>
    <w:rsid w:val="00517EB1"/>
    <w:rsid w:val="005419C9"/>
    <w:rsid w:val="0054762C"/>
    <w:rsid w:val="005564F3"/>
    <w:rsid w:val="00556FDC"/>
    <w:rsid w:val="00557FE8"/>
    <w:rsid w:val="005665A1"/>
    <w:rsid w:val="005669EB"/>
    <w:rsid w:val="00573FFB"/>
    <w:rsid w:val="00582701"/>
    <w:rsid w:val="005861F5"/>
    <w:rsid w:val="005938EC"/>
    <w:rsid w:val="005A0471"/>
    <w:rsid w:val="005A7190"/>
    <w:rsid w:val="005A7E2B"/>
    <w:rsid w:val="005B3751"/>
    <w:rsid w:val="005C61C3"/>
    <w:rsid w:val="005E69A8"/>
    <w:rsid w:val="005E76AC"/>
    <w:rsid w:val="005F6AFD"/>
    <w:rsid w:val="00614A56"/>
    <w:rsid w:val="006305A9"/>
    <w:rsid w:val="0063420D"/>
    <w:rsid w:val="006356F8"/>
    <w:rsid w:val="00642426"/>
    <w:rsid w:val="006469F8"/>
    <w:rsid w:val="006641A7"/>
    <w:rsid w:val="0066666C"/>
    <w:rsid w:val="0067127A"/>
    <w:rsid w:val="00671965"/>
    <w:rsid w:val="006A6D1A"/>
    <w:rsid w:val="006B0DF0"/>
    <w:rsid w:val="006B55B9"/>
    <w:rsid w:val="006C34A6"/>
    <w:rsid w:val="006D4CBD"/>
    <w:rsid w:val="006D5AF2"/>
    <w:rsid w:val="006E5348"/>
    <w:rsid w:val="006F1FC2"/>
    <w:rsid w:val="006F76FF"/>
    <w:rsid w:val="006F7F07"/>
    <w:rsid w:val="00704841"/>
    <w:rsid w:val="007149C7"/>
    <w:rsid w:val="007153C1"/>
    <w:rsid w:val="007159A7"/>
    <w:rsid w:val="00720117"/>
    <w:rsid w:val="00722BBB"/>
    <w:rsid w:val="00730B01"/>
    <w:rsid w:val="007324C7"/>
    <w:rsid w:val="00735560"/>
    <w:rsid w:val="00735BEB"/>
    <w:rsid w:val="007360EC"/>
    <w:rsid w:val="00737AB5"/>
    <w:rsid w:val="00742245"/>
    <w:rsid w:val="0074325B"/>
    <w:rsid w:val="007507F5"/>
    <w:rsid w:val="00755D0A"/>
    <w:rsid w:val="007632ED"/>
    <w:rsid w:val="007647BA"/>
    <w:rsid w:val="00782657"/>
    <w:rsid w:val="00783251"/>
    <w:rsid w:val="00783EE9"/>
    <w:rsid w:val="007956B6"/>
    <w:rsid w:val="007B3A0E"/>
    <w:rsid w:val="007C048F"/>
    <w:rsid w:val="007D219B"/>
    <w:rsid w:val="007E2E76"/>
    <w:rsid w:val="007E4BB2"/>
    <w:rsid w:val="007E750F"/>
    <w:rsid w:val="007F7C5C"/>
    <w:rsid w:val="00804176"/>
    <w:rsid w:val="00815728"/>
    <w:rsid w:val="00822E0B"/>
    <w:rsid w:val="0082640B"/>
    <w:rsid w:val="008324CD"/>
    <w:rsid w:val="00846563"/>
    <w:rsid w:val="008578BB"/>
    <w:rsid w:val="0086318C"/>
    <w:rsid w:val="008635D8"/>
    <w:rsid w:val="0086553B"/>
    <w:rsid w:val="008709D4"/>
    <w:rsid w:val="00875505"/>
    <w:rsid w:val="008820E0"/>
    <w:rsid w:val="00892DAC"/>
    <w:rsid w:val="008A2838"/>
    <w:rsid w:val="008A72DA"/>
    <w:rsid w:val="008B2065"/>
    <w:rsid w:val="008C236F"/>
    <w:rsid w:val="008C5C58"/>
    <w:rsid w:val="008D4AE7"/>
    <w:rsid w:val="008D507B"/>
    <w:rsid w:val="008D5D5D"/>
    <w:rsid w:val="008E6A87"/>
    <w:rsid w:val="008F51E3"/>
    <w:rsid w:val="00901012"/>
    <w:rsid w:val="009061F7"/>
    <w:rsid w:val="00913F4D"/>
    <w:rsid w:val="00921DF7"/>
    <w:rsid w:val="00927903"/>
    <w:rsid w:val="00931B77"/>
    <w:rsid w:val="0093375B"/>
    <w:rsid w:val="00941BF7"/>
    <w:rsid w:val="00942958"/>
    <w:rsid w:val="0094729C"/>
    <w:rsid w:val="009566F1"/>
    <w:rsid w:val="00962229"/>
    <w:rsid w:val="00963517"/>
    <w:rsid w:val="009671A7"/>
    <w:rsid w:val="00977823"/>
    <w:rsid w:val="0098555E"/>
    <w:rsid w:val="00991AB4"/>
    <w:rsid w:val="009A4E15"/>
    <w:rsid w:val="009A6886"/>
    <w:rsid w:val="009B0010"/>
    <w:rsid w:val="009B5413"/>
    <w:rsid w:val="009C03E8"/>
    <w:rsid w:val="009D2352"/>
    <w:rsid w:val="009E114F"/>
    <w:rsid w:val="009E745E"/>
    <w:rsid w:val="00A04C44"/>
    <w:rsid w:val="00A13067"/>
    <w:rsid w:val="00A20FD6"/>
    <w:rsid w:val="00A22D54"/>
    <w:rsid w:val="00A23E6B"/>
    <w:rsid w:val="00A259F7"/>
    <w:rsid w:val="00A32D21"/>
    <w:rsid w:val="00A32ED9"/>
    <w:rsid w:val="00A45E6F"/>
    <w:rsid w:val="00A47F21"/>
    <w:rsid w:val="00A521D5"/>
    <w:rsid w:val="00A55A87"/>
    <w:rsid w:val="00A62C70"/>
    <w:rsid w:val="00A63698"/>
    <w:rsid w:val="00A63EC2"/>
    <w:rsid w:val="00A66729"/>
    <w:rsid w:val="00A749B5"/>
    <w:rsid w:val="00A810CF"/>
    <w:rsid w:val="00A870A5"/>
    <w:rsid w:val="00A94C84"/>
    <w:rsid w:val="00A953C6"/>
    <w:rsid w:val="00AA6B99"/>
    <w:rsid w:val="00AB230C"/>
    <w:rsid w:val="00AB582E"/>
    <w:rsid w:val="00AC2257"/>
    <w:rsid w:val="00AD299E"/>
    <w:rsid w:val="00AD763E"/>
    <w:rsid w:val="00AF101E"/>
    <w:rsid w:val="00AF19DF"/>
    <w:rsid w:val="00B27703"/>
    <w:rsid w:val="00B317CF"/>
    <w:rsid w:val="00B33ACC"/>
    <w:rsid w:val="00B400C1"/>
    <w:rsid w:val="00B402C7"/>
    <w:rsid w:val="00B41B94"/>
    <w:rsid w:val="00B43A7B"/>
    <w:rsid w:val="00B51362"/>
    <w:rsid w:val="00B56A59"/>
    <w:rsid w:val="00B57918"/>
    <w:rsid w:val="00B645E5"/>
    <w:rsid w:val="00B73831"/>
    <w:rsid w:val="00B9306B"/>
    <w:rsid w:val="00B939C1"/>
    <w:rsid w:val="00B94160"/>
    <w:rsid w:val="00BC49B5"/>
    <w:rsid w:val="00BC7EFF"/>
    <w:rsid w:val="00BD2B08"/>
    <w:rsid w:val="00BD4D59"/>
    <w:rsid w:val="00BE063D"/>
    <w:rsid w:val="00BE35E0"/>
    <w:rsid w:val="00BE7D8F"/>
    <w:rsid w:val="00BF178F"/>
    <w:rsid w:val="00BF4A68"/>
    <w:rsid w:val="00C07953"/>
    <w:rsid w:val="00C07D9E"/>
    <w:rsid w:val="00C12260"/>
    <w:rsid w:val="00C1335D"/>
    <w:rsid w:val="00C15EBE"/>
    <w:rsid w:val="00C33221"/>
    <w:rsid w:val="00C36602"/>
    <w:rsid w:val="00C523BD"/>
    <w:rsid w:val="00C55C7B"/>
    <w:rsid w:val="00C56162"/>
    <w:rsid w:val="00C56553"/>
    <w:rsid w:val="00C57689"/>
    <w:rsid w:val="00C72A92"/>
    <w:rsid w:val="00C7548D"/>
    <w:rsid w:val="00C864AE"/>
    <w:rsid w:val="00C86602"/>
    <w:rsid w:val="00C871D8"/>
    <w:rsid w:val="00C937C9"/>
    <w:rsid w:val="00CA3533"/>
    <w:rsid w:val="00CB0A49"/>
    <w:rsid w:val="00CB53EB"/>
    <w:rsid w:val="00CE038A"/>
    <w:rsid w:val="00CE0D3F"/>
    <w:rsid w:val="00CE2891"/>
    <w:rsid w:val="00CE3F4C"/>
    <w:rsid w:val="00CE5804"/>
    <w:rsid w:val="00CE5A67"/>
    <w:rsid w:val="00CF267F"/>
    <w:rsid w:val="00CF55BF"/>
    <w:rsid w:val="00D01F35"/>
    <w:rsid w:val="00D061A2"/>
    <w:rsid w:val="00D06B56"/>
    <w:rsid w:val="00D119BD"/>
    <w:rsid w:val="00D12016"/>
    <w:rsid w:val="00D13E5D"/>
    <w:rsid w:val="00D15151"/>
    <w:rsid w:val="00D165EC"/>
    <w:rsid w:val="00D17A13"/>
    <w:rsid w:val="00D22CA4"/>
    <w:rsid w:val="00D33ACC"/>
    <w:rsid w:val="00D34589"/>
    <w:rsid w:val="00D46A73"/>
    <w:rsid w:val="00D47F98"/>
    <w:rsid w:val="00D51153"/>
    <w:rsid w:val="00D52812"/>
    <w:rsid w:val="00D528B6"/>
    <w:rsid w:val="00D622C2"/>
    <w:rsid w:val="00D67DD1"/>
    <w:rsid w:val="00D9476A"/>
    <w:rsid w:val="00D95B02"/>
    <w:rsid w:val="00D9608B"/>
    <w:rsid w:val="00DA2E61"/>
    <w:rsid w:val="00DA2F7D"/>
    <w:rsid w:val="00DA54FD"/>
    <w:rsid w:val="00DB133A"/>
    <w:rsid w:val="00DC6649"/>
    <w:rsid w:val="00DC7473"/>
    <w:rsid w:val="00DE177C"/>
    <w:rsid w:val="00DF0395"/>
    <w:rsid w:val="00DF564C"/>
    <w:rsid w:val="00E00ACD"/>
    <w:rsid w:val="00E108B2"/>
    <w:rsid w:val="00E13ADB"/>
    <w:rsid w:val="00E204EF"/>
    <w:rsid w:val="00E33968"/>
    <w:rsid w:val="00E40F3B"/>
    <w:rsid w:val="00E44FF2"/>
    <w:rsid w:val="00E512D1"/>
    <w:rsid w:val="00E56EF4"/>
    <w:rsid w:val="00E577D5"/>
    <w:rsid w:val="00E60C8F"/>
    <w:rsid w:val="00E61404"/>
    <w:rsid w:val="00E622F1"/>
    <w:rsid w:val="00E657A4"/>
    <w:rsid w:val="00E65BAF"/>
    <w:rsid w:val="00E67A4C"/>
    <w:rsid w:val="00E7131A"/>
    <w:rsid w:val="00E76BB0"/>
    <w:rsid w:val="00E77D54"/>
    <w:rsid w:val="00E90CAD"/>
    <w:rsid w:val="00E95B6B"/>
    <w:rsid w:val="00EA39EA"/>
    <w:rsid w:val="00EA56B7"/>
    <w:rsid w:val="00EA58F6"/>
    <w:rsid w:val="00EB0BFA"/>
    <w:rsid w:val="00ED0668"/>
    <w:rsid w:val="00EF39C4"/>
    <w:rsid w:val="00EF3FF7"/>
    <w:rsid w:val="00EF53FA"/>
    <w:rsid w:val="00F042CA"/>
    <w:rsid w:val="00F16C3D"/>
    <w:rsid w:val="00F22F13"/>
    <w:rsid w:val="00F2334D"/>
    <w:rsid w:val="00F24097"/>
    <w:rsid w:val="00F26069"/>
    <w:rsid w:val="00F327A4"/>
    <w:rsid w:val="00F446C0"/>
    <w:rsid w:val="00F446E6"/>
    <w:rsid w:val="00F45F82"/>
    <w:rsid w:val="00F5021B"/>
    <w:rsid w:val="00F90846"/>
    <w:rsid w:val="00F91881"/>
    <w:rsid w:val="00F96AAF"/>
    <w:rsid w:val="00FA6E78"/>
    <w:rsid w:val="00FB4DD3"/>
    <w:rsid w:val="00FC3952"/>
    <w:rsid w:val="00FC3B46"/>
    <w:rsid w:val="00FC5A4A"/>
    <w:rsid w:val="00FE0CDA"/>
    <w:rsid w:val="00FE233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F0A1"/>
  <w15:chartTrackingRefBased/>
  <w15:docId w15:val="{262A5D3A-F58C-46A8-A988-C300D7FF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AE7"/>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40E11"/>
    <w:pPr>
      <w:spacing w:line="259" w:lineRule="auto"/>
      <w:jc w:val="center"/>
    </w:pPr>
    <w:rPr>
      <w:rFonts w:ascii="Calibri" w:hAnsi="Calibri" w:cs="Calibri"/>
      <w:noProof/>
      <w:sz w:val="22"/>
      <w:szCs w:val="22"/>
      <w:lang w:val="en-SG" w:eastAsia="zh-CN"/>
    </w:rPr>
  </w:style>
  <w:style w:type="character" w:customStyle="1" w:styleId="EndNoteBibliographyTitleChar">
    <w:name w:val="EndNote Bibliography Title Char"/>
    <w:basedOn w:val="DefaultParagraphFont"/>
    <w:link w:val="EndNoteBibliographyTitle"/>
    <w:rsid w:val="00040E11"/>
    <w:rPr>
      <w:rFonts w:ascii="Calibri" w:hAnsi="Calibri" w:cs="Calibri"/>
      <w:noProof/>
    </w:rPr>
  </w:style>
  <w:style w:type="paragraph" w:customStyle="1" w:styleId="EndNoteBibliography">
    <w:name w:val="EndNote Bibliography"/>
    <w:basedOn w:val="Normal"/>
    <w:link w:val="EndNoteBibliographyChar"/>
    <w:rsid w:val="00040E11"/>
    <w:pPr>
      <w:spacing w:after="160"/>
    </w:pPr>
    <w:rPr>
      <w:rFonts w:ascii="Calibri" w:hAnsi="Calibri" w:cs="Calibri"/>
      <w:noProof/>
      <w:sz w:val="22"/>
      <w:szCs w:val="22"/>
      <w:lang w:val="en-SG" w:eastAsia="zh-CN"/>
    </w:rPr>
  </w:style>
  <w:style w:type="character" w:customStyle="1" w:styleId="EndNoteBibliographyChar">
    <w:name w:val="EndNote Bibliography Char"/>
    <w:basedOn w:val="DefaultParagraphFont"/>
    <w:link w:val="EndNoteBibliography"/>
    <w:rsid w:val="00040E11"/>
    <w:rPr>
      <w:rFonts w:ascii="Calibri" w:hAnsi="Calibri" w:cs="Calibri"/>
      <w:noProof/>
    </w:rPr>
  </w:style>
  <w:style w:type="paragraph" w:styleId="BalloonText">
    <w:name w:val="Balloon Text"/>
    <w:basedOn w:val="Normal"/>
    <w:link w:val="BalloonTextChar"/>
    <w:uiPriority w:val="99"/>
    <w:semiHidden/>
    <w:unhideWhenUsed/>
    <w:rsid w:val="00135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37"/>
    <w:rPr>
      <w:rFonts w:ascii="Segoe UI" w:hAnsi="Segoe UI" w:cs="Segoe UI"/>
      <w:sz w:val="18"/>
      <w:szCs w:val="18"/>
    </w:rPr>
  </w:style>
  <w:style w:type="paragraph" w:styleId="ListParagraph">
    <w:name w:val="List Paragraph"/>
    <w:basedOn w:val="Normal"/>
    <w:uiPriority w:val="34"/>
    <w:qFormat/>
    <w:rsid w:val="00DC7473"/>
    <w:pPr>
      <w:spacing w:after="160" w:line="259" w:lineRule="auto"/>
      <w:ind w:left="720"/>
      <w:contextualSpacing/>
    </w:pPr>
    <w:rPr>
      <w:rFonts w:asciiTheme="minorHAnsi" w:hAnsiTheme="minorHAnsi" w:cstheme="minorBidi"/>
      <w:sz w:val="22"/>
      <w:szCs w:val="22"/>
      <w:lang w:val="en-SG" w:eastAsia="zh-CN"/>
    </w:rPr>
  </w:style>
  <w:style w:type="table" w:styleId="TableSimple1">
    <w:name w:val="Table Simple 1"/>
    <w:basedOn w:val="TableNormal"/>
    <w:uiPriority w:val="41"/>
    <w:rsid w:val="00B317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22CA4"/>
    <w:rPr>
      <w:sz w:val="18"/>
      <w:szCs w:val="18"/>
    </w:rPr>
  </w:style>
  <w:style w:type="paragraph" w:styleId="CommentText">
    <w:name w:val="annotation text"/>
    <w:basedOn w:val="Normal"/>
    <w:link w:val="CommentTextChar"/>
    <w:uiPriority w:val="99"/>
    <w:unhideWhenUsed/>
    <w:rsid w:val="00D22CA4"/>
    <w:pPr>
      <w:spacing w:after="160"/>
    </w:pPr>
    <w:rPr>
      <w:rFonts w:asciiTheme="minorHAnsi" w:hAnsiTheme="minorHAnsi" w:cstheme="minorBidi"/>
      <w:lang w:val="en-SG" w:eastAsia="zh-CN"/>
    </w:rPr>
  </w:style>
  <w:style w:type="character" w:customStyle="1" w:styleId="CommentTextChar">
    <w:name w:val="Comment Text Char"/>
    <w:basedOn w:val="DefaultParagraphFont"/>
    <w:link w:val="CommentText"/>
    <w:uiPriority w:val="99"/>
    <w:rsid w:val="00D22CA4"/>
    <w:rPr>
      <w:sz w:val="24"/>
      <w:szCs w:val="24"/>
    </w:rPr>
  </w:style>
  <w:style w:type="paragraph" w:styleId="CommentSubject">
    <w:name w:val="annotation subject"/>
    <w:basedOn w:val="CommentText"/>
    <w:next w:val="CommentText"/>
    <w:link w:val="CommentSubjectChar"/>
    <w:uiPriority w:val="99"/>
    <w:semiHidden/>
    <w:unhideWhenUsed/>
    <w:rsid w:val="00D22CA4"/>
    <w:rPr>
      <w:b/>
      <w:bCs/>
      <w:sz w:val="20"/>
      <w:szCs w:val="20"/>
    </w:rPr>
  </w:style>
  <w:style w:type="character" w:customStyle="1" w:styleId="CommentSubjectChar">
    <w:name w:val="Comment Subject Char"/>
    <w:basedOn w:val="CommentTextChar"/>
    <w:link w:val="CommentSubject"/>
    <w:uiPriority w:val="99"/>
    <w:semiHidden/>
    <w:rsid w:val="00D22CA4"/>
    <w:rPr>
      <w:b/>
      <w:bCs/>
      <w:sz w:val="20"/>
      <w:szCs w:val="20"/>
    </w:rPr>
  </w:style>
  <w:style w:type="character" w:styleId="Hyperlink">
    <w:name w:val="Hyperlink"/>
    <w:uiPriority w:val="99"/>
    <w:semiHidden/>
    <w:unhideWhenUsed/>
    <w:rsid w:val="00730B01"/>
    <w:rPr>
      <w:color w:val="0000FF"/>
      <w:u w:val="single"/>
    </w:rPr>
  </w:style>
  <w:style w:type="paragraph" w:styleId="Revision">
    <w:name w:val="Revision"/>
    <w:hidden/>
    <w:uiPriority w:val="99"/>
    <w:semiHidden/>
    <w:rsid w:val="00D51153"/>
    <w:pPr>
      <w:spacing w:after="0" w:line="240" w:lineRule="auto"/>
    </w:pPr>
  </w:style>
  <w:style w:type="character" w:customStyle="1" w:styleId="st1">
    <w:name w:val="st1"/>
    <w:basedOn w:val="DefaultParagraphFont"/>
    <w:rsid w:val="00E13ADB"/>
  </w:style>
  <w:style w:type="paragraph" w:styleId="Header">
    <w:name w:val="header"/>
    <w:basedOn w:val="Normal"/>
    <w:link w:val="HeaderChar"/>
    <w:uiPriority w:val="99"/>
    <w:unhideWhenUsed/>
    <w:rsid w:val="001F6BE4"/>
    <w:pPr>
      <w:tabs>
        <w:tab w:val="center" w:pos="4819"/>
        <w:tab w:val="right" w:pos="9638"/>
      </w:tabs>
    </w:pPr>
    <w:rPr>
      <w:rFonts w:asciiTheme="minorHAnsi" w:hAnsiTheme="minorHAnsi" w:cstheme="minorBidi"/>
      <w:sz w:val="22"/>
      <w:szCs w:val="22"/>
      <w:lang w:val="en-SG" w:eastAsia="zh-CN"/>
    </w:rPr>
  </w:style>
  <w:style w:type="character" w:customStyle="1" w:styleId="HeaderChar">
    <w:name w:val="Header Char"/>
    <w:basedOn w:val="DefaultParagraphFont"/>
    <w:link w:val="Header"/>
    <w:uiPriority w:val="99"/>
    <w:rsid w:val="001F6BE4"/>
  </w:style>
  <w:style w:type="paragraph" w:styleId="Footer">
    <w:name w:val="footer"/>
    <w:basedOn w:val="Normal"/>
    <w:link w:val="FooterChar"/>
    <w:uiPriority w:val="99"/>
    <w:unhideWhenUsed/>
    <w:rsid w:val="001F6BE4"/>
    <w:pPr>
      <w:tabs>
        <w:tab w:val="center" w:pos="4819"/>
        <w:tab w:val="right" w:pos="9638"/>
      </w:tabs>
    </w:pPr>
    <w:rPr>
      <w:rFonts w:asciiTheme="minorHAnsi" w:hAnsiTheme="minorHAnsi" w:cstheme="minorBidi"/>
      <w:sz w:val="22"/>
      <w:szCs w:val="22"/>
      <w:lang w:val="en-SG" w:eastAsia="zh-CN"/>
    </w:rPr>
  </w:style>
  <w:style w:type="character" w:customStyle="1" w:styleId="FooterChar">
    <w:name w:val="Footer Char"/>
    <w:basedOn w:val="DefaultParagraphFont"/>
    <w:link w:val="Footer"/>
    <w:uiPriority w:val="99"/>
    <w:rsid w:val="001F6BE4"/>
  </w:style>
  <w:style w:type="paragraph" w:styleId="HTMLPreformatted">
    <w:name w:val="HTML Preformatted"/>
    <w:basedOn w:val="Normal"/>
    <w:link w:val="HTMLPreformattedChar"/>
    <w:uiPriority w:val="99"/>
    <w:unhideWhenUsed/>
    <w:rsid w:val="00D1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12016"/>
    <w:rPr>
      <w:rFonts w:ascii="Courier New" w:hAnsi="Courier New" w:cs="Courier New"/>
      <w:sz w:val="20"/>
      <w:szCs w:val="20"/>
      <w:lang w:val="it-IT" w:eastAsia="it-IT"/>
    </w:rPr>
  </w:style>
  <w:style w:type="paragraph" w:styleId="DocumentMap">
    <w:name w:val="Document Map"/>
    <w:basedOn w:val="Normal"/>
    <w:link w:val="DocumentMapChar"/>
    <w:uiPriority w:val="99"/>
    <w:semiHidden/>
    <w:unhideWhenUsed/>
    <w:rsid w:val="00CE5A67"/>
  </w:style>
  <w:style w:type="character" w:customStyle="1" w:styleId="DocumentMapChar">
    <w:name w:val="Document Map Char"/>
    <w:basedOn w:val="DefaultParagraphFont"/>
    <w:link w:val="DocumentMap"/>
    <w:uiPriority w:val="99"/>
    <w:semiHidden/>
    <w:rsid w:val="00CE5A67"/>
    <w:rPr>
      <w:rFonts w:ascii="Times New Roman" w:hAnsi="Times New Roman" w:cs="Times New Roman"/>
      <w:sz w:val="24"/>
      <w:szCs w:val="24"/>
      <w:lang w:val="it-IT" w:eastAsia="it-IT"/>
    </w:rPr>
  </w:style>
  <w:style w:type="character" w:styleId="PageNumber">
    <w:name w:val="page number"/>
    <w:basedOn w:val="DefaultParagraphFont"/>
    <w:uiPriority w:val="99"/>
    <w:semiHidden/>
    <w:unhideWhenUsed/>
    <w:rsid w:val="0008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7503">
      <w:bodyDiv w:val="1"/>
      <w:marLeft w:val="0"/>
      <w:marRight w:val="0"/>
      <w:marTop w:val="0"/>
      <w:marBottom w:val="0"/>
      <w:divBdr>
        <w:top w:val="none" w:sz="0" w:space="0" w:color="auto"/>
        <w:left w:val="none" w:sz="0" w:space="0" w:color="auto"/>
        <w:bottom w:val="none" w:sz="0" w:space="0" w:color="auto"/>
        <w:right w:val="none" w:sz="0" w:space="0" w:color="auto"/>
      </w:divBdr>
    </w:div>
    <w:div w:id="78790771">
      <w:bodyDiv w:val="1"/>
      <w:marLeft w:val="0"/>
      <w:marRight w:val="0"/>
      <w:marTop w:val="0"/>
      <w:marBottom w:val="0"/>
      <w:divBdr>
        <w:top w:val="none" w:sz="0" w:space="0" w:color="auto"/>
        <w:left w:val="none" w:sz="0" w:space="0" w:color="auto"/>
        <w:bottom w:val="none" w:sz="0" w:space="0" w:color="auto"/>
        <w:right w:val="none" w:sz="0" w:space="0" w:color="auto"/>
      </w:divBdr>
    </w:div>
    <w:div w:id="313023075">
      <w:bodyDiv w:val="1"/>
      <w:marLeft w:val="0"/>
      <w:marRight w:val="0"/>
      <w:marTop w:val="0"/>
      <w:marBottom w:val="0"/>
      <w:divBdr>
        <w:top w:val="none" w:sz="0" w:space="0" w:color="auto"/>
        <w:left w:val="none" w:sz="0" w:space="0" w:color="auto"/>
        <w:bottom w:val="none" w:sz="0" w:space="0" w:color="auto"/>
        <w:right w:val="none" w:sz="0" w:space="0" w:color="auto"/>
      </w:divBdr>
    </w:div>
    <w:div w:id="380793548">
      <w:bodyDiv w:val="1"/>
      <w:marLeft w:val="0"/>
      <w:marRight w:val="0"/>
      <w:marTop w:val="0"/>
      <w:marBottom w:val="0"/>
      <w:divBdr>
        <w:top w:val="none" w:sz="0" w:space="0" w:color="auto"/>
        <w:left w:val="none" w:sz="0" w:space="0" w:color="auto"/>
        <w:bottom w:val="none" w:sz="0" w:space="0" w:color="auto"/>
        <w:right w:val="none" w:sz="0" w:space="0" w:color="auto"/>
      </w:divBdr>
    </w:div>
    <w:div w:id="389576268">
      <w:bodyDiv w:val="1"/>
      <w:marLeft w:val="0"/>
      <w:marRight w:val="0"/>
      <w:marTop w:val="0"/>
      <w:marBottom w:val="0"/>
      <w:divBdr>
        <w:top w:val="none" w:sz="0" w:space="0" w:color="auto"/>
        <w:left w:val="none" w:sz="0" w:space="0" w:color="auto"/>
        <w:bottom w:val="none" w:sz="0" w:space="0" w:color="auto"/>
        <w:right w:val="none" w:sz="0" w:space="0" w:color="auto"/>
      </w:divBdr>
    </w:div>
    <w:div w:id="390811414">
      <w:bodyDiv w:val="1"/>
      <w:marLeft w:val="0"/>
      <w:marRight w:val="0"/>
      <w:marTop w:val="0"/>
      <w:marBottom w:val="0"/>
      <w:divBdr>
        <w:top w:val="none" w:sz="0" w:space="0" w:color="auto"/>
        <w:left w:val="none" w:sz="0" w:space="0" w:color="auto"/>
        <w:bottom w:val="none" w:sz="0" w:space="0" w:color="auto"/>
        <w:right w:val="none" w:sz="0" w:space="0" w:color="auto"/>
      </w:divBdr>
    </w:div>
    <w:div w:id="469593361">
      <w:bodyDiv w:val="1"/>
      <w:marLeft w:val="0"/>
      <w:marRight w:val="0"/>
      <w:marTop w:val="0"/>
      <w:marBottom w:val="0"/>
      <w:divBdr>
        <w:top w:val="none" w:sz="0" w:space="0" w:color="auto"/>
        <w:left w:val="none" w:sz="0" w:space="0" w:color="auto"/>
        <w:bottom w:val="none" w:sz="0" w:space="0" w:color="auto"/>
        <w:right w:val="none" w:sz="0" w:space="0" w:color="auto"/>
      </w:divBdr>
    </w:div>
    <w:div w:id="487211961">
      <w:bodyDiv w:val="1"/>
      <w:marLeft w:val="0"/>
      <w:marRight w:val="0"/>
      <w:marTop w:val="0"/>
      <w:marBottom w:val="0"/>
      <w:divBdr>
        <w:top w:val="none" w:sz="0" w:space="0" w:color="auto"/>
        <w:left w:val="none" w:sz="0" w:space="0" w:color="auto"/>
        <w:bottom w:val="none" w:sz="0" w:space="0" w:color="auto"/>
        <w:right w:val="none" w:sz="0" w:space="0" w:color="auto"/>
      </w:divBdr>
    </w:div>
    <w:div w:id="515120071">
      <w:bodyDiv w:val="1"/>
      <w:marLeft w:val="0"/>
      <w:marRight w:val="0"/>
      <w:marTop w:val="0"/>
      <w:marBottom w:val="0"/>
      <w:divBdr>
        <w:top w:val="none" w:sz="0" w:space="0" w:color="auto"/>
        <w:left w:val="none" w:sz="0" w:space="0" w:color="auto"/>
        <w:bottom w:val="none" w:sz="0" w:space="0" w:color="auto"/>
        <w:right w:val="none" w:sz="0" w:space="0" w:color="auto"/>
      </w:divBdr>
    </w:div>
    <w:div w:id="566914257">
      <w:bodyDiv w:val="1"/>
      <w:marLeft w:val="0"/>
      <w:marRight w:val="0"/>
      <w:marTop w:val="0"/>
      <w:marBottom w:val="0"/>
      <w:divBdr>
        <w:top w:val="none" w:sz="0" w:space="0" w:color="auto"/>
        <w:left w:val="none" w:sz="0" w:space="0" w:color="auto"/>
        <w:bottom w:val="none" w:sz="0" w:space="0" w:color="auto"/>
        <w:right w:val="none" w:sz="0" w:space="0" w:color="auto"/>
      </w:divBdr>
    </w:div>
    <w:div w:id="570119579">
      <w:bodyDiv w:val="1"/>
      <w:marLeft w:val="0"/>
      <w:marRight w:val="0"/>
      <w:marTop w:val="0"/>
      <w:marBottom w:val="0"/>
      <w:divBdr>
        <w:top w:val="none" w:sz="0" w:space="0" w:color="auto"/>
        <w:left w:val="none" w:sz="0" w:space="0" w:color="auto"/>
        <w:bottom w:val="none" w:sz="0" w:space="0" w:color="auto"/>
        <w:right w:val="none" w:sz="0" w:space="0" w:color="auto"/>
      </w:divBdr>
    </w:div>
    <w:div w:id="688602053">
      <w:bodyDiv w:val="1"/>
      <w:marLeft w:val="0"/>
      <w:marRight w:val="0"/>
      <w:marTop w:val="0"/>
      <w:marBottom w:val="0"/>
      <w:divBdr>
        <w:top w:val="none" w:sz="0" w:space="0" w:color="auto"/>
        <w:left w:val="none" w:sz="0" w:space="0" w:color="auto"/>
        <w:bottom w:val="none" w:sz="0" w:space="0" w:color="auto"/>
        <w:right w:val="none" w:sz="0" w:space="0" w:color="auto"/>
      </w:divBdr>
    </w:div>
    <w:div w:id="712313787">
      <w:bodyDiv w:val="1"/>
      <w:marLeft w:val="0"/>
      <w:marRight w:val="0"/>
      <w:marTop w:val="0"/>
      <w:marBottom w:val="0"/>
      <w:divBdr>
        <w:top w:val="none" w:sz="0" w:space="0" w:color="auto"/>
        <w:left w:val="none" w:sz="0" w:space="0" w:color="auto"/>
        <w:bottom w:val="none" w:sz="0" w:space="0" w:color="auto"/>
        <w:right w:val="none" w:sz="0" w:space="0" w:color="auto"/>
      </w:divBdr>
    </w:div>
    <w:div w:id="720591959">
      <w:bodyDiv w:val="1"/>
      <w:marLeft w:val="0"/>
      <w:marRight w:val="0"/>
      <w:marTop w:val="0"/>
      <w:marBottom w:val="0"/>
      <w:divBdr>
        <w:top w:val="none" w:sz="0" w:space="0" w:color="auto"/>
        <w:left w:val="none" w:sz="0" w:space="0" w:color="auto"/>
        <w:bottom w:val="none" w:sz="0" w:space="0" w:color="auto"/>
        <w:right w:val="none" w:sz="0" w:space="0" w:color="auto"/>
      </w:divBdr>
    </w:div>
    <w:div w:id="788938768">
      <w:bodyDiv w:val="1"/>
      <w:marLeft w:val="0"/>
      <w:marRight w:val="0"/>
      <w:marTop w:val="0"/>
      <w:marBottom w:val="0"/>
      <w:divBdr>
        <w:top w:val="none" w:sz="0" w:space="0" w:color="auto"/>
        <w:left w:val="none" w:sz="0" w:space="0" w:color="auto"/>
        <w:bottom w:val="none" w:sz="0" w:space="0" w:color="auto"/>
        <w:right w:val="none" w:sz="0" w:space="0" w:color="auto"/>
      </w:divBdr>
      <w:divsChild>
        <w:div w:id="55057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9706">
              <w:marLeft w:val="0"/>
              <w:marRight w:val="0"/>
              <w:marTop w:val="0"/>
              <w:marBottom w:val="0"/>
              <w:divBdr>
                <w:top w:val="none" w:sz="0" w:space="0" w:color="auto"/>
                <w:left w:val="none" w:sz="0" w:space="0" w:color="auto"/>
                <w:bottom w:val="none" w:sz="0" w:space="0" w:color="auto"/>
                <w:right w:val="none" w:sz="0" w:space="0" w:color="auto"/>
              </w:divBdr>
              <w:divsChild>
                <w:div w:id="421142099">
                  <w:marLeft w:val="0"/>
                  <w:marRight w:val="0"/>
                  <w:marTop w:val="0"/>
                  <w:marBottom w:val="0"/>
                  <w:divBdr>
                    <w:top w:val="none" w:sz="0" w:space="0" w:color="auto"/>
                    <w:left w:val="none" w:sz="0" w:space="0" w:color="auto"/>
                    <w:bottom w:val="none" w:sz="0" w:space="0" w:color="auto"/>
                    <w:right w:val="none" w:sz="0" w:space="0" w:color="auto"/>
                  </w:divBdr>
                  <w:divsChild>
                    <w:div w:id="454761444">
                      <w:marLeft w:val="0"/>
                      <w:marRight w:val="0"/>
                      <w:marTop w:val="0"/>
                      <w:marBottom w:val="0"/>
                      <w:divBdr>
                        <w:top w:val="none" w:sz="0" w:space="0" w:color="auto"/>
                        <w:left w:val="none" w:sz="0" w:space="0" w:color="auto"/>
                        <w:bottom w:val="none" w:sz="0" w:space="0" w:color="auto"/>
                        <w:right w:val="none" w:sz="0" w:space="0" w:color="auto"/>
                      </w:divBdr>
                      <w:divsChild>
                        <w:div w:id="14155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4874251">
                              <w:marLeft w:val="0"/>
                              <w:marRight w:val="0"/>
                              <w:marTop w:val="0"/>
                              <w:marBottom w:val="0"/>
                              <w:divBdr>
                                <w:top w:val="none" w:sz="0" w:space="0" w:color="auto"/>
                                <w:left w:val="none" w:sz="0" w:space="0" w:color="auto"/>
                                <w:bottom w:val="none" w:sz="0" w:space="0" w:color="auto"/>
                                <w:right w:val="none" w:sz="0" w:space="0" w:color="auto"/>
                              </w:divBdr>
                              <w:divsChild>
                                <w:div w:id="20363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640223">
      <w:bodyDiv w:val="1"/>
      <w:marLeft w:val="0"/>
      <w:marRight w:val="0"/>
      <w:marTop w:val="0"/>
      <w:marBottom w:val="0"/>
      <w:divBdr>
        <w:top w:val="none" w:sz="0" w:space="0" w:color="auto"/>
        <w:left w:val="none" w:sz="0" w:space="0" w:color="auto"/>
        <w:bottom w:val="none" w:sz="0" w:space="0" w:color="auto"/>
        <w:right w:val="none" w:sz="0" w:space="0" w:color="auto"/>
      </w:divBdr>
    </w:div>
    <w:div w:id="1099791114">
      <w:bodyDiv w:val="1"/>
      <w:marLeft w:val="0"/>
      <w:marRight w:val="0"/>
      <w:marTop w:val="0"/>
      <w:marBottom w:val="0"/>
      <w:divBdr>
        <w:top w:val="none" w:sz="0" w:space="0" w:color="auto"/>
        <w:left w:val="none" w:sz="0" w:space="0" w:color="auto"/>
        <w:bottom w:val="none" w:sz="0" w:space="0" w:color="auto"/>
        <w:right w:val="none" w:sz="0" w:space="0" w:color="auto"/>
      </w:divBdr>
    </w:div>
    <w:div w:id="1207526846">
      <w:bodyDiv w:val="1"/>
      <w:marLeft w:val="0"/>
      <w:marRight w:val="0"/>
      <w:marTop w:val="0"/>
      <w:marBottom w:val="0"/>
      <w:divBdr>
        <w:top w:val="none" w:sz="0" w:space="0" w:color="auto"/>
        <w:left w:val="none" w:sz="0" w:space="0" w:color="auto"/>
        <w:bottom w:val="none" w:sz="0" w:space="0" w:color="auto"/>
        <w:right w:val="none" w:sz="0" w:space="0" w:color="auto"/>
      </w:divBdr>
    </w:div>
    <w:div w:id="1251624500">
      <w:bodyDiv w:val="1"/>
      <w:marLeft w:val="0"/>
      <w:marRight w:val="0"/>
      <w:marTop w:val="0"/>
      <w:marBottom w:val="0"/>
      <w:divBdr>
        <w:top w:val="none" w:sz="0" w:space="0" w:color="auto"/>
        <w:left w:val="none" w:sz="0" w:space="0" w:color="auto"/>
        <w:bottom w:val="none" w:sz="0" w:space="0" w:color="auto"/>
        <w:right w:val="none" w:sz="0" w:space="0" w:color="auto"/>
      </w:divBdr>
    </w:div>
    <w:div w:id="1264268061">
      <w:bodyDiv w:val="1"/>
      <w:marLeft w:val="0"/>
      <w:marRight w:val="0"/>
      <w:marTop w:val="0"/>
      <w:marBottom w:val="0"/>
      <w:divBdr>
        <w:top w:val="none" w:sz="0" w:space="0" w:color="auto"/>
        <w:left w:val="none" w:sz="0" w:space="0" w:color="auto"/>
        <w:bottom w:val="none" w:sz="0" w:space="0" w:color="auto"/>
        <w:right w:val="none" w:sz="0" w:space="0" w:color="auto"/>
      </w:divBdr>
    </w:div>
    <w:div w:id="1281835520">
      <w:bodyDiv w:val="1"/>
      <w:marLeft w:val="0"/>
      <w:marRight w:val="0"/>
      <w:marTop w:val="0"/>
      <w:marBottom w:val="0"/>
      <w:divBdr>
        <w:top w:val="none" w:sz="0" w:space="0" w:color="auto"/>
        <w:left w:val="none" w:sz="0" w:space="0" w:color="auto"/>
        <w:bottom w:val="none" w:sz="0" w:space="0" w:color="auto"/>
        <w:right w:val="none" w:sz="0" w:space="0" w:color="auto"/>
      </w:divBdr>
    </w:div>
    <w:div w:id="1443380697">
      <w:bodyDiv w:val="1"/>
      <w:marLeft w:val="0"/>
      <w:marRight w:val="0"/>
      <w:marTop w:val="0"/>
      <w:marBottom w:val="0"/>
      <w:divBdr>
        <w:top w:val="none" w:sz="0" w:space="0" w:color="auto"/>
        <w:left w:val="none" w:sz="0" w:space="0" w:color="auto"/>
        <w:bottom w:val="none" w:sz="0" w:space="0" w:color="auto"/>
        <w:right w:val="none" w:sz="0" w:space="0" w:color="auto"/>
      </w:divBdr>
    </w:div>
    <w:div w:id="1489135141">
      <w:bodyDiv w:val="1"/>
      <w:marLeft w:val="0"/>
      <w:marRight w:val="0"/>
      <w:marTop w:val="0"/>
      <w:marBottom w:val="0"/>
      <w:divBdr>
        <w:top w:val="none" w:sz="0" w:space="0" w:color="auto"/>
        <w:left w:val="none" w:sz="0" w:space="0" w:color="auto"/>
        <w:bottom w:val="none" w:sz="0" w:space="0" w:color="auto"/>
        <w:right w:val="none" w:sz="0" w:space="0" w:color="auto"/>
      </w:divBdr>
    </w:div>
    <w:div w:id="1537158355">
      <w:bodyDiv w:val="1"/>
      <w:marLeft w:val="0"/>
      <w:marRight w:val="0"/>
      <w:marTop w:val="0"/>
      <w:marBottom w:val="0"/>
      <w:divBdr>
        <w:top w:val="none" w:sz="0" w:space="0" w:color="auto"/>
        <w:left w:val="none" w:sz="0" w:space="0" w:color="auto"/>
        <w:bottom w:val="none" w:sz="0" w:space="0" w:color="auto"/>
        <w:right w:val="none" w:sz="0" w:space="0" w:color="auto"/>
      </w:divBdr>
    </w:div>
    <w:div w:id="1577206157">
      <w:bodyDiv w:val="1"/>
      <w:marLeft w:val="0"/>
      <w:marRight w:val="0"/>
      <w:marTop w:val="0"/>
      <w:marBottom w:val="0"/>
      <w:divBdr>
        <w:top w:val="none" w:sz="0" w:space="0" w:color="auto"/>
        <w:left w:val="none" w:sz="0" w:space="0" w:color="auto"/>
        <w:bottom w:val="none" w:sz="0" w:space="0" w:color="auto"/>
        <w:right w:val="none" w:sz="0" w:space="0" w:color="auto"/>
      </w:divBdr>
    </w:div>
    <w:div w:id="1624772542">
      <w:bodyDiv w:val="1"/>
      <w:marLeft w:val="0"/>
      <w:marRight w:val="0"/>
      <w:marTop w:val="0"/>
      <w:marBottom w:val="0"/>
      <w:divBdr>
        <w:top w:val="none" w:sz="0" w:space="0" w:color="auto"/>
        <w:left w:val="none" w:sz="0" w:space="0" w:color="auto"/>
        <w:bottom w:val="none" w:sz="0" w:space="0" w:color="auto"/>
        <w:right w:val="none" w:sz="0" w:space="0" w:color="auto"/>
      </w:divBdr>
    </w:div>
    <w:div w:id="1648127450">
      <w:bodyDiv w:val="1"/>
      <w:marLeft w:val="0"/>
      <w:marRight w:val="0"/>
      <w:marTop w:val="0"/>
      <w:marBottom w:val="0"/>
      <w:divBdr>
        <w:top w:val="none" w:sz="0" w:space="0" w:color="auto"/>
        <w:left w:val="none" w:sz="0" w:space="0" w:color="auto"/>
        <w:bottom w:val="none" w:sz="0" w:space="0" w:color="auto"/>
        <w:right w:val="none" w:sz="0" w:space="0" w:color="auto"/>
      </w:divBdr>
      <w:divsChild>
        <w:div w:id="1175731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248387">
              <w:marLeft w:val="0"/>
              <w:marRight w:val="0"/>
              <w:marTop w:val="0"/>
              <w:marBottom w:val="0"/>
              <w:divBdr>
                <w:top w:val="none" w:sz="0" w:space="0" w:color="auto"/>
                <w:left w:val="none" w:sz="0" w:space="0" w:color="auto"/>
                <w:bottom w:val="none" w:sz="0" w:space="0" w:color="auto"/>
                <w:right w:val="none" w:sz="0" w:space="0" w:color="auto"/>
              </w:divBdr>
              <w:divsChild>
                <w:div w:id="1497768770">
                  <w:marLeft w:val="0"/>
                  <w:marRight w:val="0"/>
                  <w:marTop w:val="0"/>
                  <w:marBottom w:val="0"/>
                  <w:divBdr>
                    <w:top w:val="none" w:sz="0" w:space="0" w:color="auto"/>
                    <w:left w:val="none" w:sz="0" w:space="0" w:color="auto"/>
                    <w:bottom w:val="none" w:sz="0" w:space="0" w:color="auto"/>
                    <w:right w:val="none" w:sz="0" w:space="0" w:color="auto"/>
                  </w:divBdr>
                  <w:divsChild>
                    <w:div w:id="1925068596">
                      <w:marLeft w:val="0"/>
                      <w:marRight w:val="0"/>
                      <w:marTop w:val="0"/>
                      <w:marBottom w:val="0"/>
                      <w:divBdr>
                        <w:top w:val="none" w:sz="0" w:space="0" w:color="auto"/>
                        <w:left w:val="none" w:sz="0" w:space="0" w:color="auto"/>
                        <w:bottom w:val="none" w:sz="0" w:space="0" w:color="auto"/>
                        <w:right w:val="none" w:sz="0" w:space="0" w:color="auto"/>
                      </w:divBdr>
                      <w:divsChild>
                        <w:div w:id="20652524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1909366">
                              <w:marLeft w:val="0"/>
                              <w:marRight w:val="0"/>
                              <w:marTop w:val="0"/>
                              <w:marBottom w:val="0"/>
                              <w:divBdr>
                                <w:top w:val="none" w:sz="0" w:space="0" w:color="auto"/>
                                <w:left w:val="none" w:sz="0" w:space="0" w:color="auto"/>
                                <w:bottom w:val="none" w:sz="0" w:space="0" w:color="auto"/>
                                <w:right w:val="none" w:sz="0" w:space="0" w:color="auto"/>
                              </w:divBdr>
                              <w:divsChild>
                                <w:div w:id="12493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180911">
      <w:bodyDiv w:val="1"/>
      <w:marLeft w:val="0"/>
      <w:marRight w:val="0"/>
      <w:marTop w:val="0"/>
      <w:marBottom w:val="0"/>
      <w:divBdr>
        <w:top w:val="none" w:sz="0" w:space="0" w:color="auto"/>
        <w:left w:val="none" w:sz="0" w:space="0" w:color="auto"/>
        <w:bottom w:val="none" w:sz="0" w:space="0" w:color="auto"/>
        <w:right w:val="none" w:sz="0" w:space="0" w:color="auto"/>
      </w:divBdr>
    </w:div>
    <w:div w:id="1722093280">
      <w:bodyDiv w:val="1"/>
      <w:marLeft w:val="0"/>
      <w:marRight w:val="0"/>
      <w:marTop w:val="0"/>
      <w:marBottom w:val="0"/>
      <w:divBdr>
        <w:top w:val="none" w:sz="0" w:space="0" w:color="auto"/>
        <w:left w:val="none" w:sz="0" w:space="0" w:color="auto"/>
        <w:bottom w:val="none" w:sz="0" w:space="0" w:color="auto"/>
        <w:right w:val="none" w:sz="0" w:space="0" w:color="auto"/>
      </w:divBdr>
    </w:div>
    <w:div w:id="1823548035">
      <w:bodyDiv w:val="1"/>
      <w:marLeft w:val="0"/>
      <w:marRight w:val="0"/>
      <w:marTop w:val="0"/>
      <w:marBottom w:val="0"/>
      <w:divBdr>
        <w:top w:val="none" w:sz="0" w:space="0" w:color="auto"/>
        <w:left w:val="none" w:sz="0" w:space="0" w:color="auto"/>
        <w:bottom w:val="none" w:sz="0" w:space="0" w:color="auto"/>
        <w:right w:val="none" w:sz="0" w:space="0" w:color="auto"/>
      </w:divBdr>
    </w:div>
    <w:div w:id="1831142761">
      <w:bodyDiv w:val="1"/>
      <w:marLeft w:val="0"/>
      <w:marRight w:val="0"/>
      <w:marTop w:val="0"/>
      <w:marBottom w:val="0"/>
      <w:divBdr>
        <w:top w:val="none" w:sz="0" w:space="0" w:color="auto"/>
        <w:left w:val="none" w:sz="0" w:space="0" w:color="auto"/>
        <w:bottom w:val="none" w:sz="0" w:space="0" w:color="auto"/>
        <w:right w:val="none" w:sz="0" w:space="0" w:color="auto"/>
      </w:divBdr>
    </w:div>
    <w:div w:id="21159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BE20-83E3-C442-85D4-2F9292A8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4860</Words>
  <Characters>27708</Characters>
  <Application>Microsoft Office Word</Application>
  <DocSecurity>0</DocSecurity>
  <Lines>230</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Betzler</dc:creator>
  <cp:keywords/>
  <dc:description/>
  <cp:lastModifiedBy>Carlos Pavesio</cp:lastModifiedBy>
  <cp:revision>2</cp:revision>
  <dcterms:created xsi:type="dcterms:W3CDTF">2020-11-26T16:32:00Z</dcterms:created>
  <dcterms:modified xsi:type="dcterms:W3CDTF">2020-11-26T16:32:00Z</dcterms:modified>
</cp:coreProperties>
</file>