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75" w:rsidRDefault="00D43675" w:rsidP="00D43675">
      <w:pPr>
        <w:ind w:right="22"/>
        <w:jc w:val="both"/>
        <w:rPr>
          <w:rFonts w:ascii="Times" w:hAnsi="Times"/>
          <w:sz w:val="22"/>
          <w:szCs w:val="22"/>
        </w:rPr>
      </w:pPr>
      <w:r w:rsidRPr="008824F2">
        <w:rPr>
          <w:rFonts w:ascii="Times" w:hAnsi="Times"/>
          <w:sz w:val="22"/>
          <w:szCs w:val="22"/>
        </w:rPr>
        <w:t xml:space="preserve">Table </w:t>
      </w:r>
      <w:r w:rsidR="00A22478">
        <w:rPr>
          <w:rFonts w:ascii="Times" w:hAnsi="Times"/>
          <w:sz w:val="22"/>
          <w:szCs w:val="22"/>
        </w:rPr>
        <w:t>1</w:t>
      </w:r>
      <w:bookmarkStart w:id="0" w:name="_GoBack"/>
      <w:bookmarkEnd w:id="0"/>
      <w:r w:rsidRPr="008824F2">
        <w:rPr>
          <w:rFonts w:ascii="Times" w:hAnsi="Times"/>
          <w:sz w:val="22"/>
          <w:szCs w:val="22"/>
        </w:rPr>
        <w:t xml:space="preserve">: Neutralizing activity of sequential serum samples against autologous envelope was modest </w:t>
      </w:r>
    </w:p>
    <w:tbl>
      <w:tblPr>
        <w:tblW w:w="0" w:type="auto"/>
        <w:tblInd w:w="95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211"/>
        <w:gridCol w:w="684"/>
        <w:gridCol w:w="608"/>
        <w:gridCol w:w="593"/>
        <w:gridCol w:w="608"/>
        <w:gridCol w:w="708"/>
        <w:gridCol w:w="708"/>
        <w:gridCol w:w="981"/>
      </w:tblGrid>
      <w:tr w:rsidR="00D43675" w:rsidRPr="00BF3E91" w:rsidTr="002351F2">
        <w:trPr>
          <w:trHeight w:val="300"/>
        </w:trPr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Day post-transplant 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-360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>76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3675" w:rsidRPr="00BF3E91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control </w:t>
            </w:r>
            <w:r w:rsidRPr="008824F2">
              <w:rPr>
                <w:rFonts w:ascii="Times" w:hAnsi="Times"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D43675" w:rsidRPr="00D427EE" w:rsidTr="002351F2">
        <w:trPr>
          <w:trHeight w:val="300"/>
        </w:trPr>
        <w:tc>
          <w:tcPr>
            <w:tcW w:w="2211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i/>
                <w:i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Autologous </w:t>
            </w:r>
            <w:proofErr w:type="spellStart"/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Env</w:t>
            </w:r>
            <w:proofErr w:type="spellEnd"/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: </w:t>
            </w:r>
            <w:r w:rsidRPr="008824F2">
              <w:rPr>
                <w:rFonts w:ascii="Times" w:hAnsi="Times"/>
                <w:i/>
                <w:iCs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684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6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593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6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981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</w:tr>
      <w:tr w:rsidR="00D43675" w:rsidRPr="00D427EE" w:rsidTr="002351F2">
        <w:trPr>
          <w:trHeight w:val="30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A10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  <w:r w:rsidRPr="008824F2">
              <w:rPr>
                <w:rFonts w:ascii="Times" w:hAnsi="Times"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129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B9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54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91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C1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158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23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D2A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104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138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21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300"/>
        </w:trPr>
        <w:tc>
          <w:tcPr>
            <w:tcW w:w="2211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i/>
                <w:iCs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Heterologous </w:t>
            </w:r>
            <w:proofErr w:type="spellStart"/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>Env</w:t>
            </w:r>
            <w:proofErr w:type="spellEnd"/>
            <w:r w:rsidRPr="008824F2">
              <w:rPr>
                <w:rFonts w:ascii="Times" w:hAnsi="Times"/>
                <w:i/>
                <w:iCs/>
                <w:sz w:val="20"/>
                <w:szCs w:val="20"/>
                <w:lang w:val="en-GB"/>
              </w:rPr>
              <w:t xml:space="preserve">: </w:t>
            </w:r>
            <w:r w:rsidRPr="008824F2">
              <w:rPr>
                <w:rFonts w:ascii="Times" w:hAnsi="Times"/>
                <w:i/>
                <w:iCs/>
                <w:sz w:val="20"/>
                <w:szCs w:val="20"/>
                <w:vertAlign w:val="superscript"/>
                <w:lang w:val="en-GB"/>
              </w:rPr>
              <w:t>e</w:t>
            </w:r>
          </w:p>
        </w:tc>
        <w:tc>
          <w:tcPr>
            <w:tcW w:w="684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6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593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6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  <w:tc>
          <w:tcPr>
            <w:tcW w:w="981" w:type="dxa"/>
            <w:shd w:val="clear" w:color="auto" w:fill="F2F2F2" w:themeFill="background1" w:themeFillShade="F2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 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ZM233M.PB6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82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93MW965.26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129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60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162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391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1488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1232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  <w:tr w:rsidR="00D43675" w:rsidRPr="00D427EE" w:rsidTr="002351F2">
        <w:trPr>
          <w:trHeight w:val="260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VSV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47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3675" w:rsidRPr="00D427EE" w:rsidRDefault="00D43675" w:rsidP="002351F2">
            <w:pPr>
              <w:spacing w:before="2" w:after="2"/>
              <w:ind w:right="22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824F2">
              <w:rPr>
                <w:rFonts w:ascii="Times" w:hAnsi="Times"/>
                <w:sz w:val="20"/>
                <w:szCs w:val="20"/>
                <w:lang w:val="en-GB"/>
              </w:rPr>
              <w:t>&lt;20</w:t>
            </w:r>
          </w:p>
        </w:tc>
      </w:tr>
    </w:tbl>
    <w:p w:rsidR="00D43675" w:rsidRPr="00B836B7" w:rsidRDefault="00D43675" w:rsidP="00D43675">
      <w:pPr>
        <w:ind w:right="22"/>
        <w:jc w:val="both"/>
        <w:rPr>
          <w:rFonts w:ascii="Times" w:hAnsi="Times"/>
          <w:sz w:val="18"/>
          <w:szCs w:val="18"/>
        </w:rPr>
      </w:pPr>
      <w:proofErr w:type="gramStart"/>
      <w:r w:rsidRPr="008824F2">
        <w:rPr>
          <w:rFonts w:ascii="Times" w:hAnsi="Times"/>
          <w:i/>
          <w:sz w:val="20"/>
          <w:szCs w:val="20"/>
          <w:vertAlign w:val="superscript"/>
        </w:rPr>
        <w:t>a</w:t>
      </w:r>
      <w:proofErr w:type="gramEnd"/>
      <w:r w:rsidRPr="008824F2">
        <w:rPr>
          <w:rFonts w:ascii="Times" w:hAnsi="Times"/>
          <w:i/>
          <w:sz w:val="20"/>
          <w:szCs w:val="20"/>
          <w:vertAlign w:val="superscript"/>
        </w:rPr>
        <w:t xml:space="preserve"> </w:t>
      </w:r>
      <w:proofErr w:type="spellStart"/>
      <w:r w:rsidRPr="008824F2">
        <w:rPr>
          <w:rFonts w:ascii="Times" w:hAnsi="Times"/>
          <w:sz w:val="20"/>
          <w:szCs w:val="20"/>
        </w:rPr>
        <w:t>Titres</w:t>
      </w:r>
      <w:proofErr w:type="spellEnd"/>
      <w:r w:rsidRPr="008824F2">
        <w:rPr>
          <w:rFonts w:ascii="Times" w:hAnsi="Times"/>
          <w:sz w:val="20"/>
          <w:szCs w:val="20"/>
        </w:rPr>
        <w:t xml:space="preserve"> are expressed as the reciprocal dilution of serum required to reduce infectivity by ≥50% (IC</w:t>
      </w:r>
      <w:r w:rsidRPr="008824F2">
        <w:rPr>
          <w:rFonts w:ascii="Times" w:hAnsi="Times"/>
          <w:sz w:val="20"/>
          <w:szCs w:val="20"/>
          <w:vertAlign w:val="subscript"/>
        </w:rPr>
        <w:t>50</w:t>
      </w:r>
      <w:r w:rsidRPr="008824F2">
        <w:rPr>
          <w:rFonts w:ascii="Times" w:hAnsi="Times"/>
          <w:sz w:val="20"/>
          <w:szCs w:val="20"/>
        </w:rPr>
        <w:t xml:space="preserve">). </w:t>
      </w:r>
      <w:proofErr w:type="gramStart"/>
      <w:r w:rsidRPr="008824F2">
        <w:rPr>
          <w:rFonts w:ascii="Times" w:hAnsi="Times"/>
          <w:i/>
          <w:sz w:val="20"/>
          <w:szCs w:val="20"/>
          <w:vertAlign w:val="superscript"/>
        </w:rPr>
        <w:t>b</w:t>
      </w:r>
      <w:proofErr w:type="gramEnd"/>
      <w:r w:rsidRPr="008824F2">
        <w:rPr>
          <w:rFonts w:ascii="Times" w:hAnsi="Times"/>
          <w:i/>
          <w:sz w:val="20"/>
          <w:szCs w:val="20"/>
          <w:vertAlign w:val="superscript"/>
        </w:rPr>
        <w:t xml:space="preserve"> </w:t>
      </w:r>
      <w:r w:rsidRPr="008824F2">
        <w:rPr>
          <w:rFonts w:ascii="Times" w:hAnsi="Times"/>
          <w:sz w:val="20"/>
          <w:szCs w:val="20"/>
        </w:rPr>
        <w:t>pooled Normal (HIV-</w:t>
      </w:r>
      <w:proofErr w:type="spellStart"/>
      <w:r w:rsidRPr="008824F2">
        <w:rPr>
          <w:rFonts w:ascii="Times" w:hAnsi="Times"/>
          <w:sz w:val="20"/>
          <w:szCs w:val="20"/>
        </w:rPr>
        <w:t>seronegative</w:t>
      </w:r>
      <w:proofErr w:type="spellEnd"/>
      <w:r w:rsidRPr="008824F2">
        <w:rPr>
          <w:rFonts w:ascii="Times" w:hAnsi="Times"/>
          <w:sz w:val="20"/>
          <w:szCs w:val="20"/>
        </w:rPr>
        <w:t xml:space="preserve">) Human Sera. </w:t>
      </w:r>
      <w:proofErr w:type="gramStart"/>
      <w:r w:rsidRPr="008824F2">
        <w:rPr>
          <w:rFonts w:ascii="Times" w:hAnsi="Times"/>
          <w:i/>
          <w:sz w:val="20"/>
          <w:szCs w:val="20"/>
          <w:vertAlign w:val="superscript"/>
        </w:rPr>
        <w:t>c</w:t>
      </w:r>
      <w:proofErr w:type="gramEnd"/>
      <w:r w:rsidRPr="008824F2">
        <w:rPr>
          <w:rFonts w:ascii="Times" w:hAnsi="Times"/>
          <w:i/>
          <w:sz w:val="20"/>
          <w:szCs w:val="20"/>
          <w:vertAlign w:val="superscript"/>
        </w:rPr>
        <w:t xml:space="preserve"> </w:t>
      </w:r>
      <w:r w:rsidRPr="008824F2">
        <w:rPr>
          <w:rFonts w:ascii="Times" w:hAnsi="Times"/>
          <w:sz w:val="20"/>
          <w:szCs w:val="20"/>
        </w:rPr>
        <w:t xml:space="preserve">The autologous </w:t>
      </w:r>
      <w:proofErr w:type="spellStart"/>
      <w:r w:rsidRPr="008824F2">
        <w:rPr>
          <w:rFonts w:ascii="Times" w:hAnsi="Times"/>
          <w:i/>
          <w:sz w:val="20"/>
          <w:szCs w:val="20"/>
        </w:rPr>
        <w:t>envs</w:t>
      </w:r>
      <w:proofErr w:type="spellEnd"/>
      <w:r w:rsidRPr="008824F2">
        <w:rPr>
          <w:rFonts w:ascii="Times" w:hAnsi="Times"/>
          <w:sz w:val="20"/>
          <w:szCs w:val="20"/>
        </w:rPr>
        <w:t xml:space="preserve"> were cloned from peak-</w:t>
      </w:r>
      <w:proofErr w:type="spellStart"/>
      <w:r w:rsidRPr="008824F2">
        <w:rPr>
          <w:rFonts w:ascii="Times" w:hAnsi="Times"/>
          <w:sz w:val="20"/>
          <w:szCs w:val="20"/>
        </w:rPr>
        <w:t>vireamia</w:t>
      </w:r>
      <w:proofErr w:type="spellEnd"/>
      <w:r w:rsidRPr="008824F2">
        <w:rPr>
          <w:rFonts w:ascii="Times" w:hAnsi="Times"/>
          <w:sz w:val="20"/>
          <w:szCs w:val="20"/>
        </w:rPr>
        <w:t xml:space="preserve"> (day +13). </w:t>
      </w:r>
      <w:r w:rsidRPr="008824F2">
        <w:rPr>
          <w:rFonts w:ascii="Times" w:hAnsi="Times"/>
          <w:i/>
          <w:sz w:val="20"/>
          <w:szCs w:val="20"/>
          <w:vertAlign w:val="superscript"/>
        </w:rPr>
        <w:t xml:space="preserve">d </w:t>
      </w:r>
      <w:r w:rsidRPr="008824F2">
        <w:rPr>
          <w:rFonts w:ascii="Times" w:hAnsi="Times"/>
          <w:sz w:val="20"/>
          <w:szCs w:val="20"/>
        </w:rPr>
        <w:t xml:space="preserve">&lt;20, less than 50% reduction of infection </w:t>
      </w:r>
      <w:r w:rsidRPr="000B1F01">
        <w:rPr>
          <w:rFonts w:ascii="Times" w:hAnsi="Times"/>
          <w:sz w:val="20"/>
          <w:szCs w:val="20"/>
        </w:rPr>
        <w:t xml:space="preserve">was observed with the highest serum input assayed (1:20 dilution). </w:t>
      </w:r>
      <w:proofErr w:type="gramStart"/>
      <w:r w:rsidRPr="000B1F01">
        <w:rPr>
          <w:rFonts w:ascii="Times" w:hAnsi="Times"/>
          <w:i/>
          <w:sz w:val="20"/>
          <w:szCs w:val="20"/>
          <w:vertAlign w:val="superscript"/>
        </w:rPr>
        <w:t>e</w:t>
      </w:r>
      <w:proofErr w:type="gramEnd"/>
      <w:r w:rsidRPr="000B1F01">
        <w:rPr>
          <w:rFonts w:ascii="Times" w:hAnsi="Times"/>
          <w:i/>
          <w:sz w:val="20"/>
          <w:szCs w:val="20"/>
          <w:vertAlign w:val="superscript"/>
        </w:rPr>
        <w:t xml:space="preserve"> </w:t>
      </w:r>
      <w:r w:rsidRPr="000B1F01">
        <w:rPr>
          <w:rFonts w:ascii="Times" w:hAnsi="Times"/>
          <w:sz w:val="20"/>
          <w:szCs w:val="20"/>
        </w:rPr>
        <w:t xml:space="preserve">ZM233M.PB6, tier 2 clade C </w:t>
      </w:r>
      <w:proofErr w:type="spellStart"/>
      <w:r w:rsidRPr="000B1F01">
        <w:rPr>
          <w:rFonts w:ascii="Times" w:hAnsi="Times"/>
          <w:sz w:val="20"/>
          <w:szCs w:val="20"/>
        </w:rPr>
        <w:t>Env</w:t>
      </w:r>
      <w:proofErr w:type="spellEnd"/>
      <w:r w:rsidRPr="000B1F01">
        <w:rPr>
          <w:rFonts w:ascii="Times" w:hAnsi="Times"/>
          <w:sz w:val="20"/>
          <w:szCs w:val="20"/>
        </w:rPr>
        <w:t xml:space="preserve">; 93MW965.26, tier 1 clade C </w:t>
      </w:r>
      <w:proofErr w:type="spellStart"/>
      <w:r w:rsidRPr="000B1F01">
        <w:rPr>
          <w:rFonts w:ascii="Times" w:hAnsi="Times"/>
          <w:sz w:val="20"/>
          <w:szCs w:val="20"/>
        </w:rPr>
        <w:t>Env</w:t>
      </w:r>
      <w:proofErr w:type="spellEnd"/>
      <w:r w:rsidRPr="000B1F01">
        <w:rPr>
          <w:rFonts w:ascii="Times" w:hAnsi="Times"/>
          <w:sz w:val="20"/>
          <w:szCs w:val="20"/>
        </w:rPr>
        <w:t>; VSV, Vesicular Stomatitis Virus envelope glycoprotein</w:t>
      </w:r>
      <w:r w:rsidRPr="000B1F01">
        <w:rPr>
          <w:rFonts w:ascii="Times" w:hAnsi="Times"/>
          <w:sz w:val="18"/>
          <w:szCs w:val="18"/>
        </w:rPr>
        <w:t>.</w:t>
      </w:r>
    </w:p>
    <w:p w:rsidR="00D43675" w:rsidRPr="003E18B9" w:rsidRDefault="00D43675" w:rsidP="00D43675">
      <w:pPr>
        <w:spacing w:line="360" w:lineRule="auto"/>
        <w:ind w:right="22"/>
        <w:jc w:val="both"/>
        <w:rPr>
          <w:rFonts w:ascii="Times" w:hAnsi="Times"/>
        </w:rPr>
      </w:pPr>
    </w:p>
    <w:p w:rsidR="00D43675" w:rsidRDefault="00D43675" w:rsidP="00D43675">
      <w:pPr>
        <w:ind w:right="22"/>
        <w:rPr>
          <w:rFonts w:ascii="Times" w:hAnsi="Times"/>
        </w:rPr>
      </w:pPr>
    </w:p>
    <w:p w:rsidR="00D43675" w:rsidRDefault="00D43675" w:rsidP="00D43675">
      <w:pPr>
        <w:ind w:right="22"/>
        <w:rPr>
          <w:rFonts w:ascii="Times" w:hAnsi="Times"/>
        </w:rPr>
      </w:pPr>
    </w:p>
    <w:p w:rsidR="00D43675" w:rsidRDefault="00D43675" w:rsidP="00D43675">
      <w:pPr>
        <w:ind w:right="22"/>
        <w:rPr>
          <w:rFonts w:ascii="Times" w:hAnsi="Times"/>
        </w:rPr>
      </w:pPr>
    </w:p>
    <w:p w:rsidR="00CF5890" w:rsidRDefault="00CF5890"/>
    <w:sectPr w:rsidR="00CF5890" w:rsidSect="00CF58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75"/>
    <w:rsid w:val="00A22478"/>
    <w:rsid w:val="00CF5890"/>
    <w:rsid w:val="00D43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Gupta</dc:creator>
  <cp:keywords/>
  <dc:description/>
  <cp:lastModifiedBy>Kumar M.</cp:lastModifiedBy>
  <cp:revision>2</cp:revision>
  <dcterms:created xsi:type="dcterms:W3CDTF">2014-11-14T15:13:00Z</dcterms:created>
  <dcterms:modified xsi:type="dcterms:W3CDTF">2015-03-16T10:03:00Z</dcterms:modified>
</cp:coreProperties>
</file>