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E6" w:rsidRPr="00D87BB8" w:rsidRDefault="00C219E6" w:rsidP="00C219E6">
      <w:pPr>
        <w:spacing w:after="0" w:line="360" w:lineRule="auto"/>
        <w:jc w:val="both"/>
        <w:rPr>
          <w:rFonts w:ascii="Times New Roman" w:hAnsi="Times New Roman"/>
          <w:b/>
          <w:color w:val="000000"/>
          <w:sz w:val="24"/>
          <w:szCs w:val="24"/>
          <w:shd w:val="clear" w:color="auto" w:fill="FFFFFF"/>
          <w:lang w:val="en-US"/>
        </w:rPr>
      </w:pPr>
    </w:p>
    <w:p w:rsidR="00C219E6" w:rsidRPr="00D87BB8" w:rsidRDefault="00C219E6" w:rsidP="00C219E6">
      <w:pPr>
        <w:spacing w:after="0" w:line="360" w:lineRule="auto"/>
        <w:jc w:val="both"/>
        <w:rPr>
          <w:rFonts w:ascii="Times New Roman" w:hAnsi="Times New Roman"/>
          <w:b/>
          <w:color w:val="000000"/>
          <w:sz w:val="24"/>
          <w:szCs w:val="24"/>
          <w:shd w:val="clear" w:color="auto" w:fill="FFFFFF"/>
          <w:lang w:val="en-US"/>
        </w:rPr>
      </w:pPr>
    </w:p>
    <w:p w:rsidR="00C219E6" w:rsidRPr="00D87BB8" w:rsidRDefault="00C219E6" w:rsidP="00C219E6">
      <w:pPr>
        <w:spacing w:after="0" w:line="360" w:lineRule="auto"/>
        <w:jc w:val="both"/>
        <w:rPr>
          <w:rFonts w:ascii="Times New Roman" w:hAnsi="Times New Roman"/>
          <w:b/>
          <w:color w:val="000000"/>
          <w:sz w:val="24"/>
          <w:szCs w:val="24"/>
          <w:shd w:val="clear" w:color="auto" w:fill="FFFFFF"/>
          <w:lang w:val="en-US"/>
        </w:rPr>
      </w:pPr>
    </w:p>
    <w:p w:rsidR="00C219E6" w:rsidRPr="00D87BB8" w:rsidRDefault="00C219E6" w:rsidP="00C219E6">
      <w:pPr>
        <w:spacing w:after="0" w:line="360" w:lineRule="auto"/>
        <w:jc w:val="both"/>
        <w:rPr>
          <w:rFonts w:ascii="Times New Roman" w:hAnsi="Times New Roman"/>
          <w:b/>
          <w:color w:val="000000"/>
          <w:sz w:val="24"/>
          <w:szCs w:val="24"/>
          <w:shd w:val="clear" w:color="auto" w:fill="FFFFFF"/>
          <w:lang w:val="en-US"/>
        </w:rPr>
      </w:pPr>
    </w:p>
    <w:p w:rsidR="00C219E6" w:rsidRPr="00D87BB8" w:rsidRDefault="00C219E6" w:rsidP="00D87BB8">
      <w:pPr>
        <w:spacing w:after="0" w:line="240" w:lineRule="auto"/>
        <w:jc w:val="both"/>
        <w:rPr>
          <w:rFonts w:ascii="Times New Roman" w:hAnsi="Times New Roman"/>
          <w:b/>
          <w:color w:val="000000"/>
          <w:sz w:val="24"/>
          <w:szCs w:val="24"/>
          <w:shd w:val="clear" w:color="auto" w:fill="FFFFFF"/>
          <w:lang w:val="en-US"/>
        </w:rPr>
      </w:pPr>
    </w:p>
    <w:p w:rsidR="00C219E6" w:rsidRPr="00D87BB8" w:rsidRDefault="00C219E6" w:rsidP="00D87BB8">
      <w:pPr>
        <w:spacing w:after="0" w:line="240" w:lineRule="auto"/>
        <w:jc w:val="center"/>
        <w:rPr>
          <w:rFonts w:ascii="Times New Roman" w:hAnsi="Times New Roman"/>
          <w:b/>
          <w:color w:val="000000"/>
          <w:sz w:val="24"/>
          <w:szCs w:val="24"/>
          <w:shd w:val="clear" w:color="auto" w:fill="FFFFFF"/>
          <w:lang w:val="en-US"/>
        </w:rPr>
      </w:pPr>
      <w:r w:rsidRPr="00D87BB8">
        <w:rPr>
          <w:rFonts w:ascii="Times New Roman" w:hAnsi="Times New Roman"/>
          <w:b/>
          <w:color w:val="000000"/>
          <w:sz w:val="24"/>
          <w:szCs w:val="24"/>
          <w:shd w:val="clear" w:color="auto" w:fill="FFFFFF"/>
          <w:lang w:val="en-US"/>
        </w:rPr>
        <w:t xml:space="preserve">Who gets the Top Jobs? The role of family background and </w:t>
      </w:r>
      <w:r w:rsidR="00D87BB8" w:rsidRPr="00D87BB8">
        <w:rPr>
          <w:rFonts w:ascii="Times New Roman" w:hAnsi="Times New Roman"/>
          <w:b/>
          <w:color w:val="000000"/>
          <w:sz w:val="24"/>
          <w:szCs w:val="24"/>
          <w:shd w:val="clear" w:color="auto" w:fill="FFFFFF"/>
          <w:lang w:val="en-US"/>
        </w:rPr>
        <w:t xml:space="preserve">networks in recent graduates’ access to </w:t>
      </w:r>
      <w:r w:rsidR="006B51B7">
        <w:rPr>
          <w:rFonts w:ascii="Times New Roman" w:hAnsi="Times New Roman"/>
          <w:b/>
          <w:color w:val="000000"/>
          <w:sz w:val="24"/>
          <w:szCs w:val="24"/>
          <w:shd w:val="clear" w:color="auto" w:fill="FFFFFF"/>
          <w:lang w:val="en-US"/>
        </w:rPr>
        <w:t>high status</w:t>
      </w:r>
      <w:r w:rsidR="006B51B7" w:rsidRPr="00D87BB8">
        <w:rPr>
          <w:rFonts w:ascii="Times New Roman" w:hAnsi="Times New Roman"/>
          <w:b/>
          <w:color w:val="000000"/>
          <w:sz w:val="24"/>
          <w:szCs w:val="24"/>
          <w:shd w:val="clear" w:color="auto" w:fill="FFFFFF"/>
          <w:lang w:val="en-US"/>
        </w:rPr>
        <w:t xml:space="preserve"> </w:t>
      </w:r>
      <w:r w:rsidR="00D87BB8" w:rsidRPr="00D87BB8">
        <w:rPr>
          <w:rFonts w:ascii="Times New Roman" w:hAnsi="Times New Roman"/>
          <w:b/>
          <w:color w:val="000000"/>
          <w:sz w:val="24"/>
          <w:szCs w:val="24"/>
          <w:shd w:val="clear" w:color="auto" w:fill="FFFFFF"/>
          <w:lang w:val="en-US"/>
        </w:rPr>
        <w:t>professions</w:t>
      </w:r>
    </w:p>
    <w:p w:rsidR="00C219E6" w:rsidRPr="00D87BB8" w:rsidRDefault="00C219E6" w:rsidP="00D87BB8">
      <w:pPr>
        <w:spacing w:after="0" w:line="240" w:lineRule="auto"/>
        <w:jc w:val="center"/>
        <w:rPr>
          <w:rFonts w:ascii="Times New Roman" w:hAnsi="Times New Roman"/>
          <w:b/>
          <w:color w:val="000000"/>
          <w:sz w:val="24"/>
          <w:szCs w:val="24"/>
          <w:shd w:val="clear" w:color="auto" w:fill="FFFFFF"/>
          <w:lang w:val="en-US"/>
        </w:rPr>
      </w:pPr>
    </w:p>
    <w:p w:rsidR="00C219E6" w:rsidRPr="00D87BB8" w:rsidRDefault="00C219E6" w:rsidP="00D87BB8">
      <w:pPr>
        <w:spacing w:after="0" w:line="240" w:lineRule="auto"/>
        <w:jc w:val="center"/>
        <w:rPr>
          <w:rFonts w:ascii="Times New Roman" w:hAnsi="Times New Roman"/>
          <w:color w:val="000000"/>
          <w:sz w:val="24"/>
          <w:szCs w:val="24"/>
          <w:shd w:val="clear" w:color="auto" w:fill="FFFFFF"/>
          <w:lang w:val="en-US"/>
        </w:rPr>
      </w:pPr>
      <w:r w:rsidRPr="00D87BB8">
        <w:rPr>
          <w:rFonts w:ascii="Times New Roman" w:hAnsi="Times New Roman"/>
          <w:color w:val="000000"/>
          <w:sz w:val="24"/>
          <w:szCs w:val="24"/>
          <w:shd w:val="clear" w:color="auto" w:fill="FFFFFF"/>
          <w:lang w:val="en-US"/>
        </w:rPr>
        <w:t>Lindsey Macmillan*, Claire Tyler* and Anna Vignoles**</w:t>
      </w:r>
    </w:p>
    <w:p w:rsidR="00C219E6" w:rsidRPr="00D87BB8" w:rsidRDefault="00C219E6" w:rsidP="00D87BB8">
      <w:pPr>
        <w:spacing w:after="0" w:line="240" w:lineRule="auto"/>
        <w:jc w:val="center"/>
        <w:rPr>
          <w:rFonts w:ascii="Times New Roman" w:hAnsi="Times New Roman"/>
          <w:color w:val="000000"/>
          <w:sz w:val="24"/>
          <w:szCs w:val="24"/>
          <w:shd w:val="clear" w:color="auto" w:fill="FFFFFF"/>
          <w:lang w:val="en-US"/>
        </w:rPr>
      </w:pPr>
    </w:p>
    <w:p w:rsidR="00E11130" w:rsidRPr="00D87BB8" w:rsidRDefault="00C219E6" w:rsidP="00E11130">
      <w:pPr>
        <w:spacing w:after="0" w:line="240" w:lineRule="auto"/>
        <w:jc w:val="center"/>
        <w:rPr>
          <w:rFonts w:ascii="Times New Roman" w:hAnsi="Times New Roman"/>
          <w:i/>
          <w:color w:val="000000"/>
          <w:sz w:val="24"/>
          <w:szCs w:val="24"/>
          <w:shd w:val="clear" w:color="auto" w:fill="FFFFFF"/>
          <w:lang w:val="en-US"/>
        </w:rPr>
      </w:pPr>
      <w:r w:rsidRPr="00D87BB8">
        <w:rPr>
          <w:rFonts w:ascii="Times New Roman" w:hAnsi="Times New Roman"/>
          <w:i/>
          <w:color w:val="000000"/>
          <w:sz w:val="24"/>
          <w:szCs w:val="24"/>
          <w:shd w:val="clear" w:color="auto" w:fill="FFFFFF"/>
          <w:lang w:val="en-US"/>
        </w:rPr>
        <w:t>*Department of Quantitative Social Science, Institute of Education</w:t>
      </w:r>
    </w:p>
    <w:p w:rsidR="00C219E6" w:rsidRPr="00D87BB8" w:rsidRDefault="00C219E6" w:rsidP="00D87BB8">
      <w:pPr>
        <w:spacing w:after="0" w:line="240" w:lineRule="auto"/>
        <w:jc w:val="center"/>
        <w:rPr>
          <w:rFonts w:ascii="Times New Roman" w:hAnsi="Times New Roman"/>
          <w:i/>
          <w:color w:val="000000"/>
          <w:sz w:val="24"/>
          <w:szCs w:val="24"/>
          <w:shd w:val="clear" w:color="auto" w:fill="FFFFFF"/>
          <w:lang w:val="en-US"/>
        </w:rPr>
      </w:pPr>
      <w:r w:rsidRPr="00D87BB8">
        <w:rPr>
          <w:rFonts w:ascii="Times New Roman" w:hAnsi="Times New Roman"/>
          <w:i/>
          <w:color w:val="000000"/>
          <w:sz w:val="24"/>
          <w:szCs w:val="24"/>
          <w:shd w:val="clear" w:color="auto" w:fill="FFFFFF"/>
          <w:lang w:val="en-US"/>
        </w:rPr>
        <w:t>** Faculty of Education, University of Cambridge</w:t>
      </w:r>
    </w:p>
    <w:p w:rsidR="00C219E6" w:rsidRPr="00D87BB8" w:rsidRDefault="00C219E6" w:rsidP="00D87BB8">
      <w:pPr>
        <w:spacing w:after="0" w:line="240" w:lineRule="auto"/>
        <w:ind w:firstLine="720"/>
        <w:jc w:val="center"/>
        <w:rPr>
          <w:rFonts w:ascii="Times New Roman" w:hAnsi="Times New Roman"/>
          <w:i/>
          <w:color w:val="000000"/>
          <w:sz w:val="24"/>
          <w:szCs w:val="24"/>
          <w:shd w:val="clear" w:color="auto" w:fill="FFFFFF"/>
          <w:lang w:val="en-US"/>
        </w:rPr>
      </w:pPr>
    </w:p>
    <w:p w:rsidR="00E11130" w:rsidRDefault="00E11130" w:rsidP="00D87BB8">
      <w:pPr>
        <w:spacing w:after="0" w:line="240" w:lineRule="auto"/>
        <w:ind w:firstLine="720"/>
        <w:jc w:val="center"/>
        <w:rPr>
          <w:rFonts w:ascii="Times New Roman" w:hAnsi="Times New Roman"/>
          <w:color w:val="000000"/>
          <w:sz w:val="24"/>
          <w:szCs w:val="24"/>
          <w:shd w:val="clear" w:color="auto" w:fill="FFFFFF"/>
          <w:lang w:val="en-US"/>
        </w:rPr>
      </w:pPr>
    </w:p>
    <w:p w:rsidR="00E11130" w:rsidRDefault="00E11130" w:rsidP="00E11130">
      <w:pPr>
        <w:spacing w:after="0" w:line="240" w:lineRule="auto"/>
        <w:jc w:val="center"/>
        <w:rPr>
          <w:rFonts w:ascii="Times New Roman" w:hAnsi="Times New Roman"/>
          <w:color w:val="000000"/>
          <w:sz w:val="24"/>
          <w:szCs w:val="24"/>
          <w:shd w:val="clear" w:color="auto" w:fill="FFFFFF"/>
          <w:lang w:val="en-US"/>
        </w:rPr>
      </w:pPr>
    </w:p>
    <w:p w:rsidR="00C219E6" w:rsidRPr="00E11130" w:rsidRDefault="00043074" w:rsidP="00E11130">
      <w:pPr>
        <w:spacing w:after="0" w:line="240" w:lineRule="auto"/>
        <w:jc w:val="center"/>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2014</w:t>
      </w:r>
    </w:p>
    <w:p w:rsidR="00D87BB8" w:rsidRDefault="00D87BB8" w:rsidP="00D87BB8">
      <w:pPr>
        <w:spacing w:after="0" w:line="240" w:lineRule="auto"/>
        <w:rPr>
          <w:rFonts w:ascii="Times New Roman" w:hAnsi="Times New Roman"/>
          <w:color w:val="000000"/>
          <w:sz w:val="24"/>
          <w:szCs w:val="24"/>
          <w:u w:val="single"/>
          <w:shd w:val="clear" w:color="auto" w:fill="FFFFFF"/>
          <w:lang w:val="en-US"/>
        </w:rPr>
      </w:pPr>
    </w:p>
    <w:p w:rsidR="00D87BB8" w:rsidRDefault="00D87BB8" w:rsidP="00D87BB8">
      <w:pPr>
        <w:spacing w:after="0" w:line="240" w:lineRule="auto"/>
        <w:rPr>
          <w:rFonts w:ascii="Times New Roman" w:hAnsi="Times New Roman"/>
          <w:color w:val="000000"/>
          <w:sz w:val="24"/>
          <w:szCs w:val="24"/>
          <w:u w:val="single"/>
          <w:shd w:val="clear" w:color="auto" w:fill="FFFFFF"/>
          <w:lang w:val="en-US"/>
        </w:rPr>
      </w:pPr>
    </w:p>
    <w:p w:rsidR="00D87BB8" w:rsidRDefault="00D87BB8" w:rsidP="00D87BB8">
      <w:pPr>
        <w:spacing w:after="0" w:line="240" w:lineRule="auto"/>
        <w:rPr>
          <w:rFonts w:ascii="Times New Roman" w:hAnsi="Times New Roman"/>
          <w:color w:val="000000"/>
          <w:sz w:val="24"/>
          <w:szCs w:val="24"/>
          <w:u w:val="single"/>
          <w:shd w:val="clear" w:color="auto" w:fill="FFFFFF"/>
          <w:lang w:val="en-US"/>
        </w:rPr>
      </w:pPr>
    </w:p>
    <w:p w:rsidR="00C219E6" w:rsidRPr="00D87BB8" w:rsidRDefault="00C219E6" w:rsidP="00D87BB8">
      <w:pPr>
        <w:spacing w:after="0" w:line="240" w:lineRule="auto"/>
        <w:rPr>
          <w:rFonts w:ascii="Times New Roman" w:hAnsi="Times New Roman"/>
          <w:color w:val="000000"/>
          <w:sz w:val="24"/>
          <w:szCs w:val="24"/>
          <w:u w:val="single"/>
          <w:shd w:val="clear" w:color="auto" w:fill="FFFFFF"/>
          <w:lang w:val="en-US"/>
        </w:rPr>
      </w:pPr>
      <w:r w:rsidRPr="00D87BB8">
        <w:rPr>
          <w:rFonts w:ascii="Times New Roman" w:hAnsi="Times New Roman"/>
          <w:color w:val="000000"/>
          <w:sz w:val="24"/>
          <w:szCs w:val="24"/>
          <w:u w:val="single"/>
          <w:shd w:val="clear" w:color="auto" w:fill="FFFFFF"/>
          <w:lang w:val="en-US"/>
        </w:rPr>
        <w:t>Abstract</w:t>
      </w:r>
    </w:p>
    <w:p w:rsidR="00D87BB8" w:rsidRPr="00D87BB8" w:rsidRDefault="00D87BB8" w:rsidP="00D87BB8">
      <w:pPr>
        <w:spacing w:after="0" w:line="240" w:lineRule="auto"/>
        <w:rPr>
          <w:rFonts w:ascii="Times New Roman" w:hAnsi="Times New Roman"/>
          <w:color w:val="000000"/>
          <w:sz w:val="24"/>
          <w:szCs w:val="24"/>
          <w:shd w:val="clear" w:color="auto" w:fill="FFFFFF"/>
          <w:lang w:val="en-US"/>
        </w:rPr>
      </w:pPr>
    </w:p>
    <w:p w:rsidR="004014B0" w:rsidRPr="00A95023" w:rsidRDefault="000E3046" w:rsidP="00A95023">
      <w:pPr>
        <w:spacing w:after="0" w:line="240" w:lineRule="auto"/>
        <w:jc w:val="both"/>
        <w:rPr>
          <w:rFonts w:ascii="Times New Roman" w:hAnsi="Times New Roman"/>
          <w:color w:val="000000"/>
          <w:sz w:val="24"/>
          <w:szCs w:val="24"/>
          <w:shd w:val="clear" w:color="auto" w:fill="FFFFFF"/>
          <w:lang w:val="en-US"/>
        </w:rPr>
      </w:pPr>
      <w:r>
        <w:rPr>
          <w:rFonts w:ascii="Times New Roman" w:hAnsi="Times New Roman"/>
          <w:sz w:val="24"/>
          <w:szCs w:val="24"/>
        </w:rPr>
        <w:t>There is currently debate in policy circles about access to “the upper echelons of power” (Sir John Major, ex Prime Minister, 2013).</w:t>
      </w:r>
      <w:r>
        <w:t xml:space="preserve"> </w:t>
      </w:r>
      <w:r w:rsidR="00A95023" w:rsidRPr="00A95023">
        <w:rPr>
          <w:rFonts w:ascii="Times New Roman" w:hAnsi="Times New Roman"/>
          <w:color w:val="000000"/>
          <w:sz w:val="24"/>
          <w:szCs w:val="24"/>
          <w:shd w:val="clear" w:color="auto" w:fill="FFFFFF"/>
          <w:lang w:val="en-US"/>
        </w:rPr>
        <w:t>This research explores the relationship between family background and early access to top occupations. We find that privately educated graduates are a third more likely to enter into high status occupations than state educated graduates from similarly affluent families and neighbourhoods, largely due to differences in educational attainment and unive</w:t>
      </w:r>
      <w:r w:rsidR="00145819">
        <w:rPr>
          <w:rFonts w:ascii="Times New Roman" w:hAnsi="Times New Roman"/>
          <w:color w:val="000000"/>
          <w:sz w:val="24"/>
          <w:szCs w:val="24"/>
          <w:shd w:val="clear" w:color="auto" w:fill="FFFFFF"/>
          <w:lang w:val="en-US"/>
        </w:rPr>
        <w:t>rsity selection</w:t>
      </w:r>
      <w:r w:rsidR="00A95023" w:rsidRPr="00A95023">
        <w:rPr>
          <w:rFonts w:ascii="Times New Roman" w:hAnsi="Times New Roman"/>
          <w:color w:val="000000"/>
          <w:sz w:val="24"/>
          <w:szCs w:val="24"/>
          <w:shd w:val="clear" w:color="auto" w:fill="FFFFFF"/>
          <w:lang w:val="en-US"/>
        </w:rPr>
        <w:t xml:space="preserve">. We find that although </w:t>
      </w:r>
      <w:r w:rsidR="00E25451">
        <w:rPr>
          <w:rFonts w:ascii="Times New Roman" w:hAnsi="Times New Roman"/>
          <w:color w:val="000000"/>
          <w:sz w:val="24"/>
          <w:szCs w:val="24"/>
          <w:shd w:val="clear" w:color="auto" w:fill="FFFFFF"/>
          <w:lang w:val="en-US"/>
        </w:rPr>
        <w:t xml:space="preserve">the use of </w:t>
      </w:r>
      <w:r w:rsidR="00A95023" w:rsidRPr="00A95023">
        <w:rPr>
          <w:rFonts w:ascii="Times New Roman" w:hAnsi="Times New Roman"/>
          <w:color w:val="000000"/>
          <w:sz w:val="24"/>
          <w:szCs w:val="24"/>
          <w:shd w:val="clear" w:color="auto" w:fill="FFFFFF"/>
          <w:lang w:val="en-US"/>
        </w:rPr>
        <w:t xml:space="preserve">networks cannot account for the private school advantage, </w:t>
      </w:r>
      <w:r w:rsidR="00145819">
        <w:rPr>
          <w:rFonts w:ascii="Times New Roman" w:hAnsi="Times New Roman"/>
          <w:color w:val="000000"/>
          <w:sz w:val="24"/>
          <w:szCs w:val="24"/>
          <w:shd w:val="clear" w:color="auto" w:fill="FFFFFF"/>
          <w:lang w:val="en-US"/>
        </w:rPr>
        <w:t>they provide</w:t>
      </w:r>
      <w:r w:rsidR="00A95023" w:rsidRPr="00A95023">
        <w:rPr>
          <w:rFonts w:ascii="Times New Roman" w:hAnsi="Times New Roman"/>
          <w:color w:val="000000"/>
          <w:sz w:val="24"/>
          <w:szCs w:val="24"/>
          <w:shd w:val="clear" w:color="auto" w:fill="FFFFFF"/>
          <w:lang w:val="en-US"/>
        </w:rPr>
        <w:t xml:space="preserve"> an additional advantage and this varies by the type of top occupation that the graduate enters</w:t>
      </w:r>
      <w:r w:rsidR="00484773">
        <w:rPr>
          <w:rFonts w:ascii="Times New Roman" w:hAnsi="Times New Roman"/>
          <w:color w:val="000000"/>
          <w:sz w:val="24"/>
          <w:szCs w:val="24"/>
          <w:shd w:val="clear" w:color="auto" w:fill="FFFFFF"/>
          <w:lang w:val="en-US"/>
        </w:rPr>
        <w:t>.</w:t>
      </w:r>
    </w:p>
    <w:p w:rsidR="00A95023" w:rsidRPr="00A95023" w:rsidRDefault="00A95023" w:rsidP="00A95023">
      <w:pPr>
        <w:spacing w:after="0" w:line="240" w:lineRule="auto"/>
        <w:jc w:val="both"/>
        <w:rPr>
          <w:rFonts w:ascii="Times New Roman" w:hAnsi="Times New Roman"/>
          <w:color w:val="000000"/>
          <w:sz w:val="24"/>
          <w:szCs w:val="24"/>
          <w:shd w:val="clear" w:color="auto" w:fill="FFFFFF"/>
          <w:lang w:val="en-US"/>
        </w:rPr>
      </w:pPr>
    </w:p>
    <w:p w:rsidR="0044136C" w:rsidRDefault="0044136C" w:rsidP="00D87BB8">
      <w:pPr>
        <w:spacing w:after="0" w:line="240" w:lineRule="auto"/>
        <w:jc w:val="both"/>
        <w:rPr>
          <w:rFonts w:ascii="Times New Roman" w:hAnsi="Times New Roman"/>
          <w:sz w:val="24"/>
          <w:szCs w:val="24"/>
        </w:rPr>
      </w:pPr>
    </w:p>
    <w:p w:rsidR="00D87BB8" w:rsidRPr="00D87BB8" w:rsidRDefault="00D87BB8" w:rsidP="00D87BB8">
      <w:pPr>
        <w:spacing w:after="0" w:line="240" w:lineRule="auto"/>
        <w:jc w:val="both"/>
        <w:rPr>
          <w:rFonts w:ascii="Times New Roman" w:hAnsi="Times New Roman"/>
          <w:sz w:val="24"/>
          <w:szCs w:val="24"/>
        </w:rPr>
      </w:pPr>
      <w:r>
        <w:rPr>
          <w:rFonts w:ascii="Times New Roman" w:hAnsi="Times New Roman"/>
          <w:sz w:val="24"/>
          <w:szCs w:val="24"/>
        </w:rPr>
        <w:t>JEL Classifications: J62</w:t>
      </w:r>
      <w:r w:rsidR="00731B7A">
        <w:rPr>
          <w:rFonts w:ascii="Times New Roman" w:hAnsi="Times New Roman"/>
          <w:sz w:val="24"/>
          <w:szCs w:val="24"/>
        </w:rPr>
        <w:t>, L14</w:t>
      </w:r>
    </w:p>
    <w:p w:rsidR="00D87BB8" w:rsidRPr="00D87BB8" w:rsidRDefault="00D87BB8" w:rsidP="00D87BB8">
      <w:pPr>
        <w:spacing w:after="0" w:line="240" w:lineRule="auto"/>
        <w:jc w:val="both"/>
        <w:rPr>
          <w:rFonts w:ascii="Times New Roman" w:hAnsi="Times New Roman"/>
          <w:sz w:val="24"/>
          <w:szCs w:val="24"/>
        </w:rPr>
      </w:pPr>
      <w:r w:rsidRPr="00D87BB8">
        <w:rPr>
          <w:rFonts w:ascii="Times New Roman" w:hAnsi="Times New Roman"/>
          <w:sz w:val="24"/>
          <w:szCs w:val="24"/>
        </w:rPr>
        <w:t xml:space="preserve">Key words: Intergenerational mobility, </w:t>
      </w:r>
      <w:r w:rsidR="00D112BB">
        <w:rPr>
          <w:rFonts w:ascii="Times New Roman" w:hAnsi="Times New Roman"/>
          <w:sz w:val="24"/>
          <w:szCs w:val="24"/>
        </w:rPr>
        <w:t xml:space="preserve">social </w:t>
      </w:r>
      <w:r w:rsidR="00731B7A">
        <w:rPr>
          <w:rFonts w:ascii="Times New Roman" w:hAnsi="Times New Roman"/>
          <w:sz w:val="24"/>
          <w:szCs w:val="24"/>
        </w:rPr>
        <w:t>mobility, networks</w:t>
      </w:r>
      <w:r w:rsidRPr="00D87BB8">
        <w:rPr>
          <w:rFonts w:ascii="Times New Roman" w:hAnsi="Times New Roman"/>
          <w:sz w:val="24"/>
          <w:szCs w:val="24"/>
        </w:rPr>
        <w:t xml:space="preserve"> </w:t>
      </w:r>
    </w:p>
    <w:p w:rsidR="00D87BB8" w:rsidRDefault="00D87BB8" w:rsidP="00C219E6">
      <w:pPr>
        <w:spacing w:after="0" w:line="360" w:lineRule="auto"/>
        <w:rPr>
          <w:rFonts w:ascii="Times New Roman" w:hAnsi="Times New Roman"/>
          <w:b/>
          <w:color w:val="000000"/>
          <w:sz w:val="24"/>
          <w:szCs w:val="24"/>
          <w:shd w:val="clear" w:color="auto" w:fill="FFFFFF"/>
          <w:lang w:val="en-US"/>
        </w:rPr>
      </w:pPr>
    </w:p>
    <w:p w:rsidR="00A97EA9" w:rsidRPr="00D87BB8" w:rsidRDefault="00A97EA9" w:rsidP="00C219E6">
      <w:pPr>
        <w:spacing w:after="0" w:line="360" w:lineRule="auto"/>
        <w:rPr>
          <w:rFonts w:ascii="Times New Roman" w:hAnsi="Times New Roman"/>
          <w:b/>
          <w:color w:val="000000"/>
          <w:sz w:val="24"/>
          <w:szCs w:val="24"/>
          <w:shd w:val="clear" w:color="auto" w:fill="FFFFFF"/>
          <w:lang w:val="en-US"/>
        </w:rPr>
      </w:pPr>
    </w:p>
    <w:p w:rsidR="0044136C" w:rsidRDefault="0044136C" w:rsidP="00D87BB8">
      <w:pPr>
        <w:spacing w:after="0" w:line="240" w:lineRule="auto"/>
        <w:jc w:val="both"/>
        <w:rPr>
          <w:rFonts w:ascii="Times New Roman" w:hAnsi="Times New Roman"/>
          <w:sz w:val="24"/>
          <w:szCs w:val="24"/>
          <w:u w:val="single"/>
        </w:rPr>
      </w:pPr>
    </w:p>
    <w:p w:rsidR="0044136C" w:rsidRDefault="0044136C" w:rsidP="00D87BB8">
      <w:pPr>
        <w:spacing w:after="0" w:line="240" w:lineRule="auto"/>
        <w:jc w:val="both"/>
        <w:rPr>
          <w:rFonts w:ascii="Times New Roman" w:hAnsi="Times New Roman"/>
          <w:sz w:val="24"/>
          <w:szCs w:val="24"/>
          <w:u w:val="single"/>
        </w:rPr>
      </w:pPr>
    </w:p>
    <w:p w:rsidR="0044136C" w:rsidRDefault="0044136C" w:rsidP="00D87BB8">
      <w:pPr>
        <w:spacing w:after="0" w:line="240" w:lineRule="auto"/>
        <w:jc w:val="both"/>
        <w:rPr>
          <w:rFonts w:ascii="Times New Roman" w:hAnsi="Times New Roman"/>
          <w:sz w:val="24"/>
          <w:szCs w:val="24"/>
          <w:u w:val="single"/>
        </w:rPr>
      </w:pPr>
    </w:p>
    <w:p w:rsidR="0044136C" w:rsidRDefault="0044136C" w:rsidP="00D87BB8">
      <w:pPr>
        <w:spacing w:after="0" w:line="240" w:lineRule="auto"/>
        <w:jc w:val="both"/>
        <w:rPr>
          <w:rFonts w:ascii="Times New Roman" w:hAnsi="Times New Roman"/>
          <w:sz w:val="24"/>
          <w:szCs w:val="24"/>
          <w:u w:val="single"/>
        </w:rPr>
      </w:pPr>
    </w:p>
    <w:p w:rsidR="0044136C" w:rsidRDefault="0044136C" w:rsidP="00D87BB8">
      <w:pPr>
        <w:spacing w:after="0" w:line="240" w:lineRule="auto"/>
        <w:jc w:val="both"/>
        <w:rPr>
          <w:rFonts w:ascii="Times New Roman" w:hAnsi="Times New Roman"/>
          <w:sz w:val="24"/>
          <w:szCs w:val="24"/>
          <w:u w:val="single"/>
        </w:rPr>
      </w:pPr>
    </w:p>
    <w:p w:rsidR="0044136C" w:rsidRDefault="0044136C" w:rsidP="00D87BB8">
      <w:pPr>
        <w:spacing w:after="0" w:line="240" w:lineRule="auto"/>
        <w:jc w:val="both"/>
        <w:rPr>
          <w:rFonts w:ascii="Times New Roman" w:hAnsi="Times New Roman"/>
          <w:sz w:val="24"/>
          <w:szCs w:val="24"/>
          <w:u w:val="single"/>
        </w:rPr>
      </w:pPr>
    </w:p>
    <w:p w:rsidR="00D87BB8" w:rsidRPr="00A97EA9" w:rsidRDefault="00D87BB8" w:rsidP="00D87BB8">
      <w:pPr>
        <w:spacing w:after="0" w:line="240" w:lineRule="auto"/>
        <w:jc w:val="both"/>
        <w:rPr>
          <w:rFonts w:ascii="Times New Roman" w:hAnsi="Times New Roman"/>
          <w:sz w:val="24"/>
          <w:szCs w:val="24"/>
        </w:rPr>
      </w:pPr>
      <w:r w:rsidRPr="00A97EA9">
        <w:rPr>
          <w:rFonts w:ascii="Times New Roman" w:hAnsi="Times New Roman"/>
          <w:sz w:val="24"/>
          <w:szCs w:val="24"/>
          <w:u w:val="single"/>
        </w:rPr>
        <w:t xml:space="preserve">Acknowledgements: </w:t>
      </w:r>
    </w:p>
    <w:p w:rsidR="00D87BB8" w:rsidRPr="00A97EA9" w:rsidRDefault="00D87BB8" w:rsidP="00A97EA9">
      <w:pPr>
        <w:spacing w:after="0" w:line="240" w:lineRule="auto"/>
        <w:rPr>
          <w:rFonts w:ascii="Times New Roman" w:hAnsi="Times New Roman"/>
          <w:sz w:val="24"/>
          <w:szCs w:val="24"/>
        </w:rPr>
      </w:pPr>
      <w:r w:rsidRPr="00A97EA9">
        <w:rPr>
          <w:rFonts w:ascii="Times New Roman" w:hAnsi="Times New Roman"/>
          <w:sz w:val="24"/>
          <w:szCs w:val="24"/>
        </w:rPr>
        <w:t xml:space="preserve">This work was part-funded by the Social Mobility and Child Poverty </w:t>
      </w:r>
      <w:r w:rsidR="00A97EA9" w:rsidRPr="00A97EA9">
        <w:rPr>
          <w:rFonts w:ascii="Times New Roman" w:hAnsi="Times New Roman"/>
          <w:sz w:val="24"/>
          <w:szCs w:val="24"/>
        </w:rPr>
        <w:t>C</w:t>
      </w:r>
      <w:r w:rsidRPr="00A97EA9">
        <w:rPr>
          <w:rFonts w:ascii="Times New Roman" w:hAnsi="Times New Roman"/>
          <w:sz w:val="24"/>
          <w:szCs w:val="24"/>
        </w:rPr>
        <w:t xml:space="preserve">ommission. </w:t>
      </w:r>
      <w:r w:rsidR="00A97EA9" w:rsidRPr="00A97EA9">
        <w:rPr>
          <w:rFonts w:ascii="Times New Roman" w:hAnsi="Times New Roman"/>
          <w:sz w:val="24"/>
          <w:szCs w:val="24"/>
        </w:rPr>
        <w:t xml:space="preserve">We are grateful for comments from John Micklewright, Paul Gregg and contributors to the Intergenerational Mobility and Social Gradients in Children’s Life Chances conference hosted by the Social Mobility and Child Poverty Commission and the Centre for Market and Public Organisation, University of Bristol. </w:t>
      </w:r>
    </w:p>
    <w:p w:rsidR="00D75596" w:rsidRDefault="00C219E6" w:rsidP="00731B7A">
      <w:pPr>
        <w:numPr>
          <w:ilvl w:val="0"/>
          <w:numId w:val="13"/>
        </w:numPr>
        <w:spacing w:after="0" w:line="360" w:lineRule="auto"/>
        <w:rPr>
          <w:rFonts w:ascii="Times New Roman" w:hAnsi="Times New Roman"/>
          <w:b/>
          <w:color w:val="000000"/>
          <w:sz w:val="24"/>
          <w:szCs w:val="24"/>
          <w:shd w:val="clear" w:color="auto" w:fill="FFFFFF"/>
          <w:lang w:val="en-US"/>
        </w:rPr>
      </w:pPr>
      <w:r w:rsidRPr="00D87BB8">
        <w:rPr>
          <w:rFonts w:ascii="Times New Roman" w:hAnsi="Times New Roman"/>
          <w:b/>
          <w:color w:val="000000"/>
          <w:sz w:val="24"/>
          <w:szCs w:val="24"/>
          <w:shd w:val="clear" w:color="auto" w:fill="FFFFFF"/>
          <w:lang w:val="en-US"/>
        </w:rPr>
        <w:br w:type="page"/>
      </w:r>
      <w:r w:rsidRPr="00D87BB8">
        <w:rPr>
          <w:rFonts w:ascii="Times New Roman" w:hAnsi="Times New Roman"/>
          <w:b/>
          <w:color w:val="000000"/>
          <w:sz w:val="24"/>
          <w:szCs w:val="24"/>
          <w:shd w:val="clear" w:color="auto" w:fill="FFFFFF"/>
          <w:lang w:val="en-US"/>
        </w:rPr>
        <w:lastRenderedPageBreak/>
        <w:t>Introduction</w:t>
      </w:r>
    </w:p>
    <w:p w:rsidR="00F766AC" w:rsidRDefault="00F766AC" w:rsidP="00F766AC">
      <w:pPr>
        <w:spacing w:after="0" w:line="360" w:lineRule="auto"/>
        <w:rPr>
          <w:rFonts w:ascii="Times New Roman" w:hAnsi="Times New Roman"/>
          <w:b/>
          <w:color w:val="000000"/>
          <w:sz w:val="24"/>
          <w:szCs w:val="24"/>
          <w:shd w:val="clear" w:color="auto" w:fill="FFFFFF"/>
          <w:lang w:val="en-US"/>
        </w:rPr>
      </w:pPr>
    </w:p>
    <w:p w:rsidR="00A14A54" w:rsidRPr="006319C9" w:rsidRDefault="006E6251" w:rsidP="00A14A54">
      <w:pPr>
        <w:spacing w:after="240" w:line="360" w:lineRule="auto"/>
        <w:jc w:val="both"/>
        <w:rPr>
          <w:rFonts w:ascii="Times New Roman" w:hAnsi="Times New Roman"/>
          <w:sz w:val="24"/>
          <w:szCs w:val="24"/>
        </w:rPr>
      </w:pPr>
      <w:r w:rsidRPr="00FC3473">
        <w:rPr>
          <w:rFonts w:ascii="Times New Roman" w:hAnsi="Times New Roman"/>
          <w:sz w:val="24"/>
          <w:szCs w:val="24"/>
        </w:rPr>
        <w:t xml:space="preserve">The UK government </w:t>
      </w:r>
      <w:r w:rsidR="00FC3473">
        <w:rPr>
          <w:rFonts w:ascii="Times New Roman" w:hAnsi="Times New Roman"/>
          <w:sz w:val="24"/>
          <w:szCs w:val="24"/>
        </w:rPr>
        <w:t xml:space="preserve">has stated that </w:t>
      </w:r>
      <w:r w:rsidR="00140DC4">
        <w:rPr>
          <w:rFonts w:ascii="Times New Roman" w:hAnsi="Times New Roman"/>
          <w:sz w:val="24"/>
          <w:szCs w:val="24"/>
        </w:rPr>
        <w:t xml:space="preserve">it </w:t>
      </w:r>
      <w:r w:rsidRPr="00FC3473">
        <w:rPr>
          <w:rFonts w:ascii="Times New Roman" w:hAnsi="Times New Roman"/>
          <w:sz w:val="24"/>
          <w:szCs w:val="24"/>
        </w:rPr>
        <w:t>aim</w:t>
      </w:r>
      <w:r w:rsidR="00145819">
        <w:rPr>
          <w:rFonts w:ascii="Times New Roman" w:hAnsi="Times New Roman"/>
          <w:sz w:val="24"/>
          <w:szCs w:val="24"/>
        </w:rPr>
        <w:t>s</w:t>
      </w:r>
      <w:r w:rsidR="00FC3473">
        <w:rPr>
          <w:rFonts w:ascii="Times New Roman" w:hAnsi="Times New Roman"/>
          <w:sz w:val="24"/>
          <w:szCs w:val="24"/>
        </w:rPr>
        <w:t xml:space="preserve"> </w:t>
      </w:r>
      <w:r w:rsidRPr="00FC3473">
        <w:rPr>
          <w:rFonts w:ascii="Times New Roman" w:hAnsi="Times New Roman"/>
          <w:sz w:val="24"/>
          <w:szCs w:val="24"/>
        </w:rPr>
        <w:t>to create a society in which each individual, regardless of background, has an equal chance of realising their potential</w:t>
      </w:r>
      <w:r w:rsidR="00FC3473">
        <w:rPr>
          <w:rFonts w:ascii="Times New Roman" w:hAnsi="Times New Roman"/>
          <w:sz w:val="24"/>
          <w:szCs w:val="24"/>
        </w:rPr>
        <w:t xml:space="preserve"> (</w:t>
      </w:r>
      <w:r w:rsidR="00DF2367">
        <w:rPr>
          <w:rFonts w:ascii="Times New Roman" w:hAnsi="Times New Roman"/>
          <w:sz w:val="24"/>
          <w:szCs w:val="24"/>
        </w:rPr>
        <w:t xml:space="preserve">Cabinet Office, </w:t>
      </w:r>
      <w:r w:rsidR="00140DC4">
        <w:rPr>
          <w:rFonts w:ascii="Times New Roman" w:hAnsi="Times New Roman"/>
          <w:sz w:val="24"/>
          <w:szCs w:val="24"/>
        </w:rPr>
        <w:t>2011</w:t>
      </w:r>
      <w:r w:rsidR="00DF2367" w:rsidRPr="00140DC4">
        <w:rPr>
          <w:rFonts w:ascii="Times New Roman" w:hAnsi="Times New Roman"/>
          <w:sz w:val="24"/>
          <w:szCs w:val="24"/>
        </w:rPr>
        <w:t>)</w:t>
      </w:r>
      <w:r w:rsidRPr="00FC3473">
        <w:rPr>
          <w:rFonts w:ascii="Times New Roman" w:hAnsi="Times New Roman"/>
          <w:sz w:val="24"/>
          <w:szCs w:val="24"/>
        </w:rPr>
        <w:t xml:space="preserve">. </w:t>
      </w:r>
      <w:r w:rsidR="00552E23">
        <w:rPr>
          <w:rFonts w:ascii="Times New Roman" w:hAnsi="Times New Roman"/>
          <w:sz w:val="24"/>
          <w:szCs w:val="24"/>
        </w:rPr>
        <w:t>Yet</w:t>
      </w:r>
      <w:r w:rsidRPr="00FC3473">
        <w:rPr>
          <w:rFonts w:ascii="Times New Roman" w:hAnsi="Times New Roman"/>
          <w:sz w:val="24"/>
          <w:szCs w:val="24"/>
        </w:rPr>
        <w:t xml:space="preserve"> </w:t>
      </w:r>
      <w:r w:rsidR="00552E23">
        <w:rPr>
          <w:rFonts w:ascii="Times New Roman" w:hAnsi="Times New Roman"/>
          <w:sz w:val="24"/>
          <w:szCs w:val="24"/>
        </w:rPr>
        <w:t>educational achievement still varies significantly by socio-economic background and</w:t>
      </w:r>
      <w:r w:rsidR="009D23D1">
        <w:rPr>
          <w:rFonts w:ascii="Times New Roman" w:hAnsi="Times New Roman"/>
          <w:sz w:val="24"/>
          <w:szCs w:val="24"/>
        </w:rPr>
        <w:t>,</w:t>
      </w:r>
      <w:r w:rsidR="00552E23">
        <w:rPr>
          <w:rFonts w:ascii="Times New Roman" w:hAnsi="Times New Roman"/>
          <w:sz w:val="24"/>
          <w:szCs w:val="24"/>
        </w:rPr>
        <w:t xml:space="preserve"> partly because of this, </w:t>
      </w:r>
      <w:r w:rsidR="009D23D1">
        <w:rPr>
          <w:rFonts w:ascii="Times New Roman" w:hAnsi="Times New Roman"/>
          <w:sz w:val="24"/>
          <w:szCs w:val="24"/>
        </w:rPr>
        <w:t>the UK has</w:t>
      </w:r>
      <w:r w:rsidR="00FC3473" w:rsidRPr="00FC3473">
        <w:rPr>
          <w:rFonts w:ascii="Times New Roman" w:hAnsi="Times New Roman"/>
          <w:sz w:val="24"/>
          <w:szCs w:val="24"/>
        </w:rPr>
        <w:t xml:space="preserve"> relatively</w:t>
      </w:r>
      <w:r w:rsidR="00253C4E" w:rsidRPr="00FC3473">
        <w:rPr>
          <w:rFonts w:ascii="Times New Roman" w:hAnsi="Times New Roman"/>
          <w:sz w:val="24"/>
          <w:szCs w:val="24"/>
        </w:rPr>
        <w:t xml:space="preserve"> </w:t>
      </w:r>
      <w:r w:rsidRPr="00FC3473">
        <w:rPr>
          <w:rFonts w:ascii="Times New Roman" w:hAnsi="Times New Roman"/>
          <w:sz w:val="24"/>
          <w:szCs w:val="24"/>
        </w:rPr>
        <w:t xml:space="preserve">low </w:t>
      </w:r>
      <w:r w:rsidR="00A14A54">
        <w:rPr>
          <w:rFonts w:ascii="Times New Roman" w:hAnsi="Times New Roman"/>
          <w:sz w:val="24"/>
          <w:szCs w:val="24"/>
        </w:rPr>
        <w:t xml:space="preserve">levels of </w:t>
      </w:r>
      <w:r w:rsidR="00601BC6" w:rsidRPr="00FC3473">
        <w:rPr>
          <w:rFonts w:ascii="Times New Roman" w:hAnsi="Times New Roman"/>
          <w:sz w:val="24"/>
          <w:szCs w:val="24"/>
        </w:rPr>
        <w:t xml:space="preserve">intergenerational </w:t>
      </w:r>
      <w:r w:rsidR="00253C4E" w:rsidRPr="00FC3473">
        <w:rPr>
          <w:rFonts w:ascii="Times New Roman" w:hAnsi="Times New Roman"/>
          <w:sz w:val="24"/>
          <w:szCs w:val="24"/>
        </w:rPr>
        <w:t xml:space="preserve">income </w:t>
      </w:r>
      <w:r w:rsidRPr="00FC3473">
        <w:rPr>
          <w:rFonts w:ascii="Times New Roman" w:hAnsi="Times New Roman"/>
          <w:sz w:val="24"/>
          <w:szCs w:val="24"/>
        </w:rPr>
        <w:t>mobility</w:t>
      </w:r>
      <w:r w:rsidR="00FC3473" w:rsidRPr="00FC3473">
        <w:rPr>
          <w:rFonts w:ascii="Times New Roman" w:hAnsi="Times New Roman"/>
          <w:sz w:val="24"/>
          <w:szCs w:val="24"/>
        </w:rPr>
        <w:t xml:space="preserve"> </w:t>
      </w:r>
      <w:r w:rsidR="00DF2367">
        <w:rPr>
          <w:rFonts w:ascii="Times New Roman" w:hAnsi="Times New Roman"/>
          <w:sz w:val="24"/>
          <w:szCs w:val="24"/>
        </w:rPr>
        <w:t>(Ermisch et al. 2012)</w:t>
      </w:r>
      <w:r w:rsidR="00253C4E" w:rsidRPr="00FC3473">
        <w:rPr>
          <w:rFonts w:ascii="Times New Roman" w:hAnsi="Times New Roman"/>
          <w:sz w:val="24"/>
          <w:szCs w:val="24"/>
        </w:rPr>
        <w:t>.</w:t>
      </w:r>
      <w:r w:rsidR="00FC3473" w:rsidRPr="00FC3473">
        <w:rPr>
          <w:rFonts w:ascii="Times New Roman" w:hAnsi="Times New Roman"/>
          <w:sz w:val="24"/>
          <w:szCs w:val="24"/>
        </w:rPr>
        <w:t xml:space="preserve"> </w:t>
      </w:r>
      <w:r w:rsidR="00552E23">
        <w:rPr>
          <w:rFonts w:ascii="Times New Roman" w:hAnsi="Times New Roman"/>
          <w:sz w:val="24"/>
          <w:szCs w:val="24"/>
        </w:rPr>
        <w:t xml:space="preserve">One specific aspect of this </w:t>
      </w:r>
      <w:r w:rsidR="00944E30">
        <w:rPr>
          <w:rFonts w:ascii="Times New Roman" w:hAnsi="Times New Roman"/>
          <w:sz w:val="24"/>
          <w:szCs w:val="24"/>
        </w:rPr>
        <w:t>problem</w:t>
      </w:r>
      <w:r w:rsidR="00552E23">
        <w:rPr>
          <w:rFonts w:ascii="Times New Roman" w:hAnsi="Times New Roman"/>
          <w:sz w:val="24"/>
          <w:szCs w:val="24"/>
        </w:rPr>
        <w:t xml:space="preserve"> has been investigated by</w:t>
      </w:r>
      <w:r w:rsidR="00552E23" w:rsidRPr="006319C9">
        <w:rPr>
          <w:rFonts w:ascii="Times New Roman" w:hAnsi="Times New Roman"/>
          <w:sz w:val="24"/>
          <w:szCs w:val="24"/>
        </w:rPr>
        <w:t xml:space="preserve"> </w:t>
      </w:r>
      <w:r w:rsidR="00552E23">
        <w:rPr>
          <w:rFonts w:ascii="Times New Roman" w:hAnsi="Times New Roman"/>
          <w:sz w:val="24"/>
          <w:szCs w:val="24"/>
        </w:rPr>
        <w:t>Alan Milburn in his</w:t>
      </w:r>
      <w:r w:rsidR="00552E23" w:rsidRPr="006319C9">
        <w:rPr>
          <w:rFonts w:ascii="Times New Roman" w:hAnsi="Times New Roman"/>
          <w:sz w:val="24"/>
          <w:szCs w:val="24"/>
        </w:rPr>
        <w:t xml:space="preserve"> report</w:t>
      </w:r>
      <w:r w:rsidR="00FB0CB1">
        <w:rPr>
          <w:rFonts w:ascii="Times New Roman" w:hAnsi="Times New Roman"/>
          <w:sz w:val="24"/>
          <w:szCs w:val="24"/>
        </w:rPr>
        <w:t>s</w:t>
      </w:r>
      <w:r w:rsidR="00552E23" w:rsidRPr="006319C9">
        <w:rPr>
          <w:rFonts w:ascii="Times New Roman" w:hAnsi="Times New Roman"/>
          <w:sz w:val="24"/>
          <w:szCs w:val="24"/>
        </w:rPr>
        <w:t xml:space="preserve"> on fair access to </w:t>
      </w:r>
      <w:r w:rsidR="00FB0CB1">
        <w:rPr>
          <w:rFonts w:ascii="Times New Roman" w:hAnsi="Times New Roman"/>
          <w:sz w:val="24"/>
          <w:szCs w:val="24"/>
        </w:rPr>
        <w:t>higher paying</w:t>
      </w:r>
      <w:r w:rsidR="00552E23" w:rsidRPr="006319C9">
        <w:rPr>
          <w:rFonts w:ascii="Times New Roman" w:hAnsi="Times New Roman"/>
          <w:sz w:val="24"/>
          <w:szCs w:val="24"/>
        </w:rPr>
        <w:t xml:space="preserve"> professions</w:t>
      </w:r>
      <w:r w:rsidR="00552E23" w:rsidRPr="006319C9">
        <w:rPr>
          <w:rStyle w:val="FootnoteReference"/>
          <w:rFonts w:ascii="Times New Roman" w:hAnsi="Times New Roman"/>
          <w:sz w:val="24"/>
          <w:szCs w:val="24"/>
        </w:rPr>
        <w:footnoteReference w:id="1"/>
      </w:r>
      <w:r w:rsidR="00552E23" w:rsidRPr="006319C9">
        <w:rPr>
          <w:rFonts w:ascii="Times New Roman" w:hAnsi="Times New Roman"/>
          <w:sz w:val="24"/>
          <w:szCs w:val="24"/>
        </w:rPr>
        <w:t>.</w:t>
      </w:r>
      <w:r w:rsidR="00FB0CB1">
        <w:rPr>
          <w:rFonts w:ascii="Times New Roman" w:hAnsi="Times New Roman"/>
          <w:sz w:val="24"/>
          <w:szCs w:val="24"/>
        </w:rPr>
        <w:t xml:space="preserve"> </w:t>
      </w:r>
      <w:r w:rsidR="00552E23" w:rsidRPr="006319C9">
        <w:rPr>
          <w:rFonts w:ascii="Times New Roman" w:hAnsi="Times New Roman"/>
          <w:sz w:val="24"/>
          <w:szCs w:val="24"/>
        </w:rPr>
        <w:t xml:space="preserve"> </w:t>
      </w:r>
      <w:r w:rsidR="00FB0CB1">
        <w:rPr>
          <w:rFonts w:ascii="Times New Roman" w:hAnsi="Times New Roman"/>
          <w:sz w:val="24"/>
          <w:szCs w:val="24"/>
        </w:rPr>
        <w:t>Milburn found that i</w:t>
      </w:r>
      <w:r w:rsidR="00552E23" w:rsidRPr="006319C9">
        <w:rPr>
          <w:rFonts w:ascii="Times New Roman" w:hAnsi="Times New Roman"/>
          <w:sz w:val="24"/>
          <w:szCs w:val="24"/>
        </w:rPr>
        <w:t xml:space="preserve">ndividuals from more advantaged backgrounds continue to be more likely to secure a higher paid professional role, with many employers recruiting from a </w:t>
      </w:r>
      <w:r w:rsidR="00552E23">
        <w:rPr>
          <w:rFonts w:ascii="Times New Roman" w:hAnsi="Times New Roman"/>
          <w:sz w:val="24"/>
          <w:szCs w:val="24"/>
        </w:rPr>
        <w:t xml:space="preserve">very </w:t>
      </w:r>
      <w:r w:rsidR="00552E23" w:rsidRPr="006319C9">
        <w:rPr>
          <w:rFonts w:ascii="Times New Roman" w:hAnsi="Times New Roman"/>
          <w:sz w:val="24"/>
          <w:szCs w:val="24"/>
        </w:rPr>
        <w:t>limited range of universities and degree subjects.</w:t>
      </w:r>
      <w:r w:rsidR="00F26EF4">
        <w:rPr>
          <w:rFonts w:ascii="Times New Roman" w:hAnsi="Times New Roman"/>
          <w:sz w:val="24"/>
          <w:szCs w:val="24"/>
        </w:rPr>
        <w:t xml:space="preserve"> For example, he reported that even in 2012, of the top 200 civil servants only one in five was educated in a state comprehensive. Just over 40% of barristers had gone to a private secondary school and one third had attended Oxbridge</w:t>
      </w:r>
      <w:r w:rsidR="003261CC" w:rsidRPr="006319C9">
        <w:rPr>
          <w:rStyle w:val="FootnoteReference"/>
          <w:rFonts w:ascii="Times New Roman" w:hAnsi="Times New Roman"/>
          <w:sz w:val="24"/>
          <w:szCs w:val="24"/>
        </w:rPr>
        <w:footnoteReference w:id="2"/>
      </w:r>
      <w:r w:rsidR="00F26EF4">
        <w:rPr>
          <w:rFonts w:ascii="Times New Roman" w:hAnsi="Times New Roman"/>
          <w:sz w:val="24"/>
          <w:szCs w:val="24"/>
        </w:rPr>
        <w:t xml:space="preserve">. </w:t>
      </w:r>
      <w:r w:rsidR="00A14A54">
        <w:rPr>
          <w:rFonts w:ascii="Times New Roman" w:hAnsi="Times New Roman"/>
          <w:color w:val="000000"/>
          <w:sz w:val="24"/>
          <w:szCs w:val="24"/>
        </w:rPr>
        <w:t xml:space="preserve">In this paper we </w:t>
      </w:r>
      <w:r w:rsidR="00A14A54">
        <w:rPr>
          <w:rFonts w:ascii="Times New Roman" w:hAnsi="Times New Roman"/>
          <w:sz w:val="24"/>
          <w:szCs w:val="24"/>
        </w:rPr>
        <w:t>contribute new evidence</w:t>
      </w:r>
      <w:r w:rsidR="00F26EF4">
        <w:rPr>
          <w:rFonts w:ascii="Times New Roman" w:hAnsi="Times New Roman"/>
          <w:sz w:val="24"/>
          <w:szCs w:val="24"/>
        </w:rPr>
        <w:t xml:space="preserve"> to this debate</w:t>
      </w:r>
      <w:r w:rsidR="00A14A54">
        <w:rPr>
          <w:rFonts w:ascii="Times New Roman" w:hAnsi="Times New Roman"/>
          <w:sz w:val="24"/>
          <w:szCs w:val="24"/>
        </w:rPr>
        <w:t xml:space="preserve">, exploring the relative importance of educational achievement and social networks in explaining the socio-economic gap in graduates’ access to high status ‘top’ </w:t>
      </w:r>
      <w:r w:rsidR="009D23D1">
        <w:rPr>
          <w:rFonts w:ascii="Times New Roman" w:hAnsi="Times New Roman"/>
          <w:sz w:val="24"/>
          <w:szCs w:val="24"/>
        </w:rPr>
        <w:t>occupations</w:t>
      </w:r>
      <w:r w:rsidR="00A14A54">
        <w:rPr>
          <w:rFonts w:ascii="Times New Roman" w:hAnsi="Times New Roman"/>
          <w:sz w:val="24"/>
          <w:szCs w:val="24"/>
        </w:rPr>
        <w:t>.</w:t>
      </w:r>
    </w:p>
    <w:p w:rsidR="00306051" w:rsidRPr="00FC3473" w:rsidRDefault="009A1BB0" w:rsidP="00A97EA9">
      <w:pPr>
        <w:spacing w:after="240" w:line="360" w:lineRule="auto"/>
        <w:jc w:val="both"/>
        <w:rPr>
          <w:rFonts w:ascii="Times New Roman" w:hAnsi="Times New Roman"/>
          <w:sz w:val="24"/>
          <w:szCs w:val="24"/>
        </w:rPr>
      </w:pPr>
      <w:r>
        <w:rPr>
          <w:rFonts w:ascii="Times New Roman" w:hAnsi="Times New Roman"/>
          <w:sz w:val="24"/>
          <w:szCs w:val="24"/>
        </w:rPr>
        <w:t xml:space="preserve"> We define what we mean by high status occupation below but broadly these are occupations that</w:t>
      </w:r>
      <w:r w:rsidR="00AF2D5A">
        <w:rPr>
          <w:rFonts w:ascii="Times New Roman" w:hAnsi="Times New Roman"/>
          <w:sz w:val="24"/>
          <w:szCs w:val="24"/>
        </w:rPr>
        <w:t xml:space="preserve"> </w:t>
      </w:r>
      <w:r w:rsidR="006A5DDB">
        <w:rPr>
          <w:rFonts w:ascii="Times New Roman" w:hAnsi="Times New Roman"/>
          <w:sz w:val="24"/>
          <w:szCs w:val="24"/>
        </w:rPr>
        <w:t xml:space="preserve">have the </w:t>
      </w:r>
      <w:r w:rsidR="00043074">
        <w:rPr>
          <w:rFonts w:ascii="Times New Roman" w:hAnsi="Times New Roman"/>
          <w:sz w:val="24"/>
          <w:szCs w:val="24"/>
        </w:rPr>
        <w:t>high</w:t>
      </w:r>
      <w:r w:rsidR="006A5DDB">
        <w:rPr>
          <w:rFonts w:ascii="Times New Roman" w:hAnsi="Times New Roman"/>
          <w:sz w:val="24"/>
          <w:szCs w:val="24"/>
        </w:rPr>
        <w:t xml:space="preserve"> earnings, </w:t>
      </w:r>
      <w:r w:rsidR="00043074">
        <w:rPr>
          <w:rFonts w:ascii="Times New Roman" w:hAnsi="Times New Roman"/>
          <w:sz w:val="24"/>
          <w:szCs w:val="24"/>
        </w:rPr>
        <w:t xml:space="preserve">more </w:t>
      </w:r>
      <w:r w:rsidR="006A5DDB">
        <w:rPr>
          <w:rFonts w:ascii="Times New Roman" w:hAnsi="Times New Roman"/>
          <w:sz w:val="24"/>
          <w:szCs w:val="24"/>
        </w:rPr>
        <w:t>job security and</w:t>
      </w:r>
      <w:r w:rsidR="00043074">
        <w:rPr>
          <w:rFonts w:ascii="Times New Roman" w:hAnsi="Times New Roman"/>
          <w:sz w:val="24"/>
          <w:szCs w:val="24"/>
        </w:rPr>
        <w:t xml:space="preserve"> better</w:t>
      </w:r>
      <w:r w:rsidR="006A5DDB">
        <w:rPr>
          <w:rFonts w:ascii="Times New Roman" w:hAnsi="Times New Roman"/>
          <w:sz w:val="24"/>
          <w:szCs w:val="24"/>
        </w:rPr>
        <w:t xml:space="preserve"> longer-term income prospects (Goldthorpe and McKnight, 2006, Bukodi and Goldthorpe, </w:t>
      </w:r>
      <w:r w:rsidR="006A5DDB" w:rsidRPr="00F90DA1">
        <w:rPr>
          <w:rFonts w:ascii="Times New Roman" w:hAnsi="Times New Roman"/>
          <w:sz w:val="24"/>
          <w:szCs w:val="24"/>
        </w:rPr>
        <w:t>2011</w:t>
      </w:r>
      <w:r w:rsidR="00AC4EF3" w:rsidRPr="00F90DA1">
        <w:rPr>
          <w:rFonts w:ascii="Times New Roman" w:hAnsi="Times New Roman"/>
          <w:sz w:val="24"/>
          <w:szCs w:val="24"/>
        </w:rPr>
        <w:t>a</w:t>
      </w:r>
      <w:r w:rsidR="006A5DDB" w:rsidRPr="00F90DA1">
        <w:rPr>
          <w:rFonts w:ascii="Times New Roman" w:hAnsi="Times New Roman"/>
          <w:sz w:val="24"/>
          <w:szCs w:val="24"/>
        </w:rPr>
        <w:t>)</w:t>
      </w:r>
      <w:r w:rsidR="00DF2367" w:rsidRPr="00F90DA1">
        <w:rPr>
          <w:rFonts w:ascii="Times New Roman" w:hAnsi="Times New Roman"/>
          <w:sz w:val="24"/>
          <w:szCs w:val="24"/>
        </w:rPr>
        <w:t>.</w:t>
      </w:r>
      <w:r w:rsidR="00DF2367">
        <w:rPr>
          <w:rFonts w:ascii="Times New Roman" w:hAnsi="Times New Roman"/>
          <w:sz w:val="24"/>
          <w:szCs w:val="24"/>
        </w:rPr>
        <w:t xml:space="preserve"> </w:t>
      </w:r>
      <w:r w:rsidR="00140DC4">
        <w:rPr>
          <w:rFonts w:ascii="Times New Roman" w:hAnsi="Times New Roman"/>
          <w:sz w:val="24"/>
          <w:szCs w:val="24"/>
        </w:rPr>
        <w:t>W</w:t>
      </w:r>
      <w:r w:rsidR="006937C6">
        <w:rPr>
          <w:rFonts w:ascii="Times New Roman" w:hAnsi="Times New Roman"/>
          <w:sz w:val="24"/>
          <w:szCs w:val="24"/>
        </w:rPr>
        <w:t xml:space="preserve">e </w:t>
      </w:r>
      <w:r w:rsidR="00140DC4">
        <w:rPr>
          <w:rFonts w:ascii="Times New Roman" w:hAnsi="Times New Roman"/>
          <w:sz w:val="24"/>
          <w:szCs w:val="24"/>
        </w:rPr>
        <w:t>contribute</w:t>
      </w:r>
      <w:r w:rsidR="006937C6">
        <w:rPr>
          <w:rFonts w:ascii="Times New Roman" w:hAnsi="Times New Roman"/>
          <w:sz w:val="24"/>
          <w:szCs w:val="24"/>
        </w:rPr>
        <w:t xml:space="preserve"> to th</w:t>
      </w:r>
      <w:r w:rsidR="004B2AA3">
        <w:rPr>
          <w:rFonts w:ascii="Times New Roman" w:hAnsi="Times New Roman"/>
          <w:sz w:val="24"/>
          <w:szCs w:val="24"/>
        </w:rPr>
        <w:t>e</w:t>
      </w:r>
      <w:r w:rsidR="006937C6">
        <w:rPr>
          <w:rFonts w:ascii="Times New Roman" w:hAnsi="Times New Roman"/>
          <w:sz w:val="24"/>
          <w:szCs w:val="24"/>
        </w:rPr>
        <w:t xml:space="preserve"> literature by focus</w:t>
      </w:r>
      <w:r w:rsidR="004B2AA3">
        <w:rPr>
          <w:rFonts w:ascii="Times New Roman" w:hAnsi="Times New Roman"/>
          <w:sz w:val="24"/>
          <w:szCs w:val="24"/>
        </w:rPr>
        <w:t xml:space="preserve">ing on the </w:t>
      </w:r>
      <w:r>
        <w:rPr>
          <w:rFonts w:ascii="Times New Roman" w:hAnsi="Times New Roman"/>
          <w:sz w:val="24"/>
          <w:szCs w:val="24"/>
        </w:rPr>
        <w:t>extent to which family background is correlated with being employed in one of these</w:t>
      </w:r>
      <w:r w:rsidR="004B2AA3">
        <w:rPr>
          <w:rFonts w:ascii="Times New Roman" w:hAnsi="Times New Roman"/>
          <w:sz w:val="24"/>
          <w:szCs w:val="24"/>
        </w:rPr>
        <w:t xml:space="preserve"> specific</w:t>
      </w:r>
      <w:r>
        <w:rPr>
          <w:rFonts w:ascii="Times New Roman" w:hAnsi="Times New Roman"/>
          <w:sz w:val="24"/>
          <w:szCs w:val="24"/>
        </w:rPr>
        <w:t xml:space="preserve"> occupations</w:t>
      </w:r>
      <w:r w:rsidR="004B2AA3">
        <w:rPr>
          <w:rFonts w:ascii="Times New Roman" w:hAnsi="Times New Roman"/>
          <w:sz w:val="24"/>
          <w:szCs w:val="24"/>
        </w:rPr>
        <w:t xml:space="preserve"> for a recent cohort of graduates</w:t>
      </w:r>
      <w:r w:rsidR="003D498C">
        <w:rPr>
          <w:rFonts w:ascii="Times New Roman" w:hAnsi="Times New Roman"/>
          <w:sz w:val="24"/>
          <w:szCs w:val="24"/>
        </w:rPr>
        <w:t xml:space="preserve">, </w:t>
      </w:r>
      <w:r w:rsidR="003D498C" w:rsidRPr="000227FD">
        <w:rPr>
          <w:rFonts w:ascii="Times New Roman" w:hAnsi="Times New Roman"/>
          <w:i/>
          <w:sz w:val="24"/>
          <w:szCs w:val="24"/>
        </w:rPr>
        <w:t>even after allowing for education achievement</w:t>
      </w:r>
      <w:r w:rsidR="004B2AA3">
        <w:rPr>
          <w:rFonts w:ascii="Times New Roman" w:hAnsi="Times New Roman"/>
          <w:sz w:val="24"/>
          <w:szCs w:val="24"/>
        </w:rPr>
        <w:t xml:space="preserve">. We also </w:t>
      </w:r>
      <w:r w:rsidR="00E25451">
        <w:rPr>
          <w:rFonts w:ascii="Times New Roman" w:hAnsi="Times New Roman"/>
          <w:sz w:val="24"/>
          <w:szCs w:val="24"/>
        </w:rPr>
        <w:t>assess</w:t>
      </w:r>
      <w:r w:rsidR="004B2AA3">
        <w:rPr>
          <w:rFonts w:ascii="Times New Roman" w:hAnsi="Times New Roman"/>
          <w:sz w:val="24"/>
          <w:szCs w:val="24"/>
        </w:rPr>
        <w:t xml:space="preserve"> </w:t>
      </w:r>
      <w:r w:rsidR="00FC3473">
        <w:rPr>
          <w:rFonts w:ascii="Times New Roman" w:hAnsi="Times New Roman"/>
          <w:sz w:val="24"/>
          <w:szCs w:val="24"/>
        </w:rPr>
        <w:t xml:space="preserve">whether social networks play a </w:t>
      </w:r>
      <w:r w:rsidR="00DF2367">
        <w:rPr>
          <w:rFonts w:ascii="Times New Roman" w:hAnsi="Times New Roman"/>
          <w:sz w:val="24"/>
          <w:szCs w:val="24"/>
        </w:rPr>
        <w:t xml:space="preserve">significant </w:t>
      </w:r>
      <w:r w:rsidR="00FC3473">
        <w:rPr>
          <w:rFonts w:ascii="Times New Roman" w:hAnsi="Times New Roman"/>
          <w:sz w:val="24"/>
          <w:szCs w:val="24"/>
        </w:rPr>
        <w:t xml:space="preserve">role in perpetuating </w:t>
      </w:r>
      <w:r w:rsidR="00DF2367">
        <w:rPr>
          <w:rFonts w:ascii="Times New Roman" w:hAnsi="Times New Roman"/>
          <w:sz w:val="24"/>
          <w:szCs w:val="24"/>
        </w:rPr>
        <w:t xml:space="preserve">unequal access to </w:t>
      </w:r>
      <w:r w:rsidR="00306051">
        <w:rPr>
          <w:rFonts w:ascii="Times New Roman" w:hAnsi="Times New Roman"/>
          <w:sz w:val="24"/>
          <w:szCs w:val="24"/>
        </w:rPr>
        <w:t xml:space="preserve">these </w:t>
      </w:r>
      <w:r w:rsidR="00DF2367">
        <w:rPr>
          <w:rFonts w:ascii="Times New Roman" w:hAnsi="Times New Roman"/>
          <w:sz w:val="24"/>
          <w:szCs w:val="24"/>
        </w:rPr>
        <w:t>jobs</w:t>
      </w:r>
      <w:r w:rsidR="00FC3473" w:rsidRPr="00FC3473">
        <w:rPr>
          <w:rFonts w:ascii="Times New Roman" w:hAnsi="Times New Roman"/>
          <w:sz w:val="24"/>
          <w:szCs w:val="24"/>
        </w:rPr>
        <w:t>.</w:t>
      </w:r>
      <w:r w:rsidR="00306051">
        <w:rPr>
          <w:rFonts w:ascii="Times New Roman" w:hAnsi="Times New Roman"/>
          <w:sz w:val="24"/>
          <w:szCs w:val="24"/>
        </w:rPr>
        <w:t xml:space="preserve"> </w:t>
      </w:r>
      <w:r w:rsidR="00306051" w:rsidRPr="00FC3473">
        <w:rPr>
          <w:rFonts w:ascii="Times New Roman" w:hAnsi="Times New Roman"/>
          <w:sz w:val="24"/>
          <w:szCs w:val="24"/>
        </w:rPr>
        <w:t xml:space="preserve">We </w:t>
      </w:r>
      <w:r w:rsidR="00246199">
        <w:rPr>
          <w:rFonts w:ascii="Times New Roman" w:hAnsi="Times New Roman"/>
          <w:sz w:val="24"/>
          <w:szCs w:val="24"/>
        </w:rPr>
        <w:t xml:space="preserve">use </w:t>
      </w:r>
      <w:r w:rsidR="00306051" w:rsidRPr="00FC3473">
        <w:rPr>
          <w:rFonts w:ascii="Times New Roman" w:hAnsi="Times New Roman"/>
          <w:sz w:val="24"/>
          <w:szCs w:val="24"/>
        </w:rPr>
        <w:t xml:space="preserve">data </w:t>
      </w:r>
      <w:r w:rsidR="00306051">
        <w:rPr>
          <w:rFonts w:ascii="Times New Roman" w:hAnsi="Times New Roman"/>
          <w:sz w:val="24"/>
          <w:szCs w:val="24"/>
        </w:rPr>
        <w:t>from the Higher Education Statistics Agency</w:t>
      </w:r>
      <w:r w:rsidR="00AF2D5A">
        <w:rPr>
          <w:rStyle w:val="FootnoteReference"/>
          <w:rFonts w:ascii="Times New Roman" w:hAnsi="Times New Roman"/>
          <w:sz w:val="24"/>
          <w:szCs w:val="24"/>
        </w:rPr>
        <w:footnoteReference w:id="3"/>
      </w:r>
      <w:r w:rsidR="00306051">
        <w:rPr>
          <w:rFonts w:ascii="Times New Roman" w:hAnsi="Times New Roman"/>
          <w:sz w:val="24"/>
          <w:szCs w:val="24"/>
        </w:rPr>
        <w:t xml:space="preserve"> </w:t>
      </w:r>
      <w:r w:rsidR="00306051" w:rsidRPr="00FC3473">
        <w:rPr>
          <w:rFonts w:ascii="Times New Roman" w:hAnsi="Times New Roman"/>
          <w:sz w:val="24"/>
          <w:szCs w:val="24"/>
        </w:rPr>
        <w:t>on first degree graduates leaving higher education in 2006/7</w:t>
      </w:r>
      <w:r w:rsidR="00531AA1">
        <w:rPr>
          <w:rFonts w:ascii="Times New Roman" w:hAnsi="Times New Roman"/>
          <w:sz w:val="24"/>
          <w:szCs w:val="24"/>
        </w:rPr>
        <w:t xml:space="preserve"> and</w:t>
      </w:r>
      <w:r w:rsidR="00306051" w:rsidRPr="00FC3473">
        <w:rPr>
          <w:rFonts w:ascii="Times New Roman" w:hAnsi="Times New Roman"/>
          <w:sz w:val="24"/>
          <w:szCs w:val="24"/>
        </w:rPr>
        <w:t xml:space="preserve"> who have been surveyed at 6 months and </w:t>
      </w:r>
      <w:r w:rsidR="00B67440">
        <w:rPr>
          <w:rFonts w:ascii="Times New Roman" w:hAnsi="Times New Roman"/>
          <w:sz w:val="24"/>
          <w:szCs w:val="24"/>
        </w:rPr>
        <w:t xml:space="preserve">around </w:t>
      </w:r>
      <w:r w:rsidR="00306051" w:rsidRPr="00FC3473">
        <w:rPr>
          <w:rFonts w:ascii="Times New Roman" w:hAnsi="Times New Roman"/>
          <w:sz w:val="24"/>
          <w:szCs w:val="24"/>
        </w:rPr>
        <w:t>3</w:t>
      </w:r>
      <w:r w:rsidR="00B67440">
        <w:rPr>
          <w:rFonts w:ascii="Times New Roman" w:hAnsi="Times New Roman"/>
          <w:sz w:val="24"/>
          <w:szCs w:val="24"/>
        </w:rPr>
        <w:t>.5</w:t>
      </w:r>
      <w:r w:rsidR="00306051" w:rsidRPr="00FC3473">
        <w:rPr>
          <w:rFonts w:ascii="Times New Roman" w:hAnsi="Times New Roman"/>
          <w:sz w:val="24"/>
          <w:szCs w:val="24"/>
        </w:rPr>
        <w:t xml:space="preserve"> years after graduation</w:t>
      </w:r>
      <w:r w:rsidR="00306051">
        <w:rPr>
          <w:rFonts w:ascii="Times New Roman" w:hAnsi="Times New Roman"/>
          <w:sz w:val="24"/>
          <w:szCs w:val="24"/>
        </w:rPr>
        <w:t xml:space="preserve">. </w:t>
      </w:r>
    </w:p>
    <w:p w:rsidR="00D30FC2" w:rsidRDefault="004747A6" w:rsidP="00A97EA9">
      <w:pPr>
        <w:spacing w:after="240" w:line="360" w:lineRule="auto"/>
        <w:jc w:val="both"/>
        <w:rPr>
          <w:rFonts w:ascii="Times New Roman" w:hAnsi="Times New Roman"/>
          <w:sz w:val="24"/>
          <w:szCs w:val="24"/>
        </w:rPr>
      </w:pPr>
      <w:r>
        <w:rPr>
          <w:rFonts w:ascii="Times New Roman" w:hAnsi="Times New Roman"/>
          <w:sz w:val="24"/>
          <w:szCs w:val="24"/>
        </w:rPr>
        <w:t xml:space="preserve">We need </w:t>
      </w:r>
      <w:r w:rsidR="009D23D1">
        <w:rPr>
          <w:rFonts w:ascii="Times New Roman" w:hAnsi="Times New Roman"/>
          <w:sz w:val="24"/>
          <w:szCs w:val="24"/>
        </w:rPr>
        <w:t xml:space="preserve">to </w:t>
      </w:r>
      <w:r w:rsidR="00872992">
        <w:rPr>
          <w:rFonts w:ascii="Times New Roman" w:hAnsi="Times New Roman"/>
          <w:sz w:val="24"/>
          <w:szCs w:val="24"/>
        </w:rPr>
        <w:t>better</w:t>
      </w:r>
      <w:r>
        <w:rPr>
          <w:rFonts w:ascii="Times New Roman" w:hAnsi="Times New Roman"/>
          <w:sz w:val="24"/>
          <w:szCs w:val="24"/>
        </w:rPr>
        <w:t xml:space="preserve"> understand</w:t>
      </w:r>
      <w:r w:rsidR="009D23D1">
        <w:rPr>
          <w:rFonts w:ascii="Times New Roman" w:hAnsi="Times New Roman"/>
          <w:sz w:val="24"/>
          <w:szCs w:val="24"/>
        </w:rPr>
        <w:t xml:space="preserve"> </w:t>
      </w:r>
      <w:r>
        <w:rPr>
          <w:rFonts w:ascii="Times New Roman" w:hAnsi="Times New Roman"/>
          <w:sz w:val="24"/>
          <w:szCs w:val="24"/>
        </w:rPr>
        <w:t xml:space="preserve">access to these </w:t>
      </w:r>
      <w:r w:rsidR="00B17AB6">
        <w:rPr>
          <w:rFonts w:ascii="Times New Roman" w:hAnsi="Times New Roman"/>
          <w:sz w:val="24"/>
          <w:szCs w:val="24"/>
        </w:rPr>
        <w:t>high status occupations</w:t>
      </w:r>
      <w:r>
        <w:rPr>
          <w:rFonts w:ascii="Times New Roman" w:hAnsi="Times New Roman"/>
          <w:sz w:val="24"/>
          <w:szCs w:val="24"/>
        </w:rPr>
        <w:t xml:space="preserve"> </w:t>
      </w:r>
      <w:r w:rsidR="009D23D1">
        <w:rPr>
          <w:rFonts w:ascii="Times New Roman" w:hAnsi="Times New Roman"/>
          <w:sz w:val="24"/>
          <w:szCs w:val="24"/>
        </w:rPr>
        <w:t>as this will</w:t>
      </w:r>
      <w:r w:rsidR="00872992">
        <w:rPr>
          <w:rFonts w:ascii="Times New Roman" w:hAnsi="Times New Roman"/>
          <w:sz w:val="24"/>
          <w:szCs w:val="24"/>
        </w:rPr>
        <w:t xml:space="preserve"> </w:t>
      </w:r>
      <w:r>
        <w:rPr>
          <w:rFonts w:ascii="Times New Roman" w:hAnsi="Times New Roman"/>
          <w:sz w:val="24"/>
          <w:szCs w:val="24"/>
        </w:rPr>
        <w:t xml:space="preserve">influence the </w:t>
      </w:r>
      <w:r w:rsidR="009D23D1">
        <w:rPr>
          <w:rFonts w:ascii="Times New Roman" w:hAnsi="Times New Roman"/>
          <w:sz w:val="24"/>
          <w:szCs w:val="24"/>
        </w:rPr>
        <w:t xml:space="preserve">later </w:t>
      </w:r>
      <w:r>
        <w:rPr>
          <w:rFonts w:ascii="Times New Roman" w:hAnsi="Times New Roman"/>
          <w:sz w:val="24"/>
          <w:szCs w:val="24"/>
        </w:rPr>
        <w:t>occupational status</w:t>
      </w:r>
      <w:r w:rsidR="00F26EF4">
        <w:rPr>
          <w:rFonts w:ascii="Times New Roman" w:hAnsi="Times New Roman"/>
          <w:sz w:val="24"/>
          <w:szCs w:val="24"/>
        </w:rPr>
        <w:t>, job quality</w:t>
      </w:r>
      <w:r>
        <w:rPr>
          <w:rFonts w:ascii="Times New Roman" w:hAnsi="Times New Roman"/>
          <w:sz w:val="24"/>
          <w:szCs w:val="24"/>
        </w:rPr>
        <w:t xml:space="preserve"> </w:t>
      </w:r>
      <w:r w:rsidR="00F26EF4">
        <w:rPr>
          <w:rFonts w:ascii="Times New Roman" w:hAnsi="Times New Roman"/>
          <w:sz w:val="24"/>
          <w:szCs w:val="24"/>
        </w:rPr>
        <w:t>and crucially the earnings</w:t>
      </w:r>
      <w:r w:rsidR="009D23D1">
        <w:rPr>
          <w:rFonts w:ascii="Times New Roman" w:hAnsi="Times New Roman"/>
          <w:sz w:val="24"/>
          <w:szCs w:val="24"/>
        </w:rPr>
        <w:t xml:space="preserve"> and resources available to</w:t>
      </w:r>
      <w:r>
        <w:rPr>
          <w:rFonts w:ascii="Times New Roman" w:hAnsi="Times New Roman"/>
          <w:sz w:val="24"/>
          <w:szCs w:val="24"/>
        </w:rPr>
        <w:t xml:space="preserve"> the individual</w:t>
      </w:r>
      <w:r w:rsidR="00043074">
        <w:rPr>
          <w:rFonts w:ascii="Times New Roman" w:hAnsi="Times New Roman"/>
          <w:sz w:val="24"/>
          <w:szCs w:val="24"/>
        </w:rPr>
        <w:t xml:space="preserve"> </w:t>
      </w:r>
      <w:r w:rsidR="00F26EF4">
        <w:rPr>
          <w:rFonts w:ascii="Times New Roman" w:hAnsi="Times New Roman"/>
          <w:sz w:val="24"/>
          <w:szCs w:val="24"/>
        </w:rPr>
        <w:t>over their lifetime</w:t>
      </w:r>
      <w:r>
        <w:rPr>
          <w:rFonts w:ascii="Times New Roman" w:hAnsi="Times New Roman"/>
          <w:sz w:val="24"/>
          <w:szCs w:val="24"/>
        </w:rPr>
        <w:t xml:space="preserve">. </w:t>
      </w:r>
      <w:r w:rsidR="00275E15">
        <w:rPr>
          <w:rFonts w:ascii="Times New Roman" w:hAnsi="Times New Roman"/>
          <w:sz w:val="24"/>
          <w:szCs w:val="24"/>
        </w:rPr>
        <w:t>I</w:t>
      </w:r>
      <w:r>
        <w:rPr>
          <w:rFonts w:ascii="Times New Roman" w:hAnsi="Times New Roman"/>
          <w:sz w:val="24"/>
          <w:szCs w:val="24"/>
        </w:rPr>
        <w:t>n</w:t>
      </w:r>
      <w:r w:rsidR="00F26EF4">
        <w:rPr>
          <w:rFonts w:ascii="Times New Roman" w:hAnsi="Times New Roman"/>
          <w:sz w:val="24"/>
          <w:szCs w:val="24"/>
        </w:rPr>
        <w:t>deed in</w:t>
      </w:r>
      <w:r>
        <w:rPr>
          <w:rFonts w:ascii="Times New Roman" w:hAnsi="Times New Roman"/>
          <w:sz w:val="24"/>
          <w:szCs w:val="24"/>
        </w:rPr>
        <w:t xml:space="preserve"> the UK </w:t>
      </w:r>
      <w:r w:rsidR="00275E15">
        <w:rPr>
          <w:rFonts w:ascii="Times New Roman" w:hAnsi="Times New Roman"/>
          <w:sz w:val="24"/>
          <w:szCs w:val="24"/>
        </w:rPr>
        <w:t>we have la</w:t>
      </w:r>
      <w:r>
        <w:rPr>
          <w:rFonts w:ascii="Times New Roman" w:hAnsi="Times New Roman"/>
          <w:sz w:val="24"/>
          <w:szCs w:val="24"/>
        </w:rPr>
        <w:t>cked good data on the lifetime earnings of graduates (Crawford et al. 2013)</w:t>
      </w:r>
      <w:r w:rsidR="00275E15">
        <w:rPr>
          <w:rFonts w:ascii="Times New Roman" w:hAnsi="Times New Roman"/>
          <w:sz w:val="24"/>
          <w:szCs w:val="24"/>
        </w:rPr>
        <w:t xml:space="preserve">, instead having to rely on early measures of </w:t>
      </w:r>
      <w:r w:rsidR="00275E15">
        <w:rPr>
          <w:rFonts w:ascii="Times New Roman" w:hAnsi="Times New Roman"/>
          <w:sz w:val="24"/>
          <w:szCs w:val="24"/>
        </w:rPr>
        <w:lastRenderedPageBreak/>
        <w:t xml:space="preserve">graduates’ earnings which may not be a good guide to </w:t>
      </w:r>
      <w:r w:rsidR="00F26EF4">
        <w:rPr>
          <w:rFonts w:ascii="Times New Roman" w:hAnsi="Times New Roman"/>
          <w:sz w:val="24"/>
          <w:szCs w:val="24"/>
        </w:rPr>
        <w:t xml:space="preserve">their </w:t>
      </w:r>
      <w:r w:rsidR="00275E15">
        <w:rPr>
          <w:rFonts w:ascii="Times New Roman" w:hAnsi="Times New Roman"/>
          <w:sz w:val="24"/>
          <w:szCs w:val="24"/>
        </w:rPr>
        <w:t>long</w:t>
      </w:r>
      <w:r w:rsidR="00F26EF4">
        <w:rPr>
          <w:rFonts w:ascii="Times New Roman" w:hAnsi="Times New Roman"/>
          <w:sz w:val="24"/>
          <w:szCs w:val="24"/>
        </w:rPr>
        <w:t>er</w:t>
      </w:r>
      <w:r w:rsidR="00275E15">
        <w:rPr>
          <w:rFonts w:ascii="Times New Roman" w:hAnsi="Times New Roman"/>
          <w:sz w:val="24"/>
          <w:szCs w:val="24"/>
        </w:rPr>
        <w:t xml:space="preserve"> term economic prospects</w:t>
      </w:r>
      <w:r w:rsidR="00F26EF4">
        <w:rPr>
          <w:rFonts w:ascii="Times New Roman" w:hAnsi="Times New Roman"/>
          <w:sz w:val="24"/>
          <w:szCs w:val="24"/>
        </w:rPr>
        <w:t xml:space="preserve"> as many graduates earn less in their </w:t>
      </w:r>
      <w:r w:rsidR="009D23D1">
        <w:rPr>
          <w:rFonts w:ascii="Times New Roman" w:hAnsi="Times New Roman"/>
          <w:sz w:val="24"/>
          <w:szCs w:val="24"/>
        </w:rPr>
        <w:t xml:space="preserve">early </w:t>
      </w:r>
      <w:r w:rsidR="00F26EF4">
        <w:rPr>
          <w:rFonts w:ascii="Times New Roman" w:hAnsi="Times New Roman"/>
          <w:sz w:val="24"/>
          <w:szCs w:val="24"/>
        </w:rPr>
        <w:t xml:space="preserve">career due to </w:t>
      </w:r>
      <w:r w:rsidR="009D23D1">
        <w:rPr>
          <w:rFonts w:ascii="Times New Roman" w:hAnsi="Times New Roman"/>
          <w:sz w:val="24"/>
          <w:szCs w:val="24"/>
        </w:rPr>
        <w:t>shorter tenure and a focus on training</w:t>
      </w:r>
      <w:r>
        <w:rPr>
          <w:rFonts w:ascii="Times New Roman" w:hAnsi="Times New Roman"/>
          <w:sz w:val="24"/>
          <w:szCs w:val="24"/>
        </w:rPr>
        <w:t xml:space="preserve">. </w:t>
      </w:r>
      <w:r w:rsidR="00787312">
        <w:rPr>
          <w:rFonts w:ascii="Times New Roman" w:hAnsi="Times New Roman"/>
          <w:sz w:val="24"/>
          <w:szCs w:val="24"/>
        </w:rPr>
        <w:t>A</w:t>
      </w:r>
      <w:r>
        <w:rPr>
          <w:rFonts w:ascii="Times New Roman" w:hAnsi="Times New Roman"/>
          <w:sz w:val="24"/>
          <w:szCs w:val="24"/>
        </w:rPr>
        <w:t xml:space="preserve">ssessing </w:t>
      </w:r>
      <w:r w:rsidR="00787312">
        <w:rPr>
          <w:rFonts w:ascii="Times New Roman" w:hAnsi="Times New Roman"/>
          <w:sz w:val="24"/>
          <w:szCs w:val="24"/>
        </w:rPr>
        <w:t xml:space="preserve">graduates’ </w:t>
      </w:r>
      <w:r>
        <w:rPr>
          <w:rFonts w:ascii="Times New Roman" w:hAnsi="Times New Roman"/>
          <w:sz w:val="24"/>
          <w:szCs w:val="24"/>
        </w:rPr>
        <w:t xml:space="preserve">transitions into occupations that have good long run economic prospects is one way to get </w:t>
      </w:r>
      <w:r w:rsidR="00872992">
        <w:rPr>
          <w:rFonts w:ascii="Times New Roman" w:hAnsi="Times New Roman"/>
          <w:sz w:val="24"/>
          <w:szCs w:val="24"/>
        </w:rPr>
        <w:t xml:space="preserve">partially </w:t>
      </w:r>
      <w:r>
        <w:rPr>
          <w:rFonts w:ascii="Times New Roman" w:hAnsi="Times New Roman"/>
          <w:sz w:val="24"/>
          <w:szCs w:val="24"/>
        </w:rPr>
        <w:t>around this data problem</w:t>
      </w:r>
      <w:r w:rsidR="00F26EF4">
        <w:rPr>
          <w:rFonts w:ascii="Times New Roman" w:hAnsi="Times New Roman"/>
          <w:sz w:val="24"/>
          <w:szCs w:val="24"/>
        </w:rPr>
        <w:t xml:space="preserve"> and to illicit some insight into the influence of socio-economic background on the long term labour market success of graduates</w:t>
      </w:r>
      <w:r>
        <w:rPr>
          <w:rFonts w:ascii="Times New Roman" w:hAnsi="Times New Roman"/>
          <w:sz w:val="24"/>
          <w:szCs w:val="24"/>
        </w:rPr>
        <w:t>.</w:t>
      </w:r>
    </w:p>
    <w:p w:rsidR="00F766AC" w:rsidRDefault="00F766AC" w:rsidP="00A97EA9">
      <w:pPr>
        <w:spacing w:after="240" w:line="360" w:lineRule="auto"/>
        <w:jc w:val="both"/>
        <w:rPr>
          <w:rFonts w:ascii="Times New Roman" w:hAnsi="Times New Roman"/>
          <w:sz w:val="24"/>
          <w:szCs w:val="24"/>
        </w:rPr>
      </w:pPr>
    </w:p>
    <w:p w:rsidR="00723AAB" w:rsidRDefault="004E0B2A" w:rsidP="00A97EA9">
      <w:pPr>
        <w:numPr>
          <w:ilvl w:val="0"/>
          <w:numId w:val="13"/>
        </w:numPr>
        <w:spacing w:after="240" w:line="360" w:lineRule="auto"/>
        <w:jc w:val="both"/>
        <w:rPr>
          <w:rFonts w:ascii="Times New Roman" w:hAnsi="Times New Roman"/>
          <w:b/>
          <w:color w:val="000000"/>
          <w:sz w:val="24"/>
          <w:szCs w:val="24"/>
          <w:shd w:val="clear" w:color="auto" w:fill="FFFFFF"/>
          <w:lang w:val="en-US"/>
        </w:rPr>
      </w:pPr>
      <w:r w:rsidRPr="00D87BB8">
        <w:rPr>
          <w:rFonts w:ascii="Times New Roman" w:hAnsi="Times New Roman"/>
          <w:b/>
          <w:color w:val="000000"/>
          <w:sz w:val="24"/>
          <w:szCs w:val="24"/>
          <w:shd w:val="clear" w:color="auto" w:fill="FFFFFF"/>
          <w:lang w:val="en-US"/>
        </w:rPr>
        <w:t xml:space="preserve">Related </w:t>
      </w:r>
      <w:r w:rsidR="00D75596" w:rsidRPr="00D87BB8">
        <w:rPr>
          <w:rFonts w:ascii="Times New Roman" w:hAnsi="Times New Roman"/>
          <w:b/>
          <w:color w:val="000000"/>
          <w:sz w:val="24"/>
          <w:szCs w:val="24"/>
          <w:shd w:val="clear" w:color="auto" w:fill="FFFFFF"/>
          <w:lang w:val="en-US"/>
        </w:rPr>
        <w:t>Literature</w:t>
      </w:r>
    </w:p>
    <w:p w:rsidR="003302DC"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This paper contributes to the e</w:t>
      </w:r>
      <w:r w:rsidRPr="00D87BB8">
        <w:rPr>
          <w:rFonts w:ascii="Times New Roman" w:hAnsi="Times New Roman"/>
          <w:color w:val="000000"/>
          <w:sz w:val="24"/>
          <w:szCs w:val="24"/>
        </w:rPr>
        <w:t xml:space="preserve">xtensive research </w:t>
      </w:r>
      <w:r>
        <w:rPr>
          <w:rFonts w:ascii="Times New Roman" w:hAnsi="Times New Roman"/>
          <w:color w:val="000000"/>
          <w:sz w:val="24"/>
          <w:szCs w:val="24"/>
        </w:rPr>
        <w:t xml:space="preserve">that </w:t>
      </w:r>
      <w:r w:rsidRPr="00D87BB8">
        <w:rPr>
          <w:rFonts w:ascii="Times New Roman" w:hAnsi="Times New Roman"/>
          <w:color w:val="000000"/>
          <w:sz w:val="24"/>
          <w:szCs w:val="24"/>
        </w:rPr>
        <w:t xml:space="preserve">has identified low levels of intergenerational income mobility in the UK (Blanden et al, 2013; </w:t>
      </w:r>
      <w:r>
        <w:rPr>
          <w:rFonts w:ascii="Times New Roman" w:hAnsi="Times New Roman"/>
          <w:color w:val="000000"/>
          <w:sz w:val="24"/>
          <w:szCs w:val="24"/>
        </w:rPr>
        <w:t>Corak, 2013;</w:t>
      </w:r>
      <w:r w:rsidRPr="00D87BB8">
        <w:rPr>
          <w:rFonts w:ascii="Times New Roman" w:hAnsi="Times New Roman"/>
          <w:color w:val="000000"/>
          <w:sz w:val="24"/>
          <w:szCs w:val="24"/>
        </w:rPr>
        <w:t xml:space="preserve"> </w:t>
      </w:r>
      <w:r>
        <w:rPr>
          <w:rFonts w:ascii="Times New Roman" w:hAnsi="Times New Roman"/>
          <w:color w:val="000000"/>
          <w:sz w:val="24"/>
          <w:szCs w:val="24"/>
        </w:rPr>
        <w:t>Crawford et al</w:t>
      </w:r>
      <w:r w:rsidRPr="00D87BB8">
        <w:rPr>
          <w:rFonts w:ascii="Times New Roman" w:hAnsi="Times New Roman"/>
          <w:color w:val="000000"/>
          <w:sz w:val="24"/>
          <w:szCs w:val="24"/>
        </w:rPr>
        <w:t xml:space="preserve">, 2011). </w:t>
      </w:r>
      <w:r>
        <w:rPr>
          <w:rFonts w:ascii="Times New Roman" w:hAnsi="Times New Roman"/>
          <w:color w:val="000000"/>
          <w:sz w:val="24"/>
          <w:szCs w:val="24"/>
        </w:rPr>
        <w:t>E</w:t>
      </w:r>
      <w:r w:rsidRPr="00D87BB8">
        <w:rPr>
          <w:rFonts w:ascii="Times New Roman" w:hAnsi="Times New Roman"/>
          <w:color w:val="000000"/>
          <w:sz w:val="24"/>
          <w:szCs w:val="24"/>
        </w:rPr>
        <w:t>ducational attainment in the UK</w:t>
      </w:r>
      <w:r>
        <w:rPr>
          <w:rFonts w:ascii="Times New Roman" w:hAnsi="Times New Roman"/>
          <w:color w:val="000000"/>
          <w:sz w:val="24"/>
          <w:szCs w:val="24"/>
        </w:rPr>
        <w:t xml:space="preserve"> also</w:t>
      </w:r>
      <w:r w:rsidRPr="00D87BB8">
        <w:rPr>
          <w:rFonts w:ascii="Times New Roman" w:hAnsi="Times New Roman"/>
          <w:color w:val="000000"/>
          <w:sz w:val="24"/>
          <w:szCs w:val="24"/>
        </w:rPr>
        <w:t xml:space="preserve"> var</w:t>
      </w:r>
      <w:r>
        <w:rPr>
          <w:rFonts w:ascii="Times New Roman" w:hAnsi="Times New Roman"/>
          <w:color w:val="000000"/>
          <w:sz w:val="24"/>
          <w:szCs w:val="24"/>
        </w:rPr>
        <w:t>ies</w:t>
      </w:r>
      <w:r w:rsidRPr="00D87BB8">
        <w:rPr>
          <w:rFonts w:ascii="Times New Roman" w:hAnsi="Times New Roman"/>
          <w:color w:val="000000"/>
          <w:sz w:val="24"/>
          <w:szCs w:val="24"/>
        </w:rPr>
        <w:t xml:space="preserve"> by socioeconomic background </w:t>
      </w:r>
      <w:r>
        <w:rPr>
          <w:rFonts w:ascii="Times New Roman" w:hAnsi="Times New Roman"/>
          <w:color w:val="000000"/>
          <w:sz w:val="24"/>
          <w:szCs w:val="24"/>
        </w:rPr>
        <w:t xml:space="preserve">(Devine and Li 2013; </w:t>
      </w:r>
      <w:r w:rsidRPr="00237CFA">
        <w:rPr>
          <w:rFonts w:ascii="Times New Roman" w:hAnsi="Times New Roman"/>
          <w:color w:val="000000"/>
          <w:sz w:val="24"/>
          <w:szCs w:val="24"/>
        </w:rPr>
        <w:t xml:space="preserve">Gregg and Macmillan 2010; Goodman et al, 2011; </w:t>
      </w:r>
      <w:r>
        <w:rPr>
          <w:rFonts w:ascii="Times New Roman" w:hAnsi="Times New Roman"/>
          <w:color w:val="000000"/>
          <w:sz w:val="24"/>
          <w:szCs w:val="24"/>
        </w:rPr>
        <w:t xml:space="preserve">Chowdry </w:t>
      </w:r>
      <w:r w:rsidRPr="00237CFA">
        <w:rPr>
          <w:rFonts w:ascii="Times New Roman" w:hAnsi="Times New Roman"/>
          <w:color w:val="000000"/>
          <w:sz w:val="24"/>
          <w:szCs w:val="24"/>
        </w:rPr>
        <w:t xml:space="preserve">et al 2012; Crawford et al 2010; </w:t>
      </w:r>
      <w:r w:rsidRPr="00F90DA1">
        <w:rPr>
          <w:rFonts w:ascii="Times New Roman" w:hAnsi="Times New Roman"/>
          <w:color w:val="000000"/>
          <w:sz w:val="24"/>
          <w:szCs w:val="24"/>
        </w:rPr>
        <w:t>Jerrim 2012</w:t>
      </w:r>
      <w:r>
        <w:rPr>
          <w:rFonts w:ascii="Times New Roman" w:hAnsi="Times New Roman"/>
          <w:color w:val="000000"/>
          <w:sz w:val="24"/>
          <w:szCs w:val="24"/>
        </w:rPr>
        <w:t xml:space="preserve">; Green et al, 2012) </w:t>
      </w:r>
      <w:r w:rsidRPr="00D87BB8">
        <w:rPr>
          <w:rFonts w:ascii="Times New Roman" w:hAnsi="Times New Roman"/>
          <w:color w:val="000000"/>
          <w:sz w:val="24"/>
          <w:szCs w:val="24"/>
        </w:rPr>
        <w:t>and is</w:t>
      </w:r>
      <w:r w:rsidR="001B7E3B">
        <w:rPr>
          <w:rFonts w:ascii="Times New Roman" w:hAnsi="Times New Roman"/>
          <w:color w:val="000000"/>
          <w:sz w:val="24"/>
          <w:szCs w:val="24"/>
        </w:rPr>
        <w:t xml:space="preserve"> a key driver of persistence in incomes across generations (Blanden et. al., 2007)</w:t>
      </w:r>
      <w:r w:rsidRPr="00237CFA">
        <w:rPr>
          <w:rFonts w:ascii="Times New Roman" w:hAnsi="Times New Roman"/>
          <w:color w:val="000000"/>
          <w:sz w:val="24"/>
          <w:szCs w:val="24"/>
        </w:rPr>
        <w:t>.</w:t>
      </w:r>
      <w:r w:rsidRPr="0066700B">
        <w:rPr>
          <w:rFonts w:ascii="Times New Roman" w:hAnsi="Times New Roman"/>
          <w:color w:val="000000"/>
          <w:sz w:val="24"/>
          <w:szCs w:val="24"/>
        </w:rPr>
        <w:t xml:space="preserve"> </w:t>
      </w:r>
    </w:p>
    <w:p w:rsidR="00CB3B9E"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Our research focuses on</w:t>
      </w:r>
      <w:r w:rsidRPr="00D87BB8">
        <w:rPr>
          <w:rFonts w:ascii="Times New Roman" w:hAnsi="Times New Roman"/>
          <w:color w:val="000000"/>
          <w:sz w:val="24"/>
          <w:szCs w:val="24"/>
        </w:rPr>
        <w:t xml:space="preserve"> access to</w:t>
      </w:r>
      <w:r>
        <w:rPr>
          <w:rFonts w:ascii="Times New Roman" w:hAnsi="Times New Roman"/>
          <w:color w:val="000000"/>
          <w:sz w:val="24"/>
          <w:szCs w:val="24"/>
        </w:rPr>
        <w:t xml:space="preserve"> elite occupations</w:t>
      </w:r>
      <w:r w:rsidR="00CB3B9E">
        <w:rPr>
          <w:rFonts w:ascii="Times New Roman" w:hAnsi="Times New Roman"/>
          <w:color w:val="000000"/>
          <w:sz w:val="24"/>
          <w:szCs w:val="24"/>
        </w:rPr>
        <w:t xml:space="preserve"> by family background</w:t>
      </w:r>
      <w:r w:rsidRPr="00D87BB8">
        <w:rPr>
          <w:rFonts w:ascii="Times New Roman" w:hAnsi="Times New Roman"/>
          <w:color w:val="000000"/>
          <w:sz w:val="24"/>
          <w:szCs w:val="24"/>
        </w:rPr>
        <w:t xml:space="preserve">. </w:t>
      </w:r>
      <w:r w:rsidR="00CB3B9E">
        <w:rPr>
          <w:rFonts w:ascii="Times New Roman" w:hAnsi="Times New Roman"/>
          <w:color w:val="000000"/>
          <w:sz w:val="24"/>
          <w:szCs w:val="24"/>
        </w:rPr>
        <w:t>Access to m</w:t>
      </w:r>
      <w:r>
        <w:rPr>
          <w:rFonts w:ascii="Times New Roman" w:hAnsi="Times New Roman"/>
          <w:color w:val="000000"/>
          <w:sz w:val="24"/>
          <w:szCs w:val="24"/>
        </w:rPr>
        <w:t xml:space="preserve">anagerial and professional careers </w:t>
      </w:r>
      <w:r w:rsidRPr="00D87BB8">
        <w:rPr>
          <w:rFonts w:ascii="Times New Roman" w:hAnsi="Times New Roman"/>
          <w:color w:val="000000"/>
          <w:sz w:val="24"/>
          <w:szCs w:val="24"/>
        </w:rPr>
        <w:t xml:space="preserve">are of particular interest as they </w:t>
      </w:r>
      <w:r>
        <w:rPr>
          <w:rFonts w:ascii="Times New Roman" w:hAnsi="Times New Roman"/>
          <w:color w:val="000000"/>
          <w:sz w:val="24"/>
          <w:szCs w:val="24"/>
        </w:rPr>
        <w:t xml:space="preserve">are </w:t>
      </w:r>
      <w:r w:rsidRPr="004832AD">
        <w:rPr>
          <w:rFonts w:ascii="Times New Roman" w:hAnsi="Times New Roman"/>
          <w:color w:val="000000"/>
          <w:sz w:val="24"/>
          <w:szCs w:val="24"/>
        </w:rPr>
        <w:t xml:space="preserve">expected to account for </w:t>
      </w:r>
      <w:r>
        <w:rPr>
          <w:rFonts w:ascii="Times New Roman" w:hAnsi="Times New Roman"/>
          <w:color w:val="000000"/>
          <w:sz w:val="24"/>
          <w:szCs w:val="24"/>
        </w:rPr>
        <w:t xml:space="preserve">approximately two </w:t>
      </w:r>
      <w:r w:rsidRPr="004832AD">
        <w:rPr>
          <w:rFonts w:ascii="Times New Roman" w:hAnsi="Times New Roman"/>
          <w:color w:val="000000"/>
          <w:sz w:val="24"/>
          <w:szCs w:val="24"/>
        </w:rPr>
        <w:t xml:space="preserve">million additional jobs in the next decade, increasing their </w:t>
      </w:r>
      <w:r>
        <w:rPr>
          <w:rFonts w:ascii="Times New Roman" w:hAnsi="Times New Roman"/>
          <w:color w:val="000000"/>
          <w:sz w:val="24"/>
          <w:szCs w:val="24"/>
        </w:rPr>
        <w:t xml:space="preserve">share of </w:t>
      </w:r>
      <w:r w:rsidRPr="004832AD">
        <w:rPr>
          <w:rFonts w:ascii="Times New Roman" w:hAnsi="Times New Roman"/>
          <w:color w:val="000000"/>
          <w:sz w:val="24"/>
          <w:szCs w:val="24"/>
        </w:rPr>
        <w:t>total</w:t>
      </w:r>
      <w:r>
        <w:rPr>
          <w:rFonts w:ascii="Times New Roman" w:hAnsi="Times New Roman"/>
          <w:color w:val="000000"/>
          <w:sz w:val="24"/>
          <w:szCs w:val="24"/>
        </w:rPr>
        <w:t xml:space="preserve"> employment in the UK from 42% to 46% </w:t>
      </w:r>
      <w:r w:rsidRPr="00D87BB8">
        <w:rPr>
          <w:rFonts w:ascii="Times New Roman" w:hAnsi="Times New Roman"/>
          <w:color w:val="000000"/>
          <w:sz w:val="24"/>
          <w:szCs w:val="24"/>
        </w:rPr>
        <w:t xml:space="preserve"> (</w:t>
      </w:r>
      <w:r w:rsidRPr="00160C94">
        <w:rPr>
          <w:rFonts w:ascii="Times New Roman" w:hAnsi="Times New Roman"/>
          <w:color w:val="000000"/>
          <w:sz w:val="24"/>
          <w:szCs w:val="24"/>
        </w:rPr>
        <w:t>Wilson and Homenidou, 2011</w:t>
      </w:r>
      <w:r>
        <w:rPr>
          <w:rFonts w:ascii="Times New Roman" w:hAnsi="Times New Roman"/>
          <w:color w:val="000000"/>
          <w:sz w:val="24"/>
          <w:szCs w:val="24"/>
        </w:rPr>
        <w:t>; Brewer et al, 2012</w:t>
      </w:r>
      <w:r w:rsidRPr="00160C94">
        <w:rPr>
          <w:rFonts w:ascii="Times New Roman" w:hAnsi="Times New Roman"/>
          <w:color w:val="000000"/>
          <w:sz w:val="24"/>
          <w:szCs w:val="24"/>
        </w:rPr>
        <w:t>)</w:t>
      </w:r>
      <w:r>
        <w:rPr>
          <w:rFonts w:ascii="Times New Roman" w:hAnsi="Times New Roman"/>
          <w:color w:val="000000"/>
          <w:sz w:val="24"/>
          <w:szCs w:val="24"/>
        </w:rPr>
        <w:t>.</w:t>
      </w:r>
      <w:r w:rsidRPr="00D87BB8">
        <w:rPr>
          <w:rFonts w:ascii="Times New Roman" w:hAnsi="Times New Roman"/>
          <w:color w:val="000000"/>
          <w:sz w:val="24"/>
          <w:szCs w:val="24"/>
        </w:rPr>
        <w:t xml:space="preserve"> </w:t>
      </w:r>
      <w:r>
        <w:rPr>
          <w:rFonts w:ascii="Times New Roman" w:hAnsi="Times New Roman"/>
          <w:color w:val="000000"/>
          <w:sz w:val="24"/>
          <w:szCs w:val="24"/>
        </w:rPr>
        <w:t>While there have been a number of official reports published on this topic (Cabinet Office, 2009 &amp; 2012), academic research on potential</w:t>
      </w:r>
      <w:r w:rsidRPr="00D87BB8">
        <w:rPr>
          <w:rFonts w:ascii="Times New Roman" w:hAnsi="Times New Roman"/>
          <w:color w:val="000000"/>
          <w:sz w:val="24"/>
          <w:szCs w:val="24"/>
        </w:rPr>
        <w:t xml:space="preserve"> barriers </w:t>
      </w:r>
      <w:r>
        <w:rPr>
          <w:rFonts w:ascii="Times New Roman" w:hAnsi="Times New Roman"/>
          <w:color w:val="000000"/>
          <w:sz w:val="24"/>
          <w:szCs w:val="24"/>
        </w:rPr>
        <w:t>to professional careers is limited (</w:t>
      </w:r>
      <w:r w:rsidRPr="0032385A">
        <w:rPr>
          <w:rFonts w:ascii="Times New Roman" w:hAnsi="Times New Roman"/>
          <w:color w:val="000000"/>
          <w:sz w:val="24"/>
          <w:szCs w:val="24"/>
        </w:rPr>
        <w:t>Langlands</w:t>
      </w:r>
      <w:r>
        <w:rPr>
          <w:rFonts w:ascii="Times New Roman" w:hAnsi="Times New Roman"/>
          <w:color w:val="000000"/>
          <w:sz w:val="24"/>
          <w:szCs w:val="24"/>
        </w:rPr>
        <w:t>,</w:t>
      </w:r>
      <w:r w:rsidRPr="0032385A">
        <w:rPr>
          <w:rFonts w:ascii="Times New Roman" w:hAnsi="Times New Roman"/>
          <w:color w:val="000000"/>
          <w:sz w:val="24"/>
          <w:szCs w:val="24"/>
        </w:rPr>
        <w:t xml:space="preserve"> 2005</w:t>
      </w:r>
      <w:r>
        <w:rPr>
          <w:rFonts w:ascii="Times New Roman" w:hAnsi="Times New Roman"/>
          <w:color w:val="000000"/>
          <w:sz w:val="24"/>
          <w:szCs w:val="24"/>
        </w:rPr>
        <w:t>; Sutton Trust, 2005, 2006</w:t>
      </w:r>
      <w:r w:rsidR="008B413A">
        <w:rPr>
          <w:rFonts w:ascii="Times New Roman" w:hAnsi="Times New Roman"/>
          <w:color w:val="000000"/>
          <w:sz w:val="24"/>
          <w:szCs w:val="24"/>
        </w:rPr>
        <w:t xml:space="preserve">). </w:t>
      </w:r>
      <w:r w:rsidRPr="00DF3021">
        <w:rPr>
          <w:rFonts w:ascii="Times New Roman" w:hAnsi="Times New Roman"/>
          <w:color w:val="000000"/>
          <w:sz w:val="24"/>
          <w:szCs w:val="24"/>
        </w:rPr>
        <w:t xml:space="preserve">Macmillan (2009) </w:t>
      </w:r>
      <w:r>
        <w:rPr>
          <w:rFonts w:ascii="Times New Roman" w:hAnsi="Times New Roman"/>
          <w:color w:val="000000"/>
          <w:sz w:val="24"/>
          <w:szCs w:val="24"/>
        </w:rPr>
        <w:t>found</w:t>
      </w:r>
      <w:r w:rsidRPr="00D87BB8">
        <w:rPr>
          <w:rFonts w:ascii="Times New Roman" w:hAnsi="Times New Roman"/>
          <w:color w:val="000000"/>
          <w:sz w:val="24"/>
          <w:szCs w:val="24"/>
        </w:rPr>
        <w:t xml:space="preserve"> an increase in </w:t>
      </w:r>
      <w:r>
        <w:rPr>
          <w:rFonts w:ascii="Times New Roman" w:hAnsi="Times New Roman"/>
          <w:color w:val="000000"/>
          <w:sz w:val="24"/>
          <w:szCs w:val="24"/>
        </w:rPr>
        <w:t xml:space="preserve">the proportion of </w:t>
      </w:r>
      <w:r w:rsidRPr="00D87BB8">
        <w:rPr>
          <w:rFonts w:ascii="Times New Roman" w:hAnsi="Times New Roman"/>
          <w:color w:val="000000"/>
          <w:sz w:val="24"/>
          <w:szCs w:val="24"/>
        </w:rPr>
        <w:t>professionals originating from wealthier families between 1958 and 1970 in nine of the 12 professions examined</w:t>
      </w:r>
      <w:r w:rsidR="00B32048">
        <w:rPr>
          <w:rFonts w:ascii="Times New Roman" w:hAnsi="Times New Roman"/>
          <w:color w:val="000000"/>
          <w:sz w:val="24"/>
          <w:szCs w:val="24"/>
        </w:rPr>
        <w:t xml:space="preserve"> and </w:t>
      </w:r>
      <w:r w:rsidR="00865471">
        <w:rPr>
          <w:rFonts w:ascii="Times New Roman" w:hAnsi="Times New Roman"/>
          <w:color w:val="000000"/>
          <w:sz w:val="24"/>
          <w:szCs w:val="24"/>
        </w:rPr>
        <w:t xml:space="preserve">Bukodi </w:t>
      </w:r>
      <w:r w:rsidRPr="00BD3970">
        <w:rPr>
          <w:rFonts w:ascii="Times New Roman" w:hAnsi="Times New Roman"/>
          <w:color w:val="000000"/>
          <w:sz w:val="24"/>
          <w:szCs w:val="24"/>
        </w:rPr>
        <w:t>and Goldthorpe (</w:t>
      </w:r>
      <w:r w:rsidRPr="00F90DA1">
        <w:rPr>
          <w:rFonts w:ascii="Times New Roman" w:hAnsi="Times New Roman"/>
          <w:color w:val="000000"/>
          <w:sz w:val="24"/>
          <w:szCs w:val="24"/>
        </w:rPr>
        <w:t>2011b)</w:t>
      </w:r>
      <w:r w:rsidRPr="00BD3970">
        <w:rPr>
          <w:rFonts w:ascii="Times New Roman" w:hAnsi="Times New Roman"/>
          <w:color w:val="000000"/>
          <w:sz w:val="24"/>
          <w:szCs w:val="24"/>
        </w:rPr>
        <w:t xml:space="preserve"> highligh</w:t>
      </w:r>
      <w:r>
        <w:rPr>
          <w:rFonts w:ascii="Times New Roman" w:hAnsi="Times New Roman"/>
          <w:color w:val="000000"/>
          <w:sz w:val="24"/>
          <w:szCs w:val="24"/>
        </w:rPr>
        <w:t>t</w:t>
      </w:r>
      <w:r w:rsidRPr="00BD3970">
        <w:rPr>
          <w:rFonts w:ascii="Times New Roman" w:hAnsi="Times New Roman"/>
          <w:color w:val="000000"/>
          <w:sz w:val="24"/>
          <w:szCs w:val="24"/>
        </w:rPr>
        <w:t xml:space="preserve"> the </w:t>
      </w:r>
      <w:r>
        <w:rPr>
          <w:rFonts w:ascii="Times New Roman" w:hAnsi="Times New Roman"/>
          <w:color w:val="000000"/>
          <w:sz w:val="24"/>
          <w:szCs w:val="24"/>
        </w:rPr>
        <w:t xml:space="preserve">influence </w:t>
      </w:r>
      <w:r w:rsidRPr="00BD3970">
        <w:rPr>
          <w:rFonts w:ascii="Times New Roman" w:hAnsi="Times New Roman"/>
          <w:color w:val="000000"/>
          <w:sz w:val="24"/>
          <w:szCs w:val="24"/>
        </w:rPr>
        <w:t xml:space="preserve">of education, particularly higher tertiary qualifications, and class origin </w:t>
      </w:r>
      <w:r>
        <w:rPr>
          <w:rFonts w:ascii="Times New Roman" w:hAnsi="Times New Roman"/>
          <w:color w:val="000000"/>
          <w:sz w:val="24"/>
          <w:szCs w:val="24"/>
        </w:rPr>
        <w:t xml:space="preserve">on </w:t>
      </w:r>
      <w:r w:rsidRPr="00BD3970">
        <w:rPr>
          <w:rFonts w:ascii="Times New Roman" w:hAnsi="Times New Roman"/>
          <w:color w:val="000000"/>
          <w:sz w:val="24"/>
          <w:szCs w:val="24"/>
        </w:rPr>
        <w:t xml:space="preserve">access to the salariat (defined as NS-SEC classes 1 and 2). </w:t>
      </w:r>
    </w:p>
    <w:p w:rsidR="003302DC"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We build on </w:t>
      </w:r>
      <w:r w:rsidR="00B32048">
        <w:rPr>
          <w:rFonts w:ascii="Times New Roman" w:hAnsi="Times New Roman"/>
          <w:color w:val="000000"/>
          <w:sz w:val="24"/>
          <w:szCs w:val="24"/>
        </w:rPr>
        <w:t xml:space="preserve">this </w:t>
      </w:r>
      <w:r>
        <w:rPr>
          <w:rFonts w:ascii="Times New Roman" w:hAnsi="Times New Roman"/>
          <w:color w:val="000000"/>
          <w:sz w:val="24"/>
          <w:szCs w:val="24"/>
        </w:rPr>
        <w:t>work, focusing on elite occupations</w:t>
      </w:r>
      <w:r w:rsidR="00E36725">
        <w:rPr>
          <w:rFonts w:ascii="Times New Roman" w:hAnsi="Times New Roman"/>
          <w:color w:val="000000"/>
          <w:sz w:val="24"/>
          <w:szCs w:val="24"/>
        </w:rPr>
        <w:t xml:space="preserve"> (NS-SEC 1 only)</w:t>
      </w:r>
      <w:r>
        <w:rPr>
          <w:rFonts w:ascii="Times New Roman" w:hAnsi="Times New Roman"/>
          <w:color w:val="000000"/>
          <w:sz w:val="24"/>
          <w:szCs w:val="24"/>
        </w:rPr>
        <w:t xml:space="preserve">, incorporating analysis of female graduates and </w:t>
      </w:r>
      <w:r w:rsidR="00E36725">
        <w:rPr>
          <w:rFonts w:ascii="Times New Roman" w:hAnsi="Times New Roman"/>
          <w:color w:val="000000"/>
          <w:sz w:val="24"/>
          <w:szCs w:val="24"/>
        </w:rPr>
        <w:t>attempting to isolate</w:t>
      </w:r>
      <w:r>
        <w:rPr>
          <w:rFonts w:ascii="Times New Roman" w:hAnsi="Times New Roman"/>
          <w:color w:val="000000"/>
          <w:sz w:val="24"/>
          <w:szCs w:val="24"/>
        </w:rPr>
        <w:t xml:space="preserve"> the relationship between </w:t>
      </w:r>
      <w:r w:rsidR="00CB3B9E">
        <w:rPr>
          <w:rFonts w:ascii="Times New Roman" w:hAnsi="Times New Roman"/>
          <w:color w:val="000000"/>
          <w:sz w:val="24"/>
          <w:szCs w:val="24"/>
        </w:rPr>
        <w:t>background</w:t>
      </w:r>
      <w:r>
        <w:rPr>
          <w:rFonts w:ascii="Times New Roman" w:hAnsi="Times New Roman"/>
          <w:color w:val="000000"/>
          <w:sz w:val="24"/>
          <w:szCs w:val="24"/>
        </w:rPr>
        <w:t xml:space="preserve"> and occupation by taking fuller account of individuals’ school and university </w:t>
      </w:r>
      <w:r w:rsidR="00CB3B9E">
        <w:rPr>
          <w:rFonts w:ascii="Times New Roman" w:hAnsi="Times New Roman"/>
          <w:color w:val="000000"/>
          <w:sz w:val="24"/>
          <w:szCs w:val="24"/>
        </w:rPr>
        <w:t>experiences</w:t>
      </w:r>
      <w:r>
        <w:rPr>
          <w:rFonts w:ascii="Times New Roman" w:hAnsi="Times New Roman"/>
          <w:color w:val="000000"/>
          <w:sz w:val="24"/>
          <w:szCs w:val="24"/>
        </w:rPr>
        <w:t xml:space="preserve">, including subject of degree and institution attended. </w:t>
      </w:r>
      <w:r w:rsidR="00865471">
        <w:rPr>
          <w:rFonts w:ascii="Times New Roman" w:hAnsi="Times New Roman"/>
          <w:color w:val="000000"/>
          <w:sz w:val="24"/>
          <w:szCs w:val="24"/>
        </w:rPr>
        <w:t xml:space="preserve">Our </w:t>
      </w:r>
      <w:r>
        <w:rPr>
          <w:rFonts w:ascii="Times New Roman" w:hAnsi="Times New Roman"/>
          <w:color w:val="000000"/>
          <w:sz w:val="24"/>
          <w:szCs w:val="24"/>
        </w:rPr>
        <w:t xml:space="preserve">work is </w:t>
      </w:r>
      <w:r w:rsidR="00865471">
        <w:rPr>
          <w:rFonts w:ascii="Times New Roman" w:hAnsi="Times New Roman"/>
          <w:color w:val="000000"/>
          <w:sz w:val="24"/>
          <w:szCs w:val="24"/>
        </w:rPr>
        <w:t xml:space="preserve">also </w:t>
      </w:r>
      <w:r>
        <w:rPr>
          <w:rFonts w:ascii="Times New Roman" w:hAnsi="Times New Roman"/>
          <w:color w:val="000000"/>
          <w:sz w:val="24"/>
          <w:szCs w:val="24"/>
        </w:rPr>
        <w:t>closely related to the</w:t>
      </w:r>
      <w:r w:rsidRPr="00D87BB8">
        <w:rPr>
          <w:rFonts w:ascii="Times New Roman" w:hAnsi="Times New Roman"/>
          <w:color w:val="000000"/>
          <w:sz w:val="24"/>
          <w:szCs w:val="24"/>
        </w:rPr>
        <w:t xml:space="preserve"> international research on the </w:t>
      </w:r>
      <w:r>
        <w:rPr>
          <w:rFonts w:ascii="Times New Roman" w:hAnsi="Times New Roman"/>
          <w:color w:val="000000"/>
          <w:sz w:val="24"/>
          <w:szCs w:val="24"/>
        </w:rPr>
        <w:t>extent to which children are employed in the same organisations as their parents</w:t>
      </w:r>
      <w:r w:rsidR="008A73EC">
        <w:rPr>
          <w:rFonts w:ascii="Times New Roman" w:hAnsi="Times New Roman"/>
          <w:color w:val="000000"/>
          <w:sz w:val="24"/>
          <w:szCs w:val="24"/>
        </w:rPr>
        <w:t xml:space="preserve"> (</w:t>
      </w:r>
      <w:r w:rsidR="008A73EC" w:rsidRPr="00D87BB8">
        <w:rPr>
          <w:rFonts w:ascii="Times New Roman" w:hAnsi="Times New Roman"/>
          <w:color w:val="000000"/>
          <w:sz w:val="24"/>
          <w:szCs w:val="24"/>
        </w:rPr>
        <w:t>Corak</w:t>
      </w:r>
      <w:r w:rsidR="008A73EC">
        <w:rPr>
          <w:rFonts w:ascii="Times New Roman" w:hAnsi="Times New Roman"/>
          <w:color w:val="000000"/>
          <w:sz w:val="24"/>
          <w:szCs w:val="24"/>
        </w:rPr>
        <w:t xml:space="preserve"> and Piraino, </w:t>
      </w:r>
      <w:r w:rsidR="008A73EC" w:rsidRPr="00D87BB8">
        <w:rPr>
          <w:rFonts w:ascii="Times New Roman" w:hAnsi="Times New Roman"/>
          <w:color w:val="000000"/>
          <w:sz w:val="24"/>
          <w:szCs w:val="24"/>
        </w:rPr>
        <w:t>2010</w:t>
      </w:r>
      <w:r w:rsidR="008A73EC">
        <w:rPr>
          <w:rFonts w:ascii="Times New Roman" w:hAnsi="Times New Roman"/>
          <w:color w:val="000000"/>
          <w:sz w:val="24"/>
          <w:szCs w:val="24"/>
        </w:rPr>
        <w:t xml:space="preserve">; </w:t>
      </w:r>
      <w:r w:rsidR="008A73EC" w:rsidRPr="00D87BB8">
        <w:rPr>
          <w:rFonts w:ascii="Times New Roman" w:hAnsi="Times New Roman"/>
          <w:color w:val="000000"/>
          <w:sz w:val="24"/>
          <w:szCs w:val="24"/>
        </w:rPr>
        <w:t>Bingley, Corak and Westergård-Nielsen, 2011)</w:t>
      </w:r>
      <w:r w:rsidR="008B413A">
        <w:rPr>
          <w:rFonts w:ascii="Times New Roman" w:hAnsi="Times New Roman"/>
          <w:color w:val="000000"/>
          <w:sz w:val="24"/>
          <w:szCs w:val="24"/>
        </w:rPr>
        <w:t xml:space="preserve">, </w:t>
      </w:r>
      <w:r w:rsidR="008B413A">
        <w:rPr>
          <w:rFonts w:ascii="Times New Roman" w:hAnsi="Times New Roman"/>
          <w:color w:val="000000"/>
          <w:sz w:val="24"/>
          <w:szCs w:val="24"/>
        </w:rPr>
        <w:lastRenderedPageBreak/>
        <w:t xml:space="preserve">however </w:t>
      </w:r>
      <w:r>
        <w:rPr>
          <w:rFonts w:ascii="Times New Roman" w:hAnsi="Times New Roman"/>
          <w:color w:val="000000"/>
          <w:sz w:val="24"/>
          <w:szCs w:val="24"/>
        </w:rPr>
        <w:t xml:space="preserve">we </w:t>
      </w:r>
      <w:r w:rsidR="003261CC">
        <w:rPr>
          <w:rFonts w:ascii="Times New Roman" w:hAnsi="Times New Roman"/>
          <w:color w:val="000000"/>
          <w:sz w:val="24"/>
          <w:szCs w:val="24"/>
        </w:rPr>
        <w:t xml:space="preserve">take a </w:t>
      </w:r>
      <w:r w:rsidR="00E36725">
        <w:rPr>
          <w:rFonts w:ascii="Times New Roman" w:hAnsi="Times New Roman"/>
          <w:color w:val="000000"/>
          <w:sz w:val="24"/>
          <w:szCs w:val="24"/>
        </w:rPr>
        <w:t>wider</w:t>
      </w:r>
      <w:r w:rsidR="003261CC">
        <w:rPr>
          <w:rFonts w:ascii="Times New Roman" w:hAnsi="Times New Roman"/>
          <w:color w:val="000000"/>
          <w:sz w:val="24"/>
          <w:szCs w:val="24"/>
        </w:rPr>
        <w:t xml:space="preserve"> approach,</w:t>
      </w:r>
      <w:r w:rsidR="00CB3B9E">
        <w:rPr>
          <w:rFonts w:ascii="Times New Roman" w:hAnsi="Times New Roman"/>
          <w:color w:val="000000"/>
          <w:sz w:val="24"/>
          <w:szCs w:val="24"/>
        </w:rPr>
        <w:t xml:space="preserve"> considering a number of measures of background and</w:t>
      </w:r>
      <w:r w:rsidR="003261CC">
        <w:rPr>
          <w:rFonts w:ascii="Times New Roman" w:hAnsi="Times New Roman"/>
          <w:color w:val="000000"/>
          <w:sz w:val="24"/>
          <w:szCs w:val="24"/>
        </w:rPr>
        <w:t xml:space="preserve"> measuring the extent to which </w:t>
      </w:r>
      <w:r>
        <w:rPr>
          <w:rFonts w:ascii="Times New Roman" w:hAnsi="Times New Roman"/>
          <w:color w:val="000000"/>
          <w:sz w:val="24"/>
          <w:szCs w:val="24"/>
        </w:rPr>
        <w:t>children with parents</w:t>
      </w:r>
      <w:r w:rsidR="00CB3B9E">
        <w:rPr>
          <w:rFonts w:ascii="Times New Roman" w:hAnsi="Times New Roman"/>
          <w:color w:val="000000"/>
          <w:sz w:val="24"/>
          <w:szCs w:val="24"/>
        </w:rPr>
        <w:t xml:space="preserve"> working in elite occupations</w:t>
      </w:r>
      <w:r>
        <w:rPr>
          <w:rFonts w:ascii="Times New Roman" w:hAnsi="Times New Roman"/>
          <w:color w:val="000000"/>
          <w:sz w:val="24"/>
          <w:szCs w:val="24"/>
        </w:rPr>
        <w:t xml:space="preserve"> are more likely to </w:t>
      </w:r>
      <w:r w:rsidR="00CB3B9E">
        <w:rPr>
          <w:rFonts w:ascii="Times New Roman" w:hAnsi="Times New Roman"/>
          <w:color w:val="000000"/>
          <w:sz w:val="24"/>
          <w:szCs w:val="24"/>
        </w:rPr>
        <w:t>work in these high status occupations themselves</w:t>
      </w:r>
      <w:r w:rsidR="008B413A">
        <w:rPr>
          <w:rFonts w:ascii="Times New Roman" w:hAnsi="Times New Roman"/>
          <w:color w:val="000000"/>
          <w:sz w:val="24"/>
          <w:szCs w:val="24"/>
        </w:rPr>
        <w:t>.</w:t>
      </w:r>
    </w:p>
    <w:p w:rsidR="00865471"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We also assess whether the use of networks explains a significant proportion of the socio-economic gap in access to high status occupations. </w:t>
      </w:r>
      <w:r w:rsidR="00F44253">
        <w:rPr>
          <w:rFonts w:ascii="Times New Roman" w:hAnsi="Times New Roman"/>
          <w:color w:val="000000"/>
          <w:sz w:val="24"/>
          <w:szCs w:val="24"/>
        </w:rPr>
        <w:t xml:space="preserve">Networks represent </w:t>
      </w:r>
      <w:r w:rsidR="00F44253" w:rsidRPr="00DC456C">
        <w:rPr>
          <w:rFonts w:ascii="Times New Roman" w:hAnsi="Times New Roman"/>
          <w:color w:val="000000"/>
          <w:sz w:val="24"/>
          <w:szCs w:val="24"/>
        </w:rPr>
        <w:t xml:space="preserve">informal channels of job search including </w:t>
      </w:r>
      <w:r w:rsidR="00F44253">
        <w:rPr>
          <w:rFonts w:ascii="Times New Roman" w:hAnsi="Times New Roman"/>
          <w:color w:val="000000"/>
          <w:sz w:val="24"/>
          <w:szCs w:val="24"/>
        </w:rPr>
        <w:t xml:space="preserve">employee </w:t>
      </w:r>
      <w:r w:rsidR="00F44253" w:rsidRPr="00DC456C">
        <w:rPr>
          <w:rFonts w:ascii="Times New Roman" w:hAnsi="Times New Roman"/>
          <w:color w:val="000000"/>
          <w:sz w:val="24"/>
          <w:szCs w:val="24"/>
        </w:rPr>
        <w:t>referrals and social connections (Rees, 1966)</w:t>
      </w:r>
      <w:r w:rsidR="00F44253">
        <w:rPr>
          <w:rFonts w:ascii="Times New Roman" w:hAnsi="Times New Roman"/>
          <w:color w:val="000000"/>
          <w:sz w:val="24"/>
          <w:szCs w:val="24"/>
        </w:rPr>
        <w:t xml:space="preserve"> and are one important element of social capital (Loury, 1977; </w:t>
      </w:r>
      <w:r w:rsidR="00F44253" w:rsidRPr="00DC456C">
        <w:rPr>
          <w:rFonts w:ascii="Times New Roman" w:hAnsi="Times New Roman"/>
          <w:color w:val="000000"/>
          <w:sz w:val="24"/>
          <w:szCs w:val="24"/>
        </w:rPr>
        <w:t>Coleman</w:t>
      </w:r>
      <w:r w:rsidR="00F44253">
        <w:rPr>
          <w:rFonts w:ascii="Times New Roman" w:hAnsi="Times New Roman"/>
          <w:color w:val="000000"/>
          <w:sz w:val="24"/>
          <w:szCs w:val="24"/>
        </w:rPr>
        <w:t>,</w:t>
      </w:r>
      <w:r w:rsidR="00F44253" w:rsidRPr="00DC456C">
        <w:rPr>
          <w:rFonts w:ascii="Times New Roman" w:hAnsi="Times New Roman"/>
          <w:color w:val="000000"/>
          <w:sz w:val="24"/>
          <w:szCs w:val="24"/>
        </w:rPr>
        <w:t xml:space="preserve"> 1990)</w:t>
      </w:r>
      <w:r w:rsidR="00F44253">
        <w:rPr>
          <w:rFonts w:ascii="Times New Roman" w:hAnsi="Times New Roman"/>
          <w:color w:val="000000"/>
          <w:sz w:val="24"/>
          <w:szCs w:val="24"/>
        </w:rPr>
        <w:t xml:space="preserve">. </w:t>
      </w:r>
      <w:r>
        <w:rPr>
          <w:rFonts w:ascii="Times New Roman" w:hAnsi="Times New Roman"/>
          <w:color w:val="000000"/>
          <w:sz w:val="24"/>
          <w:szCs w:val="24"/>
        </w:rPr>
        <w:t>Numerous theoretical contributions have modelled the influence of networks on labour market outcomes</w:t>
      </w:r>
      <w:r w:rsidRPr="00C13EF6">
        <w:rPr>
          <w:rFonts w:ascii="Times New Roman" w:hAnsi="Times New Roman"/>
          <w:color w:val="000000"/>
          <w:sz w:val="24"/>
          <w:szCs w:val="24"/>
        </w:rPr>
        <w:t xml:space="preserve"> </w:t>
      </w:r>
      <w:r>
        <w:rPr>
          <w:rFonts w:ascii="Times New Roman" w:hAnsi="Times New Roman"/>
          <w:color w:val="000000"/>
          <w:sz w:val="24"/>
          <w:szCs w:val="24"/>
        </w:rPr>
        <w:t>(Montgomery, 1991;</w:t>
      </w:r>
      <w:r w:rsidRPr="00AD2459">
        <w:rPr>
          <w:rFonts w:ascii="Times New Roman" w:hAnsi="Times New Roman"/>
          <w:color w:val="000000"/>
          <w:sz w:val="24"/>
          <w:szCs w:val="24"/>
        </w:rPr>
        <w:t xml:space="preserve"> </w:t>
      </w:r>
      <w:r>
        <w:rPr>
          <w:rFonts w:ascii="Times New Roman" w:hAnsi="Times New Roman"/>
          <w:color w:val="000000"/>
          <w:sz w:val="24"/>
          <w:szCs w:val="24"/>
        </w:rPr>
        <w:t>Calvo-Armengol, 2004 and 2007;</w:t>
      </w:r>
      <w:r w:rsidRPr="00AD2459">
        <w:rPr>
          <w:rFonts w:ascii="Times New Roman" w:hAnsi="Times New Roman"/>
          <w:color w:val="000000"/>
          <w:sz w:val="24"/>
          <w:szCs w:val="24"/>
        </w:rPr>
        <w:t xml:space="preserve"> Casella and Hanaki, 2005</w:t>
      </w:r>
      <w:r w:rsidR="008B413A">
        <w:rPr>
          <w:rFonts w:ascii="Times New Roman" w:hAnsi="Times New Roman"/>
          <w:color w:val="000000"/>
          <w:sz w:val="24"/>
          <w:szCs w:val="24"/>
        </w:rPr>
        <w:t>; Granovetter 1973, 1974 and 1995</w:t>
      </w:r>
      <w:r w:rsidRPr="00AD2459">
        <w:rPr>
          <w:rFonts w:ascii="Times New Roman" w:hAnsi="Times New Roman"/>
          <w:color w:val="000000"/>
          <w:sz w:val="24"/>
          <w:szCs w:val="24"/>
        </w:rPr>
        <w:t>)</w:t>
      </w:r>
      <w:r>
        <w:rPr>
          <w:rFonts w:ascii="Times New Roman" w:hAnsi="Times New Roman"/>
          <w:color w:val="000000"/>
          <w:sz w:val="24"/>
          <w:szCs w:val="24"/>
        </w:rPr>
        <w:t xml:space="preserve">. </w:t>
      </w:r>
      <w:r w:rsidR="00602302">
        <w:rPr>
          <w:rFonts w:ascii="Times New Roman" w:hAnsi="Times New Roman"/>
          <w:color w:val="000000"/>
          <w:sz w:val="24"/>
          <w:szCs w:val="24"/>
        </w:rPr>
        <w:t xml:space="preserve">Networks </w:t>
      </w:r>
      <w:r>
        <w:rPr>
          <w:rFonts w:ascii="Times New Roman" w:hAnsi="Times New Roman"/>
          <w:color w:val="000000"/>
          <w:sz w:val="24"/>
          <w:szCs w:val="24"/>
        </w:rPr>
        <w:t xml:space="preserve">are considered to be </w:t>
      </w:r>
      <w:r w:rsidRPr="00D87BB8">
        <w:rPr>
          <w:rFonts w:ascii="Times New Roman" w:hAnsi="Times New Roman"/>
          <w:color w:val="000000"/>
          <w:sz w:val="24"/>
          <w:szCs w:val="24"/>
        </w:rPr>
        <w:t>productive and low cost method</w:t>
      </w:r>
      <w:r>
        <w:rPr>
          <w:rFonts w:ascii="Times New Roman" w:hAnsi="Times New Roman"/>
          <w:color w:val="000000"/>
          <w:sz w:val="24"/>
          <w:szCs w:val="24"/>
        </w:rPr>
        <w:t>s</w:t>
      </w:r>
      <w:r w:rsidRPr="00D87BB8">
        <w:rPr>
          <w:rFonts w:ascii="Times New Roman" w:hAnsi="Times New Roman"/>
          <w:color w:val="000000"/>
          <w:sz w:val="24"/>
          <w:szCs w:val="24"/>
        </w:rPr>
        <w:t xml:space="preserve"> of generating job offers</w:t>
      </w:r>
      <w:r>
        <w:rPr>
          <w:rFonts w:ascii="Times New Roman" w:hAnsi="Times New Roman"/>
          <w:color w:val="000000"/>
          <w:sz w:val="24"/>
          <w:szCs w:val="24"/>
        </w:rPr>
        <w:t xml:space="preserve"> (</w:t>
      </w:r>
      <w:r w:rsidRPr="00D87BB8">
        <w:rPr>
          <w:rFonts w:ascii="Times New Roman" w:hAnsi="Times New Roman"/>
          <w:color w:val="000000"/>
          <w:sz w:val="24"/>
          <w:szCs w:val="24"/>
        </w:rPr>
        <w:t>Hol</w:t>
      </w:r>
      <w:r>
        <w:rPr>
          <w:rFonts w:ascii="Times New Roman" w:hAnsi="Times New Roman"/>
          <w:color w:val="000000"/>
          <w:sz w:val="24"/>
          <w:szCs w:val="24"/>
        </w:rPr>
        <w:t xml:space="preserve">zer, </w:t>
      </w:r>
      <w:r w:rsidRPr="00D87BB8">
        <w:rPr>
          <w:rFonts w:ascii="Times New Roman" w:hAnsi="Times New Roman"/>
          <w:color w:val="000000"/>
          <w:sz w:val="24"/>
          <w:szCs w:val="24"/>
        </w:rPr>
        <w:t>1988)</w:t>
      </w:r>
      <w:r>
        <w:rPr>
          <w:rFonts w:ascii="Times New Roman" w:hAnsi="Times New Roman"/>
          <w:color w:val="000000"/>
          <w:sz w:val="24"/>
          <w:szCs w:val="24"/>
        </w:rPr>
        <w:t>, usually with benefits for income and job tenure (Loury, 2006),</w:t>
      </w:r>
      <w:r w:rsidR="008B413A">
        <w:rPr>
          <w:rFonts w:ascii="Times New Roman" w:hAnsi="Times New Roman"/>
          <w:color w:val="000000"/>
          <w:sz w:val="24"/>
          <w:szCs w:val="24"/>
        </w:rPr>
        <w:t xml:space="preserve"> </w:t>
      </w:r>
      <w:r>
        <w:rPr>
          <w:rFonts w:ascii="Times New Roman" w:hAnsi="Times New Roman"/>
          <w:color w:val="000000"/>
          <w:sz w:val="24"/>
          <w:szCs w:val="24"/>
        </w:rPr>
        <w:t xml:space="preserve">however reliance on networks may also cause a mismatch between occupational choice and productive advantage thus lowering wages (Bentolila, 2010).  </w:t>
      </w:r>
      <w:r w:rsidRPr="00B325BB">
        <w:rPr>
          <w:rFonts w:ascii="Times New Roman" w:hAnsi="Times New Roman"/>
          <w:color w:val="000000"/>
          <w:sz w:val="24"/>
          <w:szCs w:val="24"/>
        </w:rPr>
        <w:t>Ioannides and Loury (2004)</w:t>
      </w:r>
      <w:r>
        <w:rPr>
          <w:rFonts w:ascii="Times New Roman" w:hAnsi="Times New Roman"/>
          <w:color w:val="000000"/>
          <w:sz w:val="24"/>
          <w:szCs w:val="24"/>
        </w:rPr>
        <w:t xml:space="preserve"> outline</w:t>
      </w:r>
      <w:r w:rsidRPr="00B325BB">
        <w:rPr>
          <w:rFonts w:ascii="Times New Roman" w:hAnsi="Times New Roman"/>
          <w:color w:val="000000"/>
          <w:sz w:val="24"/>
          <w:szCs w:val="24"/>
        </w:rPr>
        <w:t xml:space="preserve"> the </w:t>
      </w:r>
      <w:r>
        <w:rPr>
          <w:rFonts w:ascii="Times New Roman" w:hAnsi="Times New Roman"/>
          <w:color w:val="000000"/>
          <w:sz w:val="24"/>
          <w:szCs w:val="24"/>
        </w:rPr>
        <w:t xml:space="preserve">widespread use of networks </w:t>
      </w:r>
      <w:r w:rsidRPr="00B325BB">
        <w:rPr>
          <w:rFonts w:ascii="Times New Roman" w:hAnsi="Times New Roman"/>
          <w:color w:val="000000"/>
          <w:sz w:val="24"/>
          <w:szCs w:val="24"/>
        </w:rPr>
        <w:t xml:space="preserve">and </w:t>
      </w:r>
      <w:r>
        <w:rPr>
          <w:rFonts w:ascii="Times New Roman" w:hAnsi="Times New Roman"/>
          <w:color w:val="000000"/>
          <w:sz w:val="24"/>
          <w:szCs w:val="24"/>
        </w:rPr>
        <w:t>find</w:t>
      </w:r>
      <w:r w:rsidRPr="00B325BB">
        <w:rPr>
          <w:rFonts w:ascii="Times New Roman" w:hAnsi="Times New Roman"/>
          <w:color w:val="000000"/>
          <w:sz w:val="24"/>
          <w:szCs w:val="24"/>
        </w:rPr>
        <w:t xml:space="preserve"> </w:t>
      </w:r>
      <w:r>
        <w:rPr>
          <w:rFonts w:ascii="Times New Roman" w:hAnsi="Times New Roman"/>
          <w:color w:val="000000"/>
          <w:sz w:val="24"/>
          <w:szCs w:val="24"/>
        </w:rPr>
        <w:t xml:space="preserve">significant </w:t>
      </w:r>
      <w:r w:rsidRPr="00B325BB">
        <w:rPr>
          <w:rFonts w:ascii="Times New Roman" w:hAnsi="Times New Roman"/>
          <w:color w:val="000000"/>
          <w:sz w:val="24"/>
          <w:szCs w:val="24"/>
        </w:rPr>
        <w:t xml:space="preserve">variation in </w:t>
      </w:r>
      <w:r>
        <w:rPr>
          <w:rFonts w:ascii="Times New Roman" w:hAnsi="Times New Roman"/>
          <w:color w:val="000000"/>
          <w:sz w:val="24"/>
          <w:szCs w:val="24"/>
        </w:rPr>
        <w:t xml:space="preserve">the </w:t>
      </w:r>
      <w:r w:rsidRPr="00B325BB">
        <w:rPr>
          <w:rFonts w:ascii="Times New Roman" w:hAnsi="Times New Roman"/>
          <w:color w:val="000000"/>
          <w:sz w:val="24"/>
          <w:szCs w:val="24"/>
        </w:rPr>
        <w:t xml:space="preserve">usage and productivity </w:t>
      </w:r>
      <w:r>
        <w:rPr>
          <w:rFonts w:ascii="Times New Roman" w:hAnsi="Times New Roman"/>
          <w:color w:val="000000"/>
          <w:sz w:val="24"/>
          <w:szCs w:val="24"/>
        </w:rPr>
        <w:t xml:space="preserve">of networks between job seekers. </w:t>
      </w:r>
    </w:p>
    <w:p w:rsidR="00B57A2F"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This </w:t>
      </w:r>
      <w:r w:rsidR="00113CBA">
        <w:rPr>
          <w:rFonts w:ascii="Times New Roman" w:hAnsi="Times New Roman"/>
          <w:color w:val="000000"/>
          <w:sz w:val="24"/>
          <w:szCs w:val="24"/>
        </w:rPr>
        <w:t xml:space="preserve">variation and </w:t>
      </w:r>
      <w:r>
        <w:rPr>
          <w:rFonts w:ascii="Times New Roman" w:hAnsi="Times New Roman"/>
          <w:color w:val="000000"/>
          <w:sz w:val="24"/>
          <w:szCs w:val="24"/>
        </w:rPr>
        <w:t xml:space="preserve">complexity provides mixed evidence </w:t>
      </w:r>
      <w:r w:rsidR="00E36725">
        <w:rPr>
          <w:rFonts w:ascii="Times New Roman" w:hAnsi="Times New Roman"/>
          <w:color w:val="000000"/>
          <w:sz w:val="24"/>
          <w:szCs w:val="24"/>
        </w:rPr>
        <w:t>on</w:t>
      </w:r>
      <w:r>
        <w:rPr>
          <w:rFonts w:ascii="Times New Roman" w:hAnsi="Times New Roman"/>
          <w:color w:val="000000"/>
          <w:sz w:val="24"/>
          <w:szCs w:val="24"/>
        </w:rPr>
        <w:t xml:space="preserve"> the role of networks in accessing top jobs. </w:t>
      </w:r>
      <w:r w:rsidRPr="00162DF2">
        <w:rPr>
          <w:rFonts w:ascii="Times New Roman" w:hAnsi="Times New Roman"/>
          <w:color w:val="000000"/>
          <w:sz w:val="24"/>
          <w:szCs w:val="24"/>
        </w:rPr>
        <w:t>Marsden and Gorman (2001) present evidence that network contacts are more likely to be used</w:t>
      </w:r>
      <w:r w:rsidR="00E36725">
        <w:rPr>
          <w:rFonts w:ascii="Times New Roman" w:hAnsi="Times New Roman"/>
          <w:color w:val="000000"/>
          <w:sz w:val="24"/>
          <w:szCs w:val="24"/>
        </w:rPr>
        <w:t xml:space="preserve"> by</w:t>
      </w:r>
      <w:r w:rsidRPr="00162DF2">
        <w:rPr>
          <w:rFonts w:ascii="Times New Roman" w:hAnsi="Times New Roman"/>
          <w:color w:val="000000"/>
          <w:sz w:val="24"/>
          <w:szCs w:val="24"/>
        </w:rPr>
        <w:t xml:space="preserve"> firms whe</w:t>
      </w:r>
      <w:r>
        <w:rPr>
          <w:rFonts w:ascii="Times New Roman" w:hAnsi="Times New Roman"/>
          <w:color w:val="000000"/>
          <w:sz w:val="24"/>
          <w:szCs w:val="24"/>
        </w:rPr>
        <w:t xml:space="preserve">re high quality information about workers’ likely performance is important, such as in managerial and </w:t>
      </w:r>
      <w:r w:rsidRPr="00162DF2">
        <w:rPr>
          <w:rFonts w:ascii="Times New Roman" w:hAnsi="Times New Roman"/>
          <w:color w:val="000000"/>
          <w:sz w:val="24"/>
          <w:szCs w:val="24"/>
        </w:rPr>
        <w:t>professional</w:t>
      </w:r>
      <w:r>
        <w:rPr>
          <w:rFonts w:ascii="Times New Roman" w:hAnsi="Times New Roman"/>
          <w:color w:val="000000"/>
          <w:sz w:val="24"/>
          <w:szCs w:val="24"/>
        </w:rPr>
        <w:t xml:space="preserve"> </w:t>
      </w:r>
      <w:r w:rsidRPr="00162DF2">
        <w:rPr>
          <w:rFonts w:ascii="Times New Roman" w:hAnsi="Times New Roman"/>
          <w:color w:val="000000"/>
          <w:sz w:val="24"/>
          <w:szCs w:val="24"/>
        </w:rPr>
        <w:t xml:space="preserve">positions. However, </w:t>
      </w:r>
      <w:r w:rsidR="00B12A57">
        <w:rPr>
          <w:rFonts w:ascii="Times New Roman" w:hAnsi="Times New Roman"/>
          <w:color w:val="000000"/>
          <w:sz w:val="24"/>
          <w:szCs w:val="24"/>
        </w:rPr>
        <w:t xml:space="preserve">evidence </w:t>
      </w:r>
      <w:r w:rsidR="00B57A2F">
        <w:rPr>
          <w:rFonts w:ascii="Times New Roman" w:hAnsi="Times New Roman"/>
          <w:color w:val="000000"/>
          <w:sz w:val="24"/>
          <w:szCs w:val="24"/>
        </w:rPr>
        <w:t xml:space="preserve">to the contrary </w:t>
      </w:r>
      <w:r w:rsidR="00B12A57">
        <w:rPr>
          <w:rFonts w:ascii="Times New Roman" w:hAnsi="Times New Roman"/>
          <w:color w:val="000000"/>
          <w:sz w:val="24"/>
          <w:szCs w:val="24"/>
        </w:rPr>
        <w:t>indicates that informal recruitment processes</w:t>
      </w:r>
      <w:r w:rsidR="00B12A57" w:rsidRPr="00162DF2">
        <w:rPr>
          <w:rFonts w:ascii="Times New Roman" w:hAnsi="Times New Roman"/>
          <w:color w:val="000000"/>
          <w:sz w:val="24"/>
          <w:szCs w:val="24"/>
        </w:rPr>
        <w:t xml:space="preserve"> may be use</w:t>
      </w:r>
      <w:r w:rsidR="00B12A57">
        <w:rPr>
          <w:rFonts w:ascii="Times New Roman" w:hAnsi="Times New Roman"/>
          <w:color w:val="000000"/>
          <w:sz w:val="24"/>
          <w:szCs w:val="24"/>
        </w:rPr>
        <w:t xml:space="preserve">d less frequently </w:t>
      </w:r>
      <w:r w:rsidR="00D7478A">
        <w:rPr>
          <w:rFonts w:ascii="Times New Roman" w:hAnsi="Times New Roman"/>
          <w:color w:val="000000"/>
          <w:sz w:val="24"/>
          <w:szCs w:val="24"/>
        </w:rPr>
        <w:t xml:space="preserve">than expected </w:t>
      </w:r>
      <w:r w:rsidR="00B12A57">
        <w:rPr>
          <w:rFonts w:ascii="Times New Roman" w:hAnsi="Times New Roman"/>
          <w:color w:val="000000"/>
          <w:sz w:val="24"/>
          <w:szCs w:val="24"/>
        </w:rPr>
        <w:t>for ‘top jobs’</w:t>
      </w:r>
      <w:r w:rsidR="00B57A2F">
        <w:rPr>
          <w:rFonts w:ascii="Times New Roman" w:hAnsi="Times New Roman"/>
          <w:color w:val="000000"/>
          <w:sz w:val="24"/>
          <w:szCs w:val="24"/>
        </w:rPr>
        <w:t xml:space="preserve"> (Pellizzarri, 2004; Rivera, 2012)</w:t>
      </w:r>
      <w:r w:rsidR="00113CBA">
        <w:rPr>
          <w:rFonts w:ascii="Times New Roman" w:hAnsi="Times New Roman"/>
          <w:color w:val="000000"/>
          <w:sz w:val="24"/>
          <w:szCs w:val="24"/>
        </w:rPr>
        <w:t xml:space="preserve">. </w:t>
      </w:r>
      <w:r w:rsidR="00B57A2F">
        <w:rPr>
          <w:rFonts w:ascii="Times New Roman" w:hAnsi="Times New Roman"/>
          <w:color w:val="000000"/>
          <w:sz w:val="24"/>
          <w:szCs w:val="24"/>
        </w:rPr>
        <w:t xml:space="preserve">Pellizzari (2004) further finds that </w:t>
      </w:r>
      <w:r w:rsidR="00B57A2F" w:rsidRPr="00162DF2">
        <w:rPr>
          <w:rFonts w:ascii="Times New Roman" w:hAnsi="Times New Roman"/>
          <w:color w:val="000000"/>
          <w:sz w:val="24"/>
          <w:szCs w:val="24"/>
        </w:rPr>
        <w:t>use of personal contacts lead</w:t>
      </w:r>
      <w:r w:rsidR="00B57A2F">
        <w:rPr>
          <w:rFonts w:ascii="Times New Roman" w:hAnsi="Times New Roman"/>
          <w:color w:val="000000"/>
          <w:sz w:val="24"/>
          <w:szCs w:val="24"/>
        </w:rPr>
        <w:t>s</w:t>
      </w:r>
      <w:r w:rsidR="00B57A2F" w:rsidRPr="00162DF2">
        <w:rPr>
          <w:rFonts w:ascii="Times New Roman" w:hAnsi="Times New Roman"/>
          <w:color w:val="000000"/>
          <w:sz w:val="24"/>
          <w:szCs w:val="24"/>
        </w:rPr>
        <w:t xml:space="preserve"> more frequently to jobs in small and medium sized</w:t>
      </w:r>
      <w:r w:rsidR="00B57A2F">
        <w:rPr>
          <w:rFonts w:ascii="Times New Roman" w:hAnsi="Times New Roman"/>
          <w:color w:val="000000"/>
          <w:sz w:val="24"/>
          <w:szCs w:val="24"/>
        </w:rPr>
        <w:t xml:space="preserve"> </w:t>
      </w:r>
      <w:r w:rsidR="00B57A2F" w:rsidRPr="00162DF2">
        <w:rPr>
          <w:rFonts w:ascii="Times New Roman" w:hAnsi="Times New Roman"/>
          <w:color w:val="000000"/>
          <w:sz w:val="24"/>
          <w:szCs w:val="24"/>
        </w:rPr>
        <w:t>firms</w:t>
      </w:r>
      <w:r w:rsidR="00B57A2F">
        <w:rPr>
          <w:rFonts w:ascii="Times New Roman" w:hAnsi="Times New Roman"/>
          <w:color w:val="000000"/>
          <w:sz w:val="24"/>
          <w:szCs w:val="24"/>
        </w:rPr>
        <w:t xml:space="preserve">, perhaps indicating that networks may be more valuable for securing top jobs in smaller firms </w:t>
      </w:r>
      <w:r w:rsidR="00E36725">
        <w:rPr>
          <w:rFonts w:ascii="Times New Roman" w:hAnsi="Times New Roman"/>
          <w:color w:val="000000"/>
          <w:sz w:val="24"/>
          <w:szCs w:val="24"/>
        </w:rPr>
        <w:t xml:space="preserve">rather </w:t>
      </w:r>
      <w:r w:rsidR="00B57A2F">
        <w:rPr>
          <w:rFonts w:ascii="Times New Roman" w:hAnsi="Times New Roman"/>
          <w:color w:val="000000"/>
          <w:sz w:val="24"/>
          <w:szCs w:val="24"/>
        </w:rPr>
        <w:t>than larger firms which are more likely to have formalised recruitment processes.</w:t>
      </w:r>
    </w:p>
    <w:p w:rsidR="00D30FC2" w:rsidRDefault="003302DC" w:rsidP="003302DC">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Networks also provide privileged access to </w:t>
      </w:r>
      <w:r w:rsidRPr="00184E9A">
        <w:rPr>
          <w:rFonts w:ascii="Times New Roman" w:hAnsi="Times New Roman"/>
          <w:color w:val="000000"/>
          <w:sz w:val="24"/>
          <w:szCs w:val="24"/>
        </w:rPr>
        <w:t>valuable work experience opportunities</w:t>
      </w:r>
      <w:r>
        <w:rPr>
          <w:rFonts w:ascii="Times New Roman" w:hAnsi="Times New Roman"/>
          <w:color w:val="000000"/>
          <w:sz w:val="24"/>
          <w:szCs w:val="24"/>
        </w:rPr>
        <w:t xml:space="preserve"> which are crucial stepping stones to securing a top job</w:t>
      </w:r>
      <w:r w:rsidR="008170D4">
        <w:rPr>
          <w:rFonts w:ascii="Times New Roman" w:hAnsi="Times New Roman"/>
          <w:color w:val="000000"/>
          <w:sz w:val="24"/>
          <w:szCs w:val="24"/>
        </w:rPr>
        <w:t xml:space="preserve"> (</w:t>
      </w:r>
      <w:r>
        <w:rPr>
          <w:rFonts w:ascii="Times New Roman" w:hAnsi="Times New Roman"/>
          <w:color w:val="000000"/>
          <w:sz w:val="24"/>
          <w:szCs w:val="24"/>
        </w:rPr>
        <w:t>Kramarz a</w:t>
      </w:r>
      <w:r w:rsidRPr="00B37624">
        <w:rPr>
          <w:rFonts w:ascii="Times New Roman" w:hAnsi="Times New Roman"/>
          <w:color w:val="000000"/>
          <w:sz w:val="24"/>
          <w:szCs w:val="24"/>
        </w:rPr>
        <w:t>nd Skans</w:t>
      </w:r>
      <w:r w:rsidR="008170D4">
        <w:rPr>
          <w:rFonts w:ascii="Times New Roman" w:hAnsi="Times New Roman"/>
          <w:color w:val="000000"/>
          <w:sz w:val="24"/>
          <w:szCs w:val="24"/>
        </w:rPr>
        <w:t xml:space="preserve">, </w:t>
      </w:r>
      <w:r w:rsidRPr="00B37624">
        <w:rPr>
          <w:rFonts w:ascii="Times New Roman" w:hAnsi="Times New Roman"/>
          <w:color w:val="000000"/>
          <w:sz w:val="24"/>
          <w:szCs w:val="24"/>
        </w:rPr>
        <w:t>2006</w:t>
      </w:r>
      <w:r w:rsidR="008170D4">
        <w:rPr>
          <w:rFonts w:ascii="Times New Roman" w:hAnsi="Times New Roman"/>
          <w:color w:val="000000"/>
          <w:sz w:val="24"/>
          <w:szCs w:val="24"/>
        </w:rPr>
        <w:t>; Francis and Sommerlad, 2009; Rolfe and Anderson, 2003). S</w:t>
      </w:r>
      <w:r w:rsidRPr="007E67D6">
        <w:rPr>
          <w:rFonts w:ascii="Times New Roman" w:hAnsi="Times New Roman"/>
          <w:color w:val="000000"/>
          <w:sz w:val="24"/>
          <w:szCs w:val="24"/>
        </w:rPr>
        <w:t xml:space="preserve">everal U.S. studies have conducted evaluations of ‘school to work’ initiatives, which often include work experience opportunities </w:t>
      </w:r>
      <w:r>
        <w:rPr>
          <w:rFonts w:ascii="Times New Roman" w:hAnsi="Times New Roman"/>
          <w:color w:val="000000"/>
          <w:sz w:val="24"/>
          <w:szCs w:val="24"/>
        </w:rPr>
        <w:t xml:space="preserve">but also mentoring </w:t>
      </w:r>
      <w:r w:rsidRPr="007E67D6">
        <w:rPr>
          <w:rFonts w:ascii="Times New Roman" w:hAnsi="Times New Roman"/>
          <w:color w:val="000000"/>
          <w:sz w:val="24"/>
          <w:szCs w:val="24"/>
        </w:rPr>
        <w:t>and employer engagement (Neumark and Rothstein, 2006; Kemple and Willner, 2008)</w:t>
      </w:r>
      <w:r w:rsidR="004F6B4E">
        <w:rPr>
          <w:rFonts w:ascii="Times New Roman" w:hAnsi="Times New Roman"/>
          <w:color w:val="000000"/>
          <w:sz w:val="24"/>
          <w:szCs w:val="24"/>
        </w:rPr>
        <w:t xml:space="preserve">. The findings from these studies are mixed. </w:t>
      </w:r>
      <w:r w:rsidRPr="007E67D6">
        <w:rPr>
          <w:rFonts w:ascii="Times New Roman" w:hAnsi="Times New Roman"/>
          <w:color w:val="000000"/>
          <w:sz w:val="24"/>
          <w:szCs w:val="24"/>
        </w:rPr>
        <w:t>An AIR (200</w:t>
      </w:r>
      <w:r w:rsidR="00865471">
        <w:rPr>
          <w:rFonts w:ascii="Times New Roman" w:hAnsi="Times New Roman"/>
          <w:color w:val="000000"/>
          <w:sz w:val="24"/>
          <w:szCs w:val="24"/>
        </w:rPr>
        <w:t>8</w:t>
      </w:r>
      <w:r w:rsidRPr="007E67D6">
        <w:rPr>
          <w:rFonts w:ascii="Times New Roman" w:hAnsi="Times New Roman"/>
          <w:color w:val="000000"/>
          <w:sz w:val="24"/>
          <w:szCs w:val="24"/>
        </w:rPr>
        <w:t>) report for the UK</w:t>
      </w:r>
      <w:r>
        <w:rPr>
          <w:rFonts w:ascii="Times New Roman" w:hAnsi="Times New Roman"/>
          <w:color w:val="000000"/>
          <w:sz w:val="24"/>
          <w:szCs w:val="24"/>
        </w:rPr>
        <w:t xml:space="preserve"> government indicates that only a few similar robust evaluations </w:t>
      </w:r>
      <w:r w:rsidR="00E36725">
        <w:rPr>
          <w:rFonts w:ascii="Times New Roman" w:hAnsi="Times New Roman"/>
          <w:color w:val="000000"/>
          <w:sz w:val="24"/>
          <w:szCs w:val="24"/>
        </w:rPr>
        <w:t>have</w:t>
      </w:r>
      <w:r>
        <w:rPr>
          <w:rFonts w:ascii="Times New Roman" w:hAnsi="Times New Roman"/>
          <w:color w:val="000000"/>
          <w:sz w:val="24"/>
          <w:szCs w:val="24"/>
        </w:rPr>
        <w:t xml:space="preserve"> been undertaken in the UK, but </w:t>
      </w:r>
      <w:r w:rsidR="00602302">
        <w:rPr>
          <w:rFonts w:ascii="Times New Roman" w:hAnsi="Times New Roman"/>
          <w:color w:val="000000"/>
          <w:sz w:val="24"/>
          <w:szCs w:val="24"/>
        </w:rPr>
        <w:t xml:space="preserve">for </w:t>
      </w:r>
      <w:r>
        <w:rPr>
          <w:rFonts w:ascii="Times New Roman" w:hAnsi="Times New Roman"/>
          <w:color w:val="000000"/>
          <w:sz w:val="24"/>
          <w:szCs w:val="24"/>
        </w:rPr>
        <w:t xml:space="preserve">those available, school links with employers have positive effects on student </w:t>
      </w:r>
      <w:r>
        <w:rPr>
          <w:rFonts w:ascii="Times New Roman" w:hAnsi="Times New Roman"/>
          <w:color w:val="000000"/>
          <w:sz w:val="24"/>
          <w:szCs w:val="24"/>
        </w:rPr>
        <w:lastRenderedPageBreak/>
        <w:t xml:space="preserve">attainment, employability and initial wages. </w:t>
      </w:r>
      <w:r w:rsidRPr="00D87BB8">
        <w:rPr>
          <w:rFonts w:ascii="Times New Roman" w:hAnsi="Times New Roman"/>
          <w:color w:val="000000"/>
          <w:sz w:val="24"/>
          <w:szCs w:val="24"/>
        </w:rPr>
        <w:t xml:space="preserve">Mann (2012) </w:t>
      </w:r>
      <w:r>
        <w:rPr>
          <w:rFonts w:ascii="Times New Roman" w:hAnsi="Times New Roman"/>
          <w:color w:val="000000"/>
          <w:sz w:val="24"/>
          <w:szCs w:val="24"/>
        </w:rPr>
        <w:t xml:space="preserve">also </w:t>
      </w:r>
      <w:r w:rsidRPr="00D87BB8">
        <w:rPr>
          <w:rFonts w:ascii="Times New Roman" w:hAnsi="Times New Roman"/>
          <w:color w:val="000000"/>
          <w:sz w:val="24"/>
          <w:szCs w:val="24"/>
        </w:rPr>
        <w:t>found that young people in the UK who have had regular contact with employers while in education are five times less likely to be NEET (‘not in education, employment or training’) and earn, on average, 16% more than their peers.</w:t>
      </w:r>
      <w:r w:rsidR="00C02372">
        <w:rPr>
          <w:rFonts w:ascii="Times New Roman" w:hAnsi="Times New Roman"/>
          <w:color w:val="000000"/>
          <w:sz w:val="24"/>
          <w:szCs w:val="24"/>
        </w:rPr>
        <w:t xml:space="preserve"> </w:t>
      </w:r>
      <w:r>
        <w:rPr>
          <w:rFonts w:ascii="Times New Roman" w:hAnsi="Times New Roman"/>
          <w:color w:val="000000"/>
          <w:sz w:val="24"/>
          <w:szCs w:val="24"/>
        </w:rPr>
        <w:t>More broadly, t</w:t>
      </w:r>
      <w:r w:rsidRPr="00D87BB8">
        <w:rPr>
          <w:rFonts w:ascii="Times New Roman" w:hAnsi="Times New Roman"/>
          <w:color w:val="000000"/>
          <w:sz w:val="24"/>
          <w:szCs w:val="24"/>
        </w:rPr>
        <w:t xml:space="preserve">he importance of finding work experience, internships and placement opportunities </w:t>
      </w:r>
      <w:r>
        <w:rPr>
          <w:rFonts w:ascii="Times New Roman" w:hAnsi="Times New Roman"/>
          <w:color w:val="000000"/>
          <w:sz w:val="24"/>
          <w:szCs w:val="24"/>
        </w:rPr>
        <w:t xml:space="preserve">is also regularly </w:t>
      </w:r>
      <w:r w:rsidRPr="00D87BB8">
        <w:rPr>
          <w:rFonts w:ascii="Times New Roman" w:hAnsi="Times New Roman"/>
          <w:color w:val="000000"/>
          <w:sz w:val="24"/>
          <w:szCs w:val="24"/>
        </w:rPr>
        <w:t>highlighted by national reviews and graduate recruitment research (Wolf, 2011; Association of Graduate Recruiters, 2011; CBI, 2011)</w:t>
      </w:r>
      <w:r>
        <w:rPr>
          <w:rFonts w:ascii="Times New Roman" w:hAnsi="Times New Roman"/>
          <w:color w:val="000000"/>
          <w:sz w:val="24"/>
          <w:szCs w:val="24"/>
        </w:rPr>
        <w:t xml:space="preserve">, thus again highlighting the disadvantage faced by students without access to relevant networks. </w:t>
      </w:r>
    </w:p>
    <w:p w:rsidR="00F766AC" w:rsidRDefault="00F766AC" w:rsidP="003302DC">
      <w:pPr>
        <w:spacing w:after="240" w:line="360" w:lineRule="auto"/>
        <w:jc w:val="both"/>
        <w:rPr>
          <w:rFonts w:ascii="Times New Roman" w:hAnsi="Times New Roman"/>
          <w:color w:val="000000"/>
          <w:sz w:val="24"/>
          <w:szCs w:val="24"/>
        </w:rPr>
      </w:pPr>
    </w:p>
    <w:p w:rsidR="00F92E98" w:rsidRPr="003302DC" w:rsidRDefault="00F92E98" w:rsidP="003302DC">
      <w:pPr>
        <w:pStyle w:val="ListParagraph"/>
        <w:numPr>
          <w:ilvl w:val="0"/>
          <w:numId w:val="13"/>
        </w:numPr>
        <w:spacing w:after="240" w:line="360" w:lineRule="auto"/>
        <w:jc w:val="both"/>
        <w:rPr>
          <w:rFonts w:ascii="Times New Roman" w:hAnsi="Times New Roman"/>
          <w:b/>
          <w:color w:val="000000"/>
          <w:szCs w:val="24"/>
          <w:shd w:val="clear" w:color="auto" w:fill="FFFFFF"/>
          <w:lang w:val="en-US"/>
        </w:rPr>
      </w:pPr>
      <w:r w:rsidRPr="003302DC">
        <w:rPr>
          <w:rFonts w:ascii="Times New Roman" w:hAnsi="Times New Roman"/>
          <w:b/>
          <w:color w:val="000000"/>
          <w:szCs w:val="24"/>
          <w:shd w:val="clear" w:color="auto" w:fill="FFFFFF"/>
          <w:lang w:val="en-US"/>
        </w:rPr>
        <w:t>Data</w:t>
      </w:r>
      <w:r w:rsidR="002A646C" w:rsidRPr="003302DC">
        <w:rPr>
          <w:rFonts w:ascii="Times New Roman" w:hAnsi="Times New Roman"/>
          <w:b/>
          <w:color w:val="000000"/>
          <w:szCs w:val="24"/>
          <w:shd w:val="clear" w:color="auto" w:fill="FFFFFF"/>
          <w:lang w:val="en-US"/>
        </w:rPr>
        <w:t xml:space="preserve"> </w:t>
      </w:r>
    </w:p>
    <w:p w:rsidR="00777676" w:rsidRPr="00D87BB8" w:rsidRDefault="007262E1" w:rsidP="00A97EA9">
      <w:pPr>
        <w:pStyle w:val="Default"/>
        <w:spacing w:after="240" w:line="360" w:lineRule="auto"/>
        <w:jc w:val="both"/>
        <w:rPr>
          <w:rFonts w:ascii="Times New Roman" w:hAnsi="Times New Roman" w:cs="Times New Roman"/>
          <w:lang w:eastAsia="en-GB"/>
        </w:rPr>
      </w:pPr>
      <w:r>
        <w:rPr>
          <w:rFonts w:ascii="Times New Roman" w:hAnsi="Times New Roman" w:cs="Times New Roman"/>
        </w:rPr>
        <w:t xml:space="preserve">We use </w:t>
      </w:r>
      <w:r w:rsidR="00F4413D" w:rsidRPr="00D87BB8">
        <w:rPr>
          <w:rFonts w:ascii="Times New Roman" w:hAnsi="Times New Roman" w:cs="Times New Roman"/>
        </w:rPr>
        <w:t xml:space="preserve">data from </w:t>
      </w:r>
      <w:r w:rsidR="00AD7257" w:rsidRPr="00D87BB8">
        <w:rPr>
          <w:rFonts w:ascii="Times New Roman" w:hAnsi="Times New Roman" w:cs="Times New Roman"/>
        </w:rPr>
        <w:t xml:space="preserve">the Destinations of Leavers from Higher Education (DLHE) </w:t>
      </w:r>
      <w:r w:rsidR="006D58E0" w:rsidRPr="00D87BB8">
        <w:rPr>
          <w:rFonts w:ascii="Times New Roman" w:hAnsi="Times New Roman" w:cs="Times New Roman"/>
        </w:rPr>
        <w:t>‘</w:t>
      </w:r>
      <w:r w:rsidR="00AB41F9" w:rsidRPr="00D87BB8">
        <w:rPr>
          <w:rFonts w:ascii="Times New Roman" w:hAnsi="Times New Roman" w:cs="Times New Roman"/>
        </w:rPr>
        <w:t>e</w:t>
      </w:r>
      <w:r w:rsidR="006D58E0" w:rsidRPr="00D87BB8">
        <w:rPr>
          <w:rFonts w:ascii="Times New Roman" w:hAnsi="Times New Roman" w:cs="Times New Roman"/>
        </w:rPr>
        <w:t>arly’ and ‘</w:t>
      </w:r>
      <w:r w:rsidR="00AB41F9" w:rsidRPr="00D87BB8">
        <w:rPr>
          <w:rFonts w:ascii="Times New Roman" w:hAnsi="Times New Roman" w:cs="Times New Roman"/>
        </w:rPr>
        <w:t>l</w:t>
      </w:r>
      <w:r w:rsidR="006D58E0" w:rsidRPr="00D87BB8">
        <w:rPr>
          <w:rFonts w:ascii="Times New Roman" w:hAnsi="Times New Roman" w:cs="Times New Roman"/>
        </w:rPr>
        <w:t xml:space="preserve">ongitudinal’ </w:t>
      </w:r>
      <w:r w:rsidR="00AD7257" w:rsidRPr="00D87BB8">
        <w:rPr>
          <w:rFonts w:ascii="Times New Roman" w:hAnsi="Times New Roman" w:cs="Times New Roman"/>
        </w:rPr>
        <w:t>surveys carried out by the UK Higher Edu</w:t>
      </w:r>
      <w:r w:rsidR="007D5F6F" w:rsidRPr="00D87BB8">
        <w:rPr>
          <w:rFonts w:ascii="Times New Roman" w:hAnsi="Times New Roman" w:cs="Times New Roman"/>
        </w:rPr>
        <w:t>cation Statistics Agency (HESA). The ‘</w:t>
      </w:r>
      <w:r w:rsidR="00AB41F9" w:rsidRPr="00D87BB8">
        <w:rPr>
          <w:rFonts w:ascii="Times New Roman" w:hAnsi="Times New Roman" w:cs="Times New Roman"/>
        </w:rPr>
        <w:t>early s</w:t>
      </w:r>
      <w:r w:rsidR="00AD7257" w:rsidRPr="00D87BB8">
        <w:rPr>
          <w:rFonts w:ascii="Times New Roman" w:hAnsi="Times New Roman" w:cs="Times New Roman"/>
        </w:rPr>
        <w:t>urvey</w:t>
      </w:r>
      <w:r w:rsidR="007D5F6F" w:rsidRPr="00D87BB8">
        <w:rPr>
          <w:rFonts w:ascii="Times New Roman" w:hAnsi="Times New Roman" w:cs="Times New Roman"/>
        </w:rPr>
        <w:t>’</w:t>
      </w:r>
      <w:r w:rsidR="00AD7257" w:rsidRPr="00D87BB8">
        <w:rPr>
          <w:rFonts w:ascii="Times New Roman" w:hAnsi="Times New Roman" w:cs="Times New Roman"/>
          <w:i/>
        </w:rPr>
        <w:t xml:space="preserve"> </w:t>
      </w:r>
      <w:r w:rsidR="00AD7257" w:rsidRPr="00D87BB8">
        <w:rPr>
          <w:rFonts w:ascii="Times New Roman" w:hAnsi="Times New Roman" w:cs="Times New Roman"/>
        </w:rPr>
        <w:t xml:space="preserve">is </w:t>
      </w:r>
      <w:r w:rsidR="00AD7257" w:rsidRPr="00D87BB8">
        <w:rPr>
          <w:rFonts w:ascii="Times New Roman" w:hAnsi="Times New Roman" w:cs="Times New Roman"/>
          <w:lang w:eastAsia="en-GB"/>
        </w:rPr>
        <w:t>conducted approximately 6 months after graduation</w:t>
      </w:r>
      <w:r>
        <w:rPr>
          <w:rStyle w:val="FootnoteReference"/>
          <w:rFonts w:ascii="Times New Roman" w:hAnsi="Times New Roman" w:cs="Times New Roman"/>
          <w:lang w:eastAsia="en-GB"/>
        </w:rPr>
        <w:footnoteReference w:id="4"/>
      </w:r>
      <w:r w:rsidR="00AD7257" w:rsidRPr="00D87BB8">
        <w:rPr>
          <w:rFonts w:ascii="Times New Roman" w:hAnsi="Times New Roman" w:cs="Times New Roman"/>
          <w:lang w:eastAsia="en-GB"/>
        </w:rPr>
        <w:t xml:space="preserve">, with </w:t>
      </w:r>
      <w:r>
        <w:rPr>
          <w:rFonts w:ascii="Times New Roman" w:hAnsi="Times New Roman" w:cs="Times New Roman"/>
          <w:lang w:eastAsia="en-GB"/>
        </w:rPr>
        <w:t>a</w:t>
      </w:r>
      <w:r w:rsidR="007D5F6F" w:rsidRPr="00D87BB8">
        <w:rPr>
          <w:rFonts w:ascii="Times New Roman" w:hAnsi="Times New Roman" w:cs="Times New Roman"/>
        </w:rPr>
        <w:t xml:space="preserve"> total </w:t>
      </w:r>
      <w:r w:rsidR="00AD7257" w:rsidRPr="00D87BB8">
        <w:rPr>
          <w:rFonts w:ascii="Times New Roman" w:hAnsi="Times New Roman" w:cs="Times New Roman"/>
          <w:lang w:eastAsia="en-GB"/>
        </w:rPr>
        <w:t>453,880</w:t>
      </w:r>
      <w:r w:rsidR="009F7BB5">
        <w:rPr>
          <w:rFonts w:ascii="Times New Roman" w:hAnsi="Times New Roman" w:cs="Times New Roman"/>
          <w:lang w:eastAsia="en-GB"/>
        </w:rPr>
        <w:t xml:space="preserve"> eligible</w:t>
      </w:r>
      <w:r w:rsidR="00AD7257" w:rsidRPr="00D87BB8">
        <w:rPr>
          <w:rFonts w:ascii="Times New Roman" w:hAnsi="Times New Roman" w:cs="Times New Roman"/>
          <w:lang w:eastAsia="en-GB"/>
        </w:rPr>
        <w:t xml:space="preserve"> leavers</w:t>
      </w:r>
      <w:r w:rsidR="0098616D">
        <w:rPr>
          <w:rFonts w:ascii="Times New Roman" w:hAnsi="Times New Roman" w:cs="Times New Roman"/>
          <w:lang w:eastAsia="en-GB"/>
        </w:rPr>
        <w:t xml:space="preserve"> in 2006/7</w:t>
      </w:r>
      <w:r w:rsidR="00AD7257" w:rsidRPr="00D87BB8">
        <w:rPr>
          <w:rFonts w:ascii="Times New Roman" w:hAnsi="Times New Roman" w:cs="Times New Roman"/>
          <w:lang w:eastAsia="en-GB"/>
        </w:rPr>
        <w:t>, of which 332,110</w:t>
      </w:r>
      <w:r w:rsidR="007D5F6F" w:rsidRPr="00D87BB8">
        <w:rPr>
          <w:rFonts w:ascii="Times New Roman" w:hAnsi="Times New Roman" w:cs="Times New Roman"/>
          <w:lang w:eastAsia="en-GB"/>
        </w:rPr>
        <w:t xml:space="preserve"> (73.2%) </w:t>
      </w:r>
      <w:r w:rsidR="001C791D">
        <w:rPr>
          <w:rFonts w:ascii="Times New Roman" w:hAnsi="Times New Roman" w:cs="Times New Roman"/>
          <w:lang w:eastAsia="en-GB"/>
        </w:rPr>
        <w:t xml:space="preserve">responded: </w:t>
      </w:r>
      <w:r w:rsidR="001D72F2">
        <w:rPr>
          <w:rFonts w:ascii="Times New Roman" w:hAnsi="Times New Roman" w:cs="Times New Roman"/>
          <w:lang w:eastAsia="en-GB"/>
        </w:rPr>
        <w:t>the response rate is</w:t>
      </w:r>
      <w:r w:rsidR="007D5F6F" w:rsidRPr="00D87BB8">
        <w:rPr>
          <w:rFonts w:ascii="Times New Roman" w:hAnsi="Times New Roman" w:cs="Times New Roman"/>
          <w:lang w:eastAsia="en-GB"/>
        </w:rPr>
        <w:t xml:space="preserve"> </w:t>
      </w:r>
      <w:r w:rsidR="00AD7257" w:rsidRPr="00D87BB8">
        <w:rPr>
          <w:rFonts w:ascii="Times New Roman" w:hAnsi="Times New Roman" w:cs="Times New Roman"/>
          <w:lang w:eastAsia="en-GB"/>
        </w:rPr>
        <w:t>in line wi</w:t>
      </w:r>
      <w:r w:rsidR="007D5F6F" w:rsidRPr="00D87BB8">
        <w:rPr>
          <w:rFonts w:ascii="Times New Roman" w:hAnsi="Times New Roman" w:cs="Times New Roman"/>
          <w:lang w:eastAsia="en-GB"/>
        </w:rPr>
        <w:t xml:space="preserve">th previous years (HEFCE, 2011). </w:t>
      </w:r>
      <w:r w:rsidR="00816AE1">
        <w:rPr>
          <w:rFonts w:ascii="Times New Roman" w:hAnsi="Times New Roman" w:cs="Times New Roman"/>
          <w:lang w:eastAsia="en-GB"/>
        </w:rPr>
        <w:t>A</w:t>
      </w:r>
      <w:r w:rsidR="007D5F6F" w:rsidRPr="00D87BB8">
        <w:rPr>
          <w:rFonts w:ascii="Times New Roman" w:hAnsi="Times New Roman" w:cs="Times New Roman"/>
          <w:lang w:eastAsia="en-GB"/>
        </w:rPr>
        <w:t xml:space="preserve"> </w:t>
      </w:r>
      <w:r w:rsidR="00AB41F9" w:rsidRPr="00D87BB8">
        <w:rPr>
          <w:rFonts w:ascii="Times New Roman" w:hAnsi="Times New Roman" w:cs="Times New Roman"/>
          <w:lang w:eastAsia="en-GB"/>
        </w:rPr>
        <w:t>longitudinal s</w:t>
      </w:r>
      <w:r w:rsidR="00AD7257" w:rsidRPr="00D87BB8">
        <w:rPr>
          <w:rFonts w:ascii="Times New Roman" w:hAnsi="Times New Roman" w:cs="Times New Roman"/>
          <w:lang w:eastAsia="en-GB"/>
        </w:rPr>
        <w:t>urvey</w:t>
      </w:r>
      <w:r w:rsidR="00AB41F9" w:rsidRPr="00D87BB8">
        <w:rPr>
          <w:rFonts w:ascii="Times New Roman" w:hAnsi="Times New Roman" w:cs="Times New Roman"/>
          <w:lang w:eastAsia="en-GB"/>
        </w:rPr>
        <w:t xml:space="preserve"> </w:t>
      </w:r>
      <w:r w:rsidR="00AD7257" w:rsidRPr="00D87BB8">
        <w:rPr>
          <w:rFonts w:ascii="Times New Roman" w:hAnsi="Times New Roman" w:cs="Times New Roman"/>
          <w:lang w:eastAsia="en-GB"/>
        </w:rPr>
        <w:t>is conducted up to 3.5 years after graduation</w:t>
      </w:r>
      <w:r>
        <w:rPr>
          <w:rStyle w:val="FootnoteReference"/>
          <w:rFonts w:ascii="Times New Roman" w:hAnsi="Times New Roman" w:cs="Times New Roman"/>
          <w:lang w:eastAsia="en-GB"/>
        </w:rPr>
        <w:footnoteReference w:id="5"/>
      </w:r>
      <w:r w:rsidR="00C64575" w:rsidRPr="00D87BB8">
        <w:rPr>
          <w:rFonts w:ascii="Times New Roman" w:hAnsi="Times New Roman" w:cs="Times New Roman"/>
          <w:lang w:eastAsia="en-GB"/>
        </w:rPr>
        <w:t xml:space="preserve"> </w:t>
      </w:r>
      <w:r w:rsidR="00AD7257" w:rsidRPr="00D87BB8">
        <w:rPr>
          <w:rFonts w:ascii="Times New Roman" w:hAnsi="Times New Roman" w:cs="Times New Roman"/>
          <w:lang w:eastAsia="en-GB"/>
        </w:rPr>
        <w:t xml:space="preserve">for sub-samples of students who responded to the </w:t>
      </w:r>
      <w:r w:rsidR="001D72F2">
        <w:rPr>
          <w:rFonts w:ascii="Times New Roman" w:hAnsi="Times New Roman" w:cs="Times New Roman"/>
          <w:lang w:eastAsia="en-GB"/>
        </w:rPr>
        <w:t xml:space="preserve">early </w:t>
      </w:r>
      <w:r w:rsidR="0098616D">
        <w:rPr>
          <w:rFonts w:ascii="Times New Roman" w:hAnsi="Times New Roman" w:cs="Times New Roman"/>
          <w:lang w:eastAsia="en-GB"/>
        </w:rPr>
        <w:t xml:space="preserve">2006/7 </w:t>
      </w:r>
      <w:r w:rsidR="001D72F2">
        <w:rPr>
          <w:rFonts w:ascii="Times New Roman" w:hAnsi="Times New Roman" w:cs="Times New Roman"/>
          <w:lang w:eastAsia="en-GB"/>
        </w:rPr>
        <w:t>s</w:t>
      </w:r>
      <w:r w:rsidR="00AD7257" w:rsidRPr="00D87BB8">
        <w:rPr>
          <w:rFonts w:ascii="Times New Roman" w:hAnsi="Times New Roman" w:cs="Times New Roman"/>
          <w:lang w:eastAsia="en-GB"/>
        </w:rPr>
        <w:t>urvey</w:t>
      </w:r>
      <w:r w:rsidR="009F7BB5">
        <w:rPr>
          <w:rFonts w:ascii="Times New Roman" w:hAnsi="Times New Roman" w:cs="Times New Roman"/>
          <w:lang w:eastAsia="en-GB"/>
        </w:rPr>
        <w:t xml:space="preserve">, with </w:t>
      </w:r>
      <w:r w:rsidR="00AD7257" w:rsidRPr="00D87BB8">
        <w:rPr>
          <w:rFonts w:ascii="Times New Roman" w:hAnsi="Times New Roman" w:cs="Times New Roman"/>
          <w:lang w:eastAsia="en-GB"/>
        </w:rPr>
        <w:t>49,010 valid responses</w:t>
      </w:r>
      <w:r w:rsidR="00B062F7">
        <w:rPr>
          <w:rStyle w:val="FootnoteReference"/>
          <w:rFonts w:ascii="Times New Roman" w:hAnsi="Times New Roman" w:cs="Times New Roman"/>
          <w:lang w:eastAsia="en-GB"/>
        </w:rPr>
        <w:footnoteReference w:id="6"/>
      </w:r>
      <w:r w:rsidR="00AD7257" w:rsidRPr="00D87BB8">
        <w:rPr>
          <w:rFonts w:ascii="Times New Roman" w:hAnsi="Times New Roman" w:cs="Times New Roman"/>
          <w:lang w:eastAsia="en-GB"/>
        </w:rPr>
        <w:t>.</w:t>
      </w:r>
      <w:r w:rsidR="00341CD7" w:rsidRPr="00D87BB8">
        <w:rPr>
          <w:rFonts w:ascii="Times New Roman" w:hAnsi="Times New Roman" w:cs="Times New Roman"/>
          <w:lang w:eastAsia="en-GB"/>
        </w:rPr>
        <w:t xml:space="preserve"> </w:t>
      </w:r>
      <w:r w:rsidR="00070422" w:rsidRPr="00D87BB8">
        <w:rPr>
          <w:rFonts w:ascii="Times New Roman" w:hAnsi="Times New Roman" w:cs="Times New Roman"/>
          <w:color w:val="auto"/>
        </w:rPr>
        <w:t>Of these, w</w:t>
      </w:r>
      <w:r w:rsidR="00AB41F9" w:rsidRPr="00D87BB8">
        <w:rPr>
          <w:rFonts w:ascii="Times New Roman" w:hAnsi="Times New Roman" w:cs="Times New Roman"/>
          <w:color w:val="auto"/>
        </w:rPr>
        <w:t xml:space="preserve">e </w:t>
      </w:r>
      <w:r w:rsidR="0098616D">
        <w:rPr>
          <w:rFonts w:ascii="Times New Roman" w:hAnsi="Times New Roman" w:cs="Times New Roman"/>
          <w:color w:val="auto"/>
        </w:rPr>
        <w:t>limit</w:t>
      </w:r>
      <w:r w:rsidR="00AB41F9" w:rsidRPr="00D87BB8">
        <w:rPr>
          <w:rFonts w:ascii="Times New Roman" w:hAnsi="Times New Roman" w:cs="Times New Roman"/>
          <w:color w:val="auto"/>
        </w:rPr>
        <w:t xml:space="preserve"> our sample to 24,98</w:t>
      </w:r>
      <w:r w:rsidR="00507691">
        <w:rPr>
          <w:rFonts w:ascii="Times New Roman" w:hAnsi="Times New Roman" w:cs="Times New Roman"/>
          <w:color w:val="auto"/>
        </w:rPr>
        <w:t>0</w:t>
      </w:r>
      <w:r w:rsidR="00AB41F9" w:rsidRPr="00D87BB8">
        <w:rPr>
          <w:rFonts w:ascii="Times New Roman" w:hAnsi="Times New Roman" w:cs="Times New Roman"/>
          <w:color w:val="auto"/>
        </w:rPr>
        <w:t xml:space="preserve"> graduates who f</w:t>
      </w:r>
      <w:r w:rsidR="00AD7257" w:rsidRPr="00D87BB8">
        <w:rPr>
          <w:rFonts w:ascii="Times New Roman" w:hAnsi="Times New Roman" w:cs="Times New Roman"/>
          <w:color w:val="auto"/>
        </w:rPr>
        <w:t>inished higher education in 2006/2007 during the reference period</w:t>
      </w:r>
      <w:r w:rsidR="00AB41F9" w:rsidRPr="00D87BB8">
        <w:rPr>
          <w:rFonts w:ascii="Times New Roman" w:hAnsi="Times New Roman" w:cs="Times New Roman"/>
          <w:color w:val="auto"/>
        </w:rPr>
        <w:t>; c</w:t>
      </w:r>
      <w:r w:rsidR="00507691">
        <w:rPr>
          <w:rFonts w:ascii="Times New Roman" w:hAnsi="Times New Roman" w:cs="Times New Roman"/>
          <w:color w:val="auto"/>
        </w:rPr>
        <w:t xml:space="preserve">ompleted the survey at </w:t>
      </w:r>
      <w:r w:rsidR="00AD7257" w:rsidRPr="00D87BB8">
        <w:rPr>
          <w:rFonts w:ascii="Times New Roman" w:hAnsi="Times New Roman" w:cs="Times New Roman"/>
          <w:color w:val="auto"/>
        </w:rPr>
        <w:t>3.5 years after graduation</w:t>
      </w:r>
      <w:r w:rsidR="00AB41F9" w:rsidRPr="00D87BB8">
        <w:rPr>
          <w:rFonts w:ascii="Times New Roman" w:hAnsi="Times New Roman" w:cs="Times New Roman"/>
          <w:color w:val="auto"/>
        </w:rPr>
        <w:t>; s</w:t>
      </w:r>
      <w:r w:rsidR="00AD7257" w:rsidRPr="00D87BB8">
        <w:rPr>
          <w:rFonts w:ascii="Times New Roman" w:hAnsi="Times New Roman" w:cs="Times New Roman"/>
          <w:color w:val="auto"/>
        </w:rPr>
        <w:t>tud</w:t>
      </w:r>
      <w:r w:rsidR="00AB41F9" w:rsidRPr="00D87BB8">
        <w:rPr>
          <w:rFonts w:ascii="Times New Roman" w:hAnsi="Times New Roman" w:cs="Times New Roman"/>
          <w:color w:val="auto"/>
        </w:rPr>
        <w:t>ied for an undergraduate degree; w</w:t>
      </w:r>
      <w:r w:rsidR="00AD7257" w:rsidRPr="00D87BB8">
        <w:rPr>
          <w:rFonts w:ascii="Times New Roman" w:hAnsi="Times New Roman" w:cs="Times New Roman"/>
          <w:color w:val="auto"/>
        </w:rPr>
        <w:t>ere aged 18-25 on 31</w:t>
      </w:r>
      <w:r w:rsidR="00AD7257" w:rsidRPr="00D87BB8">
        <w:rPr>
          <w:rFonts w:ascii="Times New Roman" w:hAnsi="Times New Roman" w:cs="Times New Roman"/>
          <w:color w:val="auto"/>
          <w:vertAlign w:val="superscript"/>
        </w:rPr>
        <w:t>st</w:t>
      </w:r>
      <w:r w:rsidR="00AD7257" w:rsidRPr="00D87BB8">
        <w:rPr>
          <w:rFonts w:ascii="Times New Roman" w:hAnsi="Times New Roman" w:cs="Times New Roman"/>
          <w:color w:val="auto"/>
        </w:rPr>
        <w:t xml:space="preserve"> July 2007</w:t>
      </w:r>
      <w:r w:rsidR="00AB41F9" w:rsidRPr="00D87BB8">
        <w:rPr>
          <w:rFonts w:ascii="Times New Roman" w:hAnsi="Times New Roman" w:cs="Times New Roman"/>
          <w:color w:val="auto"/>
        </w:rPr>
        <w:t xml:space="preserve"> and </w:t>
      </w:r>
      <w:r w:rsidR="009F7BB5">
        <w:rPr>
          <w:rFonts w:ascii="Times New Roman" w:hAnsi="Times New Roman" w:cs="Times New Roman"/>
          <w:color w:val="auto"/>
        </w:rPr>
        <w:t>provide</w:t>
      </w:r>
      <w:r w:rsidR="00AD7257" w:rsidRPr="00D87BB8">
        <w:rPr>
          <w:rFonts w:ascii="Times New Roman" w:hAnsi="Times New Roman" w:cs="Times New Roman"/>
          <w:color w:val="auto"/>
        </w:rPr>
        <w:t xml:space="preserve"> occupational data (SOC 2000) at 3.5 years after graduation</w:t>
      </w:r>
      <w:r w:rsidR="00AB41F9" w:rsidRPr="00D87BB8">
        <w:rPr>
          <w:rFonts w:ascii="Times New Roman" w:hAnsi="Times New Roman" w:cs="Times New Roman"/>
          <w:color w:val="auto"/>
        </w:rPr>
        <w:t xml:space="preserve">. </w:t>
      </w:r>
      <w:r w:rsidR="00FE4CFA">
        <w:rPr>
          <w:rFonts w:ascii="Times New Roman" w:hAnsi="Times New Roman" w:cs="Times New Roman"/>
          <w:color w:val="auto"/>
        </w:rPr>
        <w:t>Appendix Table A1 suggests that this restricted s</w:t>
      </w:r>
      <w:r w:rsidR="0098616D">
        <w:rPr>
          <w:rFonts w:ascii="Times New Roman" w:hAnsi="Times New Roman" w:cs="Times New Roman"/>
          <w:color w:val="auto"/>
        </w:rPr>
        <w:t>ample looks very similar to the ‘</w:t>
      </w:r>
      <w:r w:rsidR="00FE4CFA">
        <w:rPr>
          <w:rFonts w:ascii="Times New Roman" w:hAnsi="Times New Roman" w:cs="Times New Roman"/>
          <w:color w:val="auto"/>
        </w:rPr>
        <w:t>early</w:t>
      </w:r>
      <w:r w:rsidR="0098616D">
        <w:rPr>
          <w:rFonts w:ascii="Times New Roman" w:hAnsi="Times New Roman" w:cs="Times New Roman"/>
          <w:color w:val="auto"/>
        </w:rPr>
        <w:t>’</w:t>
      </w:r>
      <w:r w:rsidR="00FE4CFA">
        <w:rPr>
          <w:rFonts w:ascii="Times New Roman" w:hAnsi="Times New Roman" w:cs="Times New Roman"/>
          <w:color w:val="auto"/>
        </w:rPr>
        <w:t xml:space="preserve"> </w:t>
      </w:r>
      <w:r w:rsidR="0098616D">
        <w:rPr>
          <w:rFonts w:ascii="Times New Roman" w:hAnsi="Times New Roman" w:cs="Times New Roman"/>
          <w:color w:val="auto"/>
        </w:rPr>
        <w:t>survey</w:t>
      </w:r>
      <w:r w:rsidR="00FE4CFA">
        <w:rPr>
          <w:rFonts w:ascii="Times New Roman" w:hAnsi="Times New Roman" w:cs="Times New Roman"/>
          <w:color w:val="auto"/>
        </w:rPr>
        <w:t xml:space="preserve"> </w:t>
      </w:r>
      <w:r w:rsidR="00D43074">
        <w:rPr>
          <w:rFonts w:ascii="Times New Roman" w:hAnsi="Times New Roman" w:cs="Times New Roman"/>
          <w:color w:val="auto"/>
        </w:rPr>
        <w:t>sample</w:t>
      </w:r>
      <w:r w:rsidR="0098616D">
        <w:rPr>
          <w:rFonts w:ascii="Times New Roman" w:hAnsi="Times New Roman" w:cs="Times New Roman"/>
          <w:color w:val="auto"/>
        </w:rPr>
        <w:t xml:space="preserve"> </w:t>
      </w:r>
      <w:r w:rsidR="00FE4CFA">
        <w:rPr>
          <w:rFonts w:ascii="Times New Roman" w:hAnsi="Times New Roman" w:cs="Times New Roman"/>
          <w:color w:val="auto"/>
        </w:rPr>
        <w:t xml:space="preserve">in terms of </w:t>
      </w:r>
      <w:r w:rsidR="0098616D">
        <w:rPr>
          <w:rFonts w:ascii="Times New Roman" w:hAnsi="Times New Roman" w:cs="Times New Roman"/>
          <w:color w:val="auto"/>
        </w:rPr>
        <w:t>student</w:t>
      </w:r>
      <w:r w:rsidR="00FE4CFA">
        <w:rPr>
          <w:rFonts w:ascii="Times New Roman" w:hAnsi="Times New Roman" w:cs="Times New Roman"/>
          <w:color w:val="auto"/>
        </w:rPr>
        <w:t xml:space="preserve"> characteristics. </w:t>
      </w:r>
      <w:r w:rsidR="00546638">
        <w:rPr>
          <w:rFonts w:ascii="Times New Roman" w:hAnsi="Times New Roman" w:cs="Times New Roman"/>
        </w:rPr>
        <w:t xml:space="preserve">We focus our analysis on graduates some 3.5 years after graduation because the period immediately after graduation </w:t>
      </w:r>
      <w:r w:rsidR="009F7BB5">
        <w:rPr>
          <w:rFonts w:ascii="Times New Roman" w:hAnsi="Times New Roman" w:cs="Times New Roman"/>
        </w:rPr>
        <w:t>is transitional</w:t>
      </w:r>
      <w:r w:rsidR="00546638">
        <w:rPr>
          <w:rFonts w:ascii="Times New Roman" w:hAnsi="Times New Roman" w:cs="Times New Roman"/>
        </w:rPr>
        <w:t xml:space="preserve">. Some </w:t>
      </w:r>
      <w:r w:rsidR="009F7BB5">
        <w:rPr>
          <w:rFonts w:ascii="Times New Roman" w:hAnsi="Times New Roman" w:cs="Times New Roman"/>
        </w:rPr>
        <w:t xml:space="preserve">graduates </w:t>
      </w:r>
      <w:r w:rsidR="00546638">
        <w:rPr>
          <w:rFonts w:ascii="Times New Roman" w:hAnsi="Times New Roman" w:cs="Times New Roman"/>
        </w:rPr>
        <w:t xml:space="preserve">may take temporary jobs or no job at all. We are more confident that their occupation </w:t>
      </w:r>
      <w:r w:rsidR="00F766AC">
        <w:rPr>
          <w:rFonts w:ascii="Times New Roman" w:hAnsi="Times New Roman" w:cs="Times New Roman"/>
        </w:rPr>
        <w:t>3.5</w:t>
      </w:r>
      <w:r w:rsidR="00546638">
        <w:rPr>
          <w:rFonts w:ascii="Times New Roman" w:hAnsi="Times New Roman" w:cs="Times New Roman"/>
        </w:rPr>
        <w:t xml:space="preserve"> years after graduation is a better guide to their future occupational status.</w:t>
      </w:r>
    </w:p>
    <w:p w:rsidR="00533318" w:rsidRDefault="007262E1" w:rsidP="00A97EA9">
      <w:pPr>
        <w:pStyle w:val="Default"/>
        <w:spacing w:after="240" w:line="360" w:lineRule="auto"/>
        <w:jc w:val="both"/>
        <w:rPr>
          <w:rFonts w:ascii="Times New Roman" w:hAnsi="Times New Roman" w:cs="Times New Roman"/>
        </w:rPr>
      </w:pPr>
      <w:r>
        <w:rPr>
          <w:rFonts w:ascii="Times New Roman" w:hAnsi="Times New Roman" w:cs="Times New Roman"/>
          <w:lang w:eastAsia="en-GB"/>
        </w:rPr>
        <w:lastRenderedPageBreak/>
        <w:t>T</w:t>
      </w:r>
      <w:r w:rsidR="000B5F69" w:rsidRPr="00D87BB8">
        <w:rPr>
          <w:rFonts w:ascii="Times New Roman" w:hAnsi="Times New Roman" w:cs="Times New Roman"/>
          <w:lang w:eastAsia="en-GB"/>
        </w:rPr>
        <w:t xml:space="preserve">he occupational status of graduates </w:t>
      </w:r>
      <w:r w:rsidR="007511E9" w:rsidRPr="00D87BB8">
        <w:rPr>
          <w:rFonts w:ascii="Times New Roman" w:hAnsi="Times New Roman" w:cs="Times New Roman"/>
          <w:lang w:eastAsia="en-GB"/>
        </w:rPr>
        <w:t xml:space="preserve">at 3.5 years after graduation is </w:t>
      </w:r>
      <w:r w:rsidR="000B5F69" w:rsidRPr="00D87BB8">
        <w:rPr>
          <w:rFonts w:ascii="Times New Roman" w:hAnsi="Times New Roman" w:cs="Times New Roman"/>
          <w:lang w:eastAsia="en-GB"/>
        </w:rPr>
        <w:t xml:space="preserve">measured using </w:t>
      </w:r>
      <w:r w:rsidR="00F465C8">
        <w:rPr>
          <w:rFonts w:ascii="Times New Roman" w:hAnsi="Times New Roman" w:cs="Times New Roman"/>
          <w:lang w:eastAsia="en-GB"/>
        </w:rPr>
        <w:t>5</w:t>
      </w:r>
      <w:r w:rsidR="003915A9">
        <w:rPr>
          <w:rFonts w:ascii="Times New Roman" w:hAnsi="Times New Roman" w:cs="Times New Roman"/>
          <w:lang w:eastAsia="en-GB"/>
        </w:rPr>
        <w:t>-digit</w:t>
      </w:r>
      <w:r>
        <w:rPr>
          <w:rFonts w:ascii="Times New Roman" w:hAnsi="Times New Roman" w:cs="Times New Roman"/>
          <w:lang w:eastAsia="en-GB"/>
        </w:rPr>
        <w:t xml:space="preserve"> </w:t>
      </w:r>
      <w:r w:rsidR="000B0EFE">
        <w:rPr>
          <w:rFonts w:ascii="Times New Roman" w:hAnsi="Times New Roman" w:cs="Times New Roman"/>
          <w:lang w:eastAsia="en-GB"/>
        </w:rPr>
        <w:t>SOC</w:t>
      </w:r>
      <w:r w:rsidR="003915A9">
        <w:rPr>
          <w:rFonts w:ascii="Times New Roman" w:hAnsi="Times New Roman" w:cs="Times New Roman"/>
          <w:lang w:eastAsia="en-GB"/>
        </w:rPr>
        <w:t xml:space="preserve"> </w:t>
      </w:r>
      <w:r w:rsidR="000B0EFE">
        <w:rPr>
          <w:rFonts w:ascii="Times New Roman" w:hAnsi="Times New Roman" w:cs="Times New Roman"/>
          <w:lang w:eastAsia="en-GB"/>
        </w:rPr>
        <w:t>2000</w:t>
      </w:r>
      <w:r w:rsidR="003915A9">
        <w:rPr>
          <w:rFonts w:ascii="Times New Roman" w:hAnsi="Times New Roman" w:cs="Times New Roman"/>
          <w:lang w:eastAsia="en-GB"/>
        </w:rPr>
        <w:t xml:space="preserve"> codes</w:t>
      </w:r>
      <w:r w:rsidR="00AB41F9" w:rsidRPr="00D87BB8">
        <w:rPr>
          <w:rFonts w:ascii="Times New Roman" w:hAnsi="Times New Roman" w:cs="Times New Roman"/>
          <w:lang w:eastAsia="en-GB"/>
        </w:rPr>
        <w:t>.</w:t>
      </w:r>
      <w:r w:rsidR="00F012BB">
        <w:rPr>
          <w:rFonts w:ascii="Times New Roman" w:hAnsi="Times New Roman" w:cs="Times New Roman"/>
          <w:lang w:eastAsia="en-GB"/>
        </w:rPr>
        <w:t xml:space="preserve"> </w:t>
      </w:r>
      <w:r w:rsidR="00546638">
        <w:rPr>
          <w:rFonts w:ascii="Times New Roman" w:hAnsi="Times New Roman" w:cs="Times New Roman"/>
          <w:lang w:eastAsia="en-GB"/>
        </w:rPr>
        <w:t>We aggregate this into a form that enables us to rank the soci</w:t>
      </w:r>
      <w:r w:rsidR="00C94943">
        <w:rPr>
          <w:rFonts w:ascii="Times New Roman" w:hAnsi="Times New Roman" w:cs="Times New Roman"/>
          <w:lang w:eastAsia="en-GB"/>
        </w:rPr>
        <w:t>o-</w:t>
      </w:r>
      <w:r w:rsidR="00546638">
        <w:rPr>
          <w:rFonts w:ascii="Times New Roman" w:hAnsi="Times New Roman" w:cs="Times New Roman"/>
          <w:lang w:eastAsia="en-GB"/>
        </w:rPr>
        <w:t xml:space="preserve">economic status of occupations. </w:t>
      </w:r>
      <w:r w:rsidR="00C94943">
        <w:rPr>
          <w:rFonts w:ascii="Times New Roman" w:hAnsi="Times New Roman" w:cs="Times New Roman"/>
          <w:lang w:eastAsia="en-GB"/>
        </w:rPr>
        <w:t>W</w:t>
      </w:r>
      <w:r w:rsidR="003915A9">
        <w:rPr>
          <w:rFonts w:ascii="Times New Roman" w:hAnsi="Times New Roman" w:cs="Times New Roman"/>
          <w:lang w:eastAsia="en-GB"/>
        </w:rPr>
        <w:t xml:space="preserve">e assign </w:t>
      </w:r>
      <w:r w:rsidR="00AB5693">
        <w:rPr>
          <w:rFonts w:ascii="Times New Roman" w:hAnsi="Times New Roman" w:cs="Times New Roman"/>
          <w:lang w:eastAsia="en-GB"/>
        </w:rPr>
        <w:t xml:space="preserve">each individual </w:t>
      </w:r>
      <w:r w:rsidR="003915A9">
        <w:rPr>
          <w:rFonts w:ascii="Times New Roman" w:hAnsi="Times New Roman" w:cs="Times New Roman"/>
          <w:lang w:eastAsia="en-GB"/>
        </w:rPr>
        <w:t xml:space="preserve">an analytical </w:t>
      </w:r>
      <w:r w:rsidR="00FE4CFA" w:rsidRPr="00D87BB8">
        <w:rPr>
          <w:rFonts w:ascii="Times New Roman" w:hAnsi="Times New Roman" w:cs="Times New Roman"/>
          <w:lang w:eastAsia="en-GB"/>
        </w:rPr>
        <w:t xml:space="preserve">National Statistics Socioeconomic Classification </w:t>
      </w:r>
      <w:r w:rsidR="00FE4CFA">
        <w:rPr>
          <w:rFonts w:ascii="Times New Roman" w:hAnsi="Times New Roman" w:cs="Times New Roman"/>
          <w:lang w:eastAsia="en-GB"/>
        </w:rPr>
        <w:t>(</w:t>
      </w:r>
      <w:r w:rsidR="00507691">
        <w:rPr>
          <w:rFonts w:ascii="Times New Roman" w:hAnsi="Times New Roman" w:cs="Times New Roman"/>
          <w:lang w:eastAsia="en-GB"/>
        </w:rPr>
        <w:t>NS-SEC</w:t>
      </w:r>
      <w:r w:rsidR="00FE4CFA">
        <w:rPr>
          <w:rFonts w:ascii="Times New Roman" w:hAnsi="Times New Roman" w:cs="Times New Roman"/>
          <w:lang w:eastAsia="en-GB"/>
        </w:rPr>
        <w:t>)</w:t>
      </w:r>
      <w:r w:rsidR="00507691">
        <w:rPr>
          <w:rFonts w:ascii="Times New Roman" w:hAnsi="Times New Roman" w:cs="Times New Roman"/>
          <w:lang w:eastAsia="en-GB"/>
        </w:rPr>
        <w:t xml:space="preserve"> code </w:t>
      </w:r>
      <w:r w:rsidR="003915A9">
        <w:rPr>
          <w:rFonts w:ascii="Times New Roman" w:hAnsi="Times New Roman" w:cs="Times New Roman"/>
          <w:lang w:eastAsia="en-GB"/>
        </w:rPr>
        <w:t>1</w:t>
      </w:r>
      <w:r w:rsidR="00FE4CFA">
        <w:rPr>
          <w:rFonts w:ascii="Times New Roman" w:hAnsi="Times New Roman" w:cs="Times New Roman"/>
          <w:lang w:eastAsia="en-GB"/>
        </w:rPr>
        <w:t xml:space="preserve"> to </w:t>
      </w:r>
      <w:r w:rsidR="003915A9">
        <w:rPr>
          <w:rFonts w:ascii="Times New Roman" w:hAnsi="Times New Roman" w:cs="Times New Roman"/>
          <w:lang w:eastAsia="en-GB"/>
        </w:rPr>
        <w:t>7</w:t>
      </w:r>
      <w:r w:rsidR="00AB5693">
        <w:rPr>
          <w:rStyle w:val="FootnoteReference"/>
          <w:rFonts w:ascii="Times New Roman" w:hAnsi="Times New Roman" w:cs="Times New Roman"/>
          <w:lang w:eastAsia="en-GB"/>
        </w:rPr>
        <w:footnoteReference w:id="7"/>
      </w:r>
      <w:r w:rsidR="003915A9">
        <w:rPr>
          <w:rFonts w:ascii="Times New Roman" w:hAnsi="Times New Roman" w:cs="Times New Roman"/>
        </w:rPr>
        <w:t>. Individuals’ positions within this scale have been shown to be a major influence on their economic life chances (Chan and Goldthorpe, 2007)</w:t>
      </w:r>
      <w:r w:rsidR="003915A9">
        <w:rPr>
          <w:rStyle w:val="FootnoteReference"/>
          <w:rFonts w:ascii="Times New Roman" w:hAnsi="Times New Roman" w:cs="Times New Roman"/>
        </w:rPr>
        <w:footnoteReference w:id="8"/>
      </w:r>
      <w:r w:rsidR="003915A9">
        <w:rPr>
          <w:rFonts w:ascii="Times New Roman" w:hAnsi="Times New Roman" w:cs="Times New Roman"/>
        </w:rPr>
        <w:t xml:space="preserve">. </w:t>
      </w:r>
      <w:r w:rsidR="00AB5693">
        <w:rPr>
          <w:rFonts w:ascii="Times New Roman" w:hAnsi="Times New Roman" w:cs="Times New Roman"/>
          <w:lang w:eastAsia="en-GB"/>
        </w:rPr>
        <w:t>We define high status</w:t>
      </w:r>
      <w:r w:rsidR="00AB5693">
        <w:rPr>
          <w:rStyle w:val="FootnoteReference"/>
          <w:rFonts w:ascii="Times New Roman" w:hAnsi="Times New Roman" w:cs="Times New Roman"/>
          <w:lang w:eastAsia="en-GB"/>
        </w:rPr>
        <w:footnoteReference w:id="9"/>
      </w:r>
      <w:r w:rsidR="00AB5693">
        <w:rPr>
          <w:rFonts w:ascii="Times New Roman" w:hAnsi="Times New Roman" w:cs="Times New Roman"/>
          <w:lang w:eastAsia="en-GB"/>
        </w:rPr>
        <w:t xml:space="preserve"> occupations as those in the top NS-SEC grouping</w:t>
      </w:r>
      <w:r w:rsidR="00AB5693">
        <w:rPr>
          <w:rFonts w:ascii="Times New Roman" w:hAnsi="Times New Roman" w:cs="Times New Roman"/>
        </w:rPr>
        <w:t xml:space="preserve"> (</w:t>
      </w:r>
      <w:r w:rsidR="00D43074">
        <w:rPr>
          <w:rFonts w:ascii="Times New Roman" w:hAnsi="Times New Roman" w:cs="Times New Roman"/>
        </w:rPr>
        <w:t>29.8</w:t>
      </w:r>
      <w:r w:rsidR="00AB5693">
        <w:rPr>
          <w:rFonts w:ascii="Times New Roman" w:hAnsi="Times New Roman" w:cs="Times New Roman"/>
        </w:rPr>
        <w:t xml:space="preserve">% of the total sample of graduates). </w:t>
      </w:r>
    </w:p>
    <w:p w:rsidR="006319C9" w:rsidRDefault="00507691" w:rsidP="00A97EA9">
      <w:pPr>
        <w:pStyle w:val="Default"/>
        <w:spacing w:after="240" w:line="360" w:lineRule="auto"/>
        <w:jc w:val="both"/>
        <w:rPr>
          <w:rFonts w:ascii="Times New Roman" w:hAnsi="Times New Roman" w:cs="Times New Roman"/>
          <w:lang w:eastAsia="en-GB"/>
        </w:rPr>
      </w:pPr>
      <w:r>
        <w:rPr>
          <w:rFonts w:ascii="Times New Roman" w:hAnsi="Times New Roman" w:cs="Times New Roman"/>
        </w:rPr>
        <w:t xml:space="preserve">We </w:t>
      </w:r>
      <w:r w:rsidR="00F766AC">
        <w:rPr>
          <w:rFonts w:ascii="Times New Roman" w:hAnsi="Times New Roman" w:cs="Times New Roman"/>
        </w:rPr>
        <w:t>also consider</w:t>
      </w:r>
      <w:r>
        <w:rPr>
          <w:rFonts w:ascii="Times New Roman" w:hAnsi="Times New Roman" w:cs="Times New Roman"/>
        </w:rPr>
        <w:t xml:space="preserve"> three </w:t>
      </w:r>
      <w:r w:rsidR="00AB5693">
        <w:rPr>
          <w:rFonts w:ascii="Times New Roman" w:hAnsi="Times New Roman" w:cs="Times New Roman"/>
        </w:rPr>
        <w:t xml:space="preserve">separate </w:t>
      </w:r>
      <w:r>
        <w:rPr>
          <w:rFonts w:ascii="Times New Roman" w:hAnsi="Times New Roman" w:cs="Times New Roman"/>
        </w:rPr>
        <w:t>groups of occupations</w:t>
      </w:r>
      <w:r w:rsidR="001526A8">
        <w:rPr>
          <w:rFonts w:ascii="Times New Roman" w:hAnsi="Times New Roman" w:cs="Times New Roman"/>
        </w:rPr>
        <w:t xml:space="preserve"> </w:t>
      </w:r>
      <w:r w:rsidR="001526A8" w:rsidRPr="007733A6">
        <w:rPr>
          <w:rFonts w:ascii="Times New Roman" w:hAnsi="Times New Roman" w:cs="Times New Roman"/>
          <w:i/>
        </w:rPr>
        <w:t>within the top NS-SEC</w:t>
      </w:r>
      <w:r w:rsidR="00F766AC">
        <w:rPr>
          <w:rFonts w:ascii="Times New Roman" w:hAnsi="Times New Roman" w:cs="Times New Roman"/>
        </w:rPr>
        <w:t xml:space="preserve"> in our analysis</w:t>
      </w:r>
      <w:r>
        <w:rPr>
          <w:rFonts w:ascii="Times New Roman" w:hAnsi="Times New Roman" w:cs="Times New Roman"/>
        </w:rPr>
        <w:t xml:space="preserve">: </w:t>
      </w:r>
      <w:r w:rsidR="00C35598">
        <w:rPr>
          <w:rFonts w:ascii="Times New Roman" w:hAnsi="Times New Roman" w:cs="Times New Roman"/>
        </w:rPr>
        <w:t xml:space="preserve">a) </w:t>
      </w:r>
      <w:r>
        <w:rPr>
          <w:rFonts w:ascii="Times New Roman" w:hAnsi="Times New Roman" w:cs="Times New Roman"/>
        </w:rPr>
        <w:t xml:space="preserve">higher managerial (NS-SEC 1.1 occupations), </w:t>
      </w:r>
      <w:r w:rsidR="00C35598">
        <w:rPr>
          <w:rFonts w:ascii="Times New Roman" w:hAnsi="Times New Roman" w:cs="Times New Roman"/>
        </w:rPr>
        <w:t xml:space="preserve">b) </w:t>
      </w:r>
      <w:r w:rsidR="007733A6">
        <w:rPr>
          <w:rFonts w:ascii="Times New Roman" w:hAnsi="Times New Roman" w:cs="Times New Roman"/>
        </w:rPr>
        <w:t>business, medical and law professionals</w:t>
      </w:r>
      <w:r>
        <w:rPr>
          <w:rFonts w:ascii="Times New Roman" w:hAnsi="Times New Roman" w:cs="Times New Roman"/>
        </w:rPr>
        <w:t xml:space="preserve"> and </w:t>
      </w:r>
      <w:r w:rsidR="004F713C">
        <w:rPr>
          <w:rFonts w:ascii="Times New Roman" w:hAnsi="Times New Roman" w:cs="Times New Roman"/>
        </w:rPr>
        <w:t xml:space="preserve">c) </w:t>
      </w:r>
      <w:r w:rsidR="007733A6">
        <w:rPr>
          <w:rFonts w:ascii="Times New Roman" w:hAnsi="Times New Roman" w:cs="Times New Roman"/>
        </w:rPr>
        <w:t xml:space="preserve">other professionals (including </w:t>
      </w:r>
      <w:r>
        <w:rPr>
          <w:rFonts w:ascii="Times New Roman" w:hAnsi="Times New Roman" w:cs="Times New Roman"/>
        </w:rPr>
        <w:t>educational, buil</w:t>
      </w:r>
      <w:r w:rsidR="00476FDC">
        <w:rPr>
          <w:rFonts w:ascii="Times New Roman" w:hAnsi="Times New Roman" w:cs="Times New Roman"/>
        </w:rPr>
        <w:t>t</w:t>
      </w:r>
      <w:r>
        <w:rPr>
          <w:rFonts w:ascii="Times New Roman" w:hAnsi="Times New Roman" w:cs="Times New Roman"/>
        </w:rPr>
        <w:t xml:space="preserve"> environment, scientist and </w:t>
      </w:r>
      <w:r w:rsidR="001526A8">
        <w:rPr>
          <w:rFonts w:ascii="Times New Roman" w:hAnsi="Times New Roman" w:cs="Times New Roman"/>
        </w:rPr>
        <w:t>other NS-SEC 1</w:t>
      </w:r>
      <w:r w:rsidR="00C60BE2">
        <w:rPr>
          <w:rFonts w:ascii="Times New Roman" w:hAnsi="Times New Roman" w:cs="Times New Roman"/>
        </w:rPr>
        <w:t>.2</w:t>
      </w:r>
      <w:r w:rsidR="001526A8">
        <w:rPr>
          <w:rFonts w:ascii="Times New Roman" w:hAnsi="Times New Roman" w:cs="Times New Roman"/>
        </w:rPr>
        <w:t xml:space="preserve"> occupations</w:t>
      </w:r>
      <w:r w:rsidR="007733A6">
        <w:rPr>
          <w:rFonts w:ascii="Times New Roman" w:hAnsi="Times New Roman" w:cs="Times New Roman"/>
        </w:rPr>
        <w:t>)</w:t>
      </w:r>
      <w:r w:rsidR="001D72F2">
        <w:rPr>
          <w:rFonts w:ascii="Times New Roman" w:hAnsi="Times New Roman" w:cs="Times New Roman"/>
          <w:lang w:eastAsia="en-GB"/>
        </w:rPr>
        <w:t>.</w:t>
      </w:r>
      <w:r w:rsidR="00476FDC">
        <w:rPr>
          <w:rFonts w:ascii="Times New Roman" w:hAnsi="Times New Roman" w:cs="Times New Roman"/>
          <w:lang w:eastAsia="en-GB"/>
        </w:rPr>
        <w:t xml:space="preserve"> </w:t>
      </w:r>
      <w:r w:rsidR="009F7BB5">
        <w:rPr>
          <w:rFonts w:ascii="Times New Roman" w:hAnsi="Times New Roman" w:cs="Times New Roman"/>
          <w:lang w:eastAsia="en-GB"/>
        </w:rPr>
        <w:t>O</w:t>
      </w:r>
      <w:r w:rsidR="00476FDC">
        <w:rPr>
          <w:rFonts w:ascii="Times New Roman" w:hAnsi="Times New Roman" w:cs="Times New Roman"/>
          <w:lang w:eastAsia="en-GB"/>
        </w:rPr>
        <w:t xml:space="preserve">ccupations within these groupings are </w:t>
      </w:r>
      <w:r w:rsidR="009F7BB5">
        <w:rPr>
          <w:rFonts w:ascii="Times New Roman" w:hAnsi="Times New Roman" w:cs="Times New Roman"/>
          <w:lang w:eastAsia="en-GB"/>
        </w:rPr>
        <w:t>listed</w:t>
      </w:r>
      <w:r w:rsidR="00476FDC">
        <w:rPr>
          <w:rFonts w:ascii="Times New Roman" w:hAnsi="Times New Roman" w:cs="Times New Roman"/>
          <w:lang w:eastAsia="en-GB"/>
        </w:rPr>
        <w:t xml:space="preserve"> in the Appendix.</w:t>
      </w:r>
      <w:r w:rsidR="001D72F2">
        <w:rPr>
          <w:rFonts w:ascii="Times New Roman" w:hAnsi="Times New Roman" w:cs="Times New Roman"/>
          <w:lang w:eastAsia="en-GB"/>
        </w:rPr>
        <w:t xml:space="preserve"> These high profile </w:t>
      </w:r>
      <w:r w:rsidR="00476FDC">
        <w:rPr>
          <w:rFonts w:ascii="Times New Roman" w:hAnsi="Times New Roman" w:cs="Times New Roman"/>
          <w:lang w:eastAsia="en-GB"/>
        </w:rPr>
        <w:t>occupations</w:t>
      </w:r>
      <w:r w:rsidR="00C60BE2">
        <w:rPr>
          <w:rFonts w:ascii="Times New Roman" w:hAnsi="Times New Roman" w:cs="Times New Roman"/>
          <w:lang w:eastAsia="en-GB"/>
        </w:rPr>
        <w:t xml:space="preserve"> within the top NS-SEC</w:t>
      </w:r>
      <w:r w:rsidR="00BD4C7F" w:rsidRPr="00D87BB8">
        <w:rPr>
          <w:rFonts w:ascii="Times New Roman" w:hAnsi="Times New Roman" w:cs="Times New Roman"/>
          <w:lang w:eastAsia="en-GB"/>
        </w:rPr>
        <w:t xml:space="preserve"> are the focus of government policies </w:t>
      </w:r>
      <w:r w:rsidR="00AB5693">
        <w:rPr>
          <w:rFonts w:ascii="Times New Roman" w:hAnsi="Times New Roman" w:cs="Times New Roman"/>
          <w:lang w:eastAsia="en-GB"/>
        </w:rPr>
        <w:t xml:space="preserve">for </w:t>
      </w:r>
      <w:r w:rsidR="00BD4C7F" w:rsidRPr="00D87BB8">
        <w:rPr>
          <w:rFonts w:ascii="Times New Roman" w:hAnsi="Times New Roman" w:cs="Times New Roman"/>
          <w:lang w:eastAsia="en-GB"/>
        </w:rPr>
        <w:t>promoting fair access</w:t>
      </w:r>
      <w:r w:rsidR="009F7BB5">
        <w:rPr>
          <w:rFonts w:ascii="Times New Roman" w:hAnsi="Times New Roman" w:cs="Times New Roman"/>
          <w:lang w:eastAsia="en-GB"/>
        </w:rPr>
        <w:t xml:space="preserve"> and</w:t>
      </w:r>
      <w:r w:rsidR="001C20A7">
        <w:rPr>
          <w:rFonts w:ascii="Times New Roman" w:hAnsi="Times New Roman" w:cs="Times New Roman"/>
        </w:rPr>
        <w:t xml:space="preserve"> there are clear differences in the labour market reward by groups of occupations: on average</w:t>
      </w:r>
      <w:r w:rsidR="00CB3B9E">
        <w:rPr>
          <w:rFonts w:ascii="Times New Roman" w:hAnsi="Times New Roman" w:cs="Times New Roman"/>
        </w:rPr>
        <w:t>, individuals working in</w:t>
      </w:r>
      <w:r w:rsidR="001C20A7">
        <w:rPr>
          <w:rFonts w:ascii="Times New Roman" w:hAnsi="Times New Roman" w:cs="Times New Roman"/>
        </w:rPr>
        <w:t xml:space="preserve"> higher managerial occupations earned £</w:t>
      </w:r>
      <w:r w:rsidR="007733A6">
        <w:rPr>
          <w:rFonts w:ascii="Times New Roman" w:hAnsi="Times New Roman" w:cs="Times New Roman"/>
        </w:rPr>
        <w:t>81</w:t>
      </w:r>
      <w:r w:rsidR="001C20A7">
        <w:rPr>
          <w:rFonts w:ascii="Times New Roman" w:hAnsi="Times New Roman" w:cs="Times New Roman"/>
        </w:rPr>
        <w:t xml:space="preserve">,000 </w:t>
      </w:r>
      <w:r w:rsidR="00551DD5">
        <w:rPr>
          <w:rFonts w:ascii="Times New Roman" w:hAnsi="Times New Roman" w:cs="Times New Roman"/>
        </w:rPr>
        <w:t xml:space="preserve">in </w:t>
      </w:r>
      <w:r w:rsidR="001C20A7">
        <w:rPr>
          <w:rFonts w:ascii="Times New Roman" w:hAnsi="Times New Roman" w:cs="Times New Roman"/>
        </w:rPr>
        <w:t xml:space="preserve">2011 compared to £51,000 for business, </w:t>
      </w:r>
      <w:r w:rsidR="007733A6">
        <w:rPr>
          <w:rFonts w:ascii="Times New Roman" w:hAnsi="Times New Roman" w:cs="Times New Roman"/>
        </w:rPr>
        <w:t xml:space="preserve">medical and law </w:t>
      </w:r>
      <w:r w:rsidR="001C20A7">
        <w:rPr>
          <w:rFonts w:ascii="Times New Roman" w:hAnsi="Times New Roman" w:cs="Times New Roman"/>
        </w:rPr>
        <w:t>professions</w:t>
      </w:r>
      <w:r w:rsidR="003E22A9">
        <w:rPr>
          <w:rFonts w:ascii="Times New Roman" w:hAnsi="Times New Roman" w:cs="Times New Roman"/>
        </w:rPr>
        <w:t xml:space="preserve"> and</w:t>
      </w:r>
      <w:r w:rsidR="001C20A7">
        <w:rPr>
          <w:rFonts w:ascii="Times New Roman" w:hAnsi="Times New Roman" w:cs="Times New Roman"/>
        </w:rPr>
        <w:t xml:space="preserve"> £39,000 for </w:t>
      </w:r>
      <w:r w:rsidR="007733A6">
        <w:rPr>
          <w:rFonts w:ascii="Times New Roman" w:hAnsi="Times New Roman" w:cs="Times New Roman"/>
        </w:rPr>
        <w:t>other professions</w:t>
      </w:r>
      <w:r w:rsidR="00C60BE2">
        <w:rPr>
          <w:rFonts w:ascii="Times New Roman" w:hAnsi="Times New Roman" w:cs="Times New Roman"/>
        </w:rPr>
        <w:t xml:space="preserve"> compared to £24,000 for all other occupations (NS-SEC 2-7)</w:t>
      </w:r>
      <w:r w:rsidR="00C60BE2">
        <w:rPr>
          <w:rStyle w:val="FootnoteReference"/>
          <w:rFonts w:ascii="Times New Roman" w:hAnsi="Times New Roman" w:cs="Times New Roman"/>
        </w:rPr>
        <w:footnoteReference w:id="10"/>
      </w:r>
      <w:r w:rsidR="001C20A7">
        <w:rPr>
          <w:rFonts w:ascii="Times New Roman" w:hAnsi="Times New Roman" w:cs="Times New Roman"/>
        </w:rPr>
        <w:t xml:space="preserve">. </w:t>
      </w:r>
      <w:r w:rsidR="00AB41F9" w:rsidRPr="00D87BB8">
        <w:rPr>
          <w:rFonts w:ascii="Times New Roman" w:hAnsi="Times New Roman" w:cs="Times New Roman"/>
          <w:lang w:eastAsia="en-GB"/>
        </w:rPr>
        <w:t xml:space="preserve">Table 1 shows the proportion of graduates in our sample employed in </w:t>
      </w:r>
      <w:r w:rsidR="00AB5693">
        <w:rPr>
          <w:rFonts w:ascii="Times New Roman" w:hAnsi="Times New Roman" w:cs="Times New Roman"/>
          <w:lang w:eastAsia="en-GB"/>
        </w:rPr>
        <w:t>these high status occupations</w:t>
      </w:r>
      <w:r w:rsidR="00AB41F9" w:rsidRPr="00D87BB8">
        <w:rPr>
          <w:rFonts w:ascii="Times New Roman" w:hAnsi="Times New Roman" w:cs="Times New Roman"/>
          <w:lang w:eastAsia="en-GB"/>
        </w:rPr>
        <w:t xml:space="preserve"> at 3.5 years after graduation</w:t>
      </w:r>
      <w:r w:rsidR="00AB5693">
        <w:rPr>
          <w:rFonts w:ascii="Times New Roman" w:hAnsi="Times New Roman" w:cs="Times New Roman"/>
          <w:lang w:eastAsia="en-GB"/>
        </w:rPr>
        <w:t xml:space="preserve"> (column 1)</w:t>
      </w:r>
      <w:r w:rsidR="00D04DA7">
        <w:rPr>
          <w:rFonts w:ascii="Times New Roman" w:hAnsi="Times New Roman" w:cs="Times New Roman"/>
          <w:lang w:eastAsia="en-GB"/>
        </w:rPr>
        <w:t xml:space="preserve"> and the average annual earnings in 2011 by occupation grouping</w:t>
      </w:r>
      <w:r w:rsidR="00AB41F9" w:rsidRPr="00D87BB8">
        <w:rPr>
          <w:rFonts w:ascii="Times New Roman" w:hAnsi="Times New Roman" w:cs="Times New Roman"/>
          <w:lang w:eastAsia="en-GB"/>
        </w:rPr>
        <w:t>.</w:t>
      </w:r>
      <w:r w:rsidR="00940CE5">
        <w:rPr>
          <w:rFonts w:ascii="Times New Roman" w:hAnsi="Times New Roman" w:cs="Times New Roman"/>
          <w:lang w:eastAsia="en-GB"/>
        </w:rPr>
        <w:t xml:space="preserve"> </w:t>
      </w:r>
    </w:p>
    <w:p w:rsidR="00C94943" w:rsidRDefault="00FE4CFA" w:rsidP="00A97EA9">
      <w:pPr>
        <w:pStyle w:val="Default"/>
        <w:spacing w:after="240" w:line="360" w:lineRule="auto"/>
        <w:jc w:val="both"/>
        <w:rPr>
          <w:rFonts w:ascii="Times New Roman" w:hAnsi="Times New Roman" w:cs="Times New Roman"/>
          <w:lang w:eastAsia="en-GB"/>
        </w:rPr>
      </w:pPr>
      <w:r>
        <w:rPr>
          <w:rFonts w:ascii="Times New Roman" w:hAnsi="Times New Roman" w:cs="Times New Roman"/>
          <w:lang w:eastAsia="en-GB"/>
        </w:rPr>
        <w:t xml:space="preserve">We have three measures of family background available: parental NS-SEC, </w:t>
      </w:r>
      <w:r w:rsidR="00D375A6">
        <w:rPr>
          <w:rFonts w:ascii="Times New Roman" w:hAnsi="Times New Roman" w:cs="Times New Roman"/>
          <w:lang w:eastAsia="en-GB"/>
        </w:rPr>
        <w:t xml:space="preserve">the </w:t>
      </w:r>
      <w:r>
        <w:rPr>
          <w:rFonts w:ascii="Times New Roman" w:hAnsi="Times New Roman" w:cs="Times New Roman"/>
          <w:lang w:eastAsia="en-GB"/>
        </w:rPr>
        <w:t>neighbourhood participation</w:t>
      </w:r>
      <w:r w:rsidR="00D375A6">
        <w:rPr>
          <w:rFonts w:ascii="Times New Roman" w:hAnsi="Times New Roman" w:cs="Times New Roman"/>
          <w:lang w:eastAsia="en-GB"/>
        </w:rPr>
        <w:t xml:space="preserve"> rate</w:t>
      </w:r>
      <w:r>
        <w:rPr>
          <w:rFonts w:ascii="Times New Roman" w:hAnsi="Times New Roman" w:cs="Times New Roman"/>
          <w:lang w:eastAsia="en-GB"/>
        </w:rPr>
        <w:t xml:space="preserve"> in higher education and type of secondary school attended. </w:t>
      </w:r>
      <w:r w:rsidR="00E17231">
        <w:rPr>
          <w:rFonts w:ascii="Times New Roman" w:hAnsi="Times New Roman" w:cs="Times New Roman"/>
          <w:lang w:eastAsia="en-GB"/>
        </w:rPr>
        <w:t>U</w:t>
      </w:r>
      <w:r w:rsidR="00E61565" w:rsidRPr="00D87BB8">
        <w:rPr>
          <w:rFonts w:ascii="Times New Roman" w:hAnsi="Times New Roman" w:cs="Times New Roman"/>
          <w:lang w:eastAsia="en-GB"/>
        </w:rPr>
        <w:t>ndergraduate students entering higher education through UCAS</w:t>
      </w:r>
      <w:r w:rsidR="00E17231">
        <w:rPr>
          <w:rFonts w:ascii="Times New Roman" w:hAnsi="Times New Roman" w:cs="Times New Roman"/>
          <w:lang w:eastAsia="en-GB"/>
        </w:rPr>
        <w:t xml:space="preserve"> are asked to provide information on their parents’ occupations, though some choose not to do this, particularly mature students</w:t>
      </w:r>
      <w:r w:rsidR="003E22A9">
        <w:rPr>
          <w:rFonts w:ascii="Times New Roman" w:hAnsi="Times New Roman" w:cs="Times New Roman"/>
          <w:lang w:eastAsia="en-GB"/>
        </w:rPr>
        <w:t xml:space="preserve">, </w:t>
      </w:r>
      <w:r w:rsidR="00C02372">
        <w:rPr>
          <w:rFonts w:ascii="Times New Roman" w:hAnsi="Times New Roman" w:cs="Times New Roman"/>
          <w:lang w:eastAsia="en-GB"/>
        </w:rPr>
        <w:t xml:space="preserve">which </w:t>
      </w:r>
      <w:r w:rsidR="00E17231">
        <w:rPr>
          <w:rFonts w:ascii="Times New Roman" w:hAnsi="Times New Roman" w:cs="Times New Roman"/>
          <w:lang w:eastAsia="en-GB"/>
        </w:rPr>
        <w:t xml:space="preserve">may explain the relatively high rate of missing data. </w:t>
      </w:r>
      <w:r w:rsidR="00D27557">
        <w:rPr>
          <w:rFonts w:ascii="Times New Roman" w:hAnsi="Times New Roman" w:cs="Times New Roman"/>
          <w:lang w:eastAsia="en-GB"/>
        </w:rPr>
        <w:t xml:space="preserve">Missing parental NS-SEC data (18.8% of our sample) </w:t>
      </w:r>
      <w:r w:rsidR="00CB3B9E">
        <w:rPr>
          <w:rFonts w:ascii="Times New Roman" w:hAnsi="Times New Roman" w:cs="Times New Roman"/>
          <w:lang w:eastAsia="en-GB"/>
        </w:rPr>
        <w:t>includes</w:t>
      </w:r>
      <w:r w:rsidR="00D27557">
        <w:rPr>
          <w:rFonts w:ascii="Times New Roman" w:hAnsi="Times New Roman" w:cs="Times New Roman"/>
          <w:lang w:eastAsia="en-GB"/>
        </w:rPr>
        <w:t xml:space="preserve"> graduates for whom the occupation of their parents is either unclassi</w:t>
      </w:r>
      <w:r w:rsidR="00CD7394">
        <w:rPr>
          <w:rFonts w:ascii="Times New Roman" w:hAnsi="Times New Roman" w:cs="Times New Roman"/>
          <w:lang w:eastAsia="en-GB"/>
        </w:rPr>
        <w:t>fied (14.4%) or unknown (4.4%).</w:t>
      </w:r>
      <w:r w:rsidR="00C02372">
        <w:rPr>
          <w:rFonts w:ascii="Times New Roman" w:hAnsi="Times New Roman" w:cs="Times New Roman"/>
          <w:lang w:eastAsia="en-GB"/>
        </w:rPr>
        <w:t xml:space="preserve"> </w:t>
      </w:r>
      <w:r w:rsidR="007E53D7">
        <w:rPr>
          <w:rFonts w:ascii="Times New Roman" w:hAnsi="Times New Roman" w:cs="Times New Roman"/>
          <w:lang w:eastAsia="en-GB"/>
        </w:rPr>
        <w:t>Appendix Tabl</w:t>
      </w:r>
      <w:r w:rsidR="001C20A7">
        <w:rPr>
          <w:rFonts w:ascii="Times New Roman" w:hAnsi="Times New Roman" w:cs="Times New Roman"/>
          <w:lang w:eastAsia="en-GB"/>
        </w:rPr>
        <w:t xml:space="preserve">e A2 illustrates the </w:t>
      </w:r>
      <w:r w:rsidR="001C20A7">
        <w:rPr>
          <w:rFonts w:ascii="Times New Roman" w:hAnsi="Times New Roman" w:cs="Times New Roman"/>
          <w:lang w:eastAsia="en-GB"/>
        </w:rPr>
        <w:lastRenderedPageBreak/>
        <w:t>proportion of our sample</w:t>
      </w:r>
      <w:r w:rsidR="007E53D7">
        <w:rPr>
          <w:rFonts w:ascii="Times New Roman" w:hAnsi="Times New Roman" w:cs="Times New Roman"/>
          <w:lang w:eastAsia="en-GB"/>
        </w:rPr>
        <w:t xml:space="preserve"> </w:t>
      </w:r>
      <w:r w:rsidR="00CD7394">
        <w:rPr>
          <w:rFonts w:ascii="Times New Roman" w:hAnsi="Times New Roman" w:cs="Times New Roman"/>
          <w:lang w:eastAsia="en-GB"/>
        </w:rPr>
        <w:t xml:space="preserve">with </w:t>
      </w:r>
      <w:r w:rsidR="007E53D7">
        <w:rPr>
          <w:rFonts w:ascii="Times New Roman" w:hAnsi="Times New Roman" w:cs="Times New Roman"/>
          <w:lang w:eastAsia="en-GB"/>
        </w:rPr>
        <w:t xml:space="preserve">missing information. </w:t>
      </w:r>
      <w:r w:rsidR="001C20A7">
        <w:rPr>
          <w:rFonts w:ascii="Times New Roman" w:hAnsi="Times New Roman" w:cs="Times New Roman"/>
          <w:lang w:eastAsia="en-GB"/>
        </w:rPr>
        <w:t xml:space="preserve">The extent of missing data is identical </w:t>
      </w:r>
      <w:r w:rsidR="00C94943">
        <w:rPr>
          <w:rFonts w:ascii="Times New Roman" w:hAnsi="Times New Roman" w:cs="Times New Roman"/>
          <w:lang w:eastAsia="en-GB"/>
        </w:rPr>
        <w:t xml:space="preserve">for those </w:t>
      </w:r>
      <w:r w:rsidR="001C20A7">
        <w:rPr>
          <w:rFonts w:ascii="Times New Roman" w:hAnsi="Times New Roman" w:cs="Times New Roman"/>
          <w:lang w:eastAsia="en-GB"/>
        </w:rPr>
        <w:t>in top NS-SEC occupations compared to NS-SEC 2-7</w:t>
      </w:r>
      <w:r w:rsidR="00CB3B9E">
        <w:rPr>
          <w:rFonts w:ascii="Times New Roman" w:hAnsi="Times New Roman" w:cs="Times New Roman"/>
          <w:lang w:eastAsia="en-GB"/>
        </w:rPr>
        <w:t>occupations</w:t>
      </w:r>
      <w:r w:rsidR="001C20A7">
        <w:rPr>
          <w:rFonts w:ascii="Times New Roman" w:hAnsi="Times New Roman" w:cs="Times New Roman"/>
          <w:lang w:eastAsia="en-GB"/>
        </w:rPr>
        <w:t xml:space="preserve">. </w:t>
      </w:r>
    </w:p>
    <w:p w:rsidR="00E61565" w:rsidRDefault="00FE4CFA" w:rsidP="00A97EA9">
      <w:pPr>
        <w:pStyle w:val="Default"/>
        <w:spacing w:after="240" w:line="360" w:lineRule="auto"/>
        <w:jc w:val="both"/>
        <w:rPr>
          <w:rFonts w:ascii="Times New Roman" w:hAnsi="Times New Roman" w:cs="Times New Roman"/>
          <w:lang w:eastAsia="en-GB"/>
        </w:rPr>
      </w:pPr>
      <w:r>
        <w:rPr>
          <w:rFonts w:ascii="Times New Roman" w:hAnsi="Times New Roman" w:cs="Times New Roman"/>
          <w:lang w:eastAsia="en-GB"/>
        </w:rPr>
        <w:t>Our measure of neighbourhood higher education participation is</w:t>
      </w:r>
      <w:r w:rsidR="00E61565" w:rsidRPr="00D87BB8">
        <w:rPr>
          <w:rFonts w:ascii="Times New Roman" w:hAnsi="Times New Roman" w:cs="Times New Roman"/>
          <w:lang w:eastAsia="en-GB"/>
        </w:rPr>
        <w:t xml:space="preserve"> based on the POLAR3 classification </w:t>
      </w:r>
      <w:r w:rsidR="00E61565">
        <w:rPr>
          <w:rFonts w:ascii="Times New Roman" w:hAnsi="Times New Roman" w:cs="Times New Roman"/>
          <w:lang w:eastAsia="en-GB"/>
        </w:rPr>
        <w:t>which contains</w:t>
      </w:r>
      <w:r w:rsidR="00E61565" w:rsidRPr="00D87BB8">
        <w:rPr>
          <w:rFonts w:ascii="Times New Roman" w:hAnsi="Times New Roman" w:cs="Times New Roman"/>
          <w:lang w:eastAsia="en-GB"/>
        </w:rPr>
        <w:t xml:space="preserve"> rankings of higher education participation by area (Census Area Statistic wards)</w:t>
      </w:r>
      <w:r w:rsidR="00E61565">
        <w:rPr>
          <w:rFonts w:ascii="Times New Roman" w:hAnsi="Times New Roman" w:cs="Times New Roman"/>
          <w:lang w:eastAsia="en-GB"/>
        </w:rPr>
        <w:t xml:space="preserve">. From this, </w:t>
      </w:r>
      <w:r w:rsidR="00E61565" w:rsidRPr="00D87BB8">
        <w:rPr>
          <w:rFonts w:ascii="Times New Roman" w:hAnsi="Times New Roman" w:cs="Times New Roman"/>
          <w:lang w:eastAsia="en-GB"/>
        </w:rPr>
        <w:t xml:space="preserve">quintiles of areas </w:t>
      </w:r>
      <w:r w:rsidR="00E61565">
        <w:rPr>
          <w:rFonts w:ascii="Times New Roman" w:hAnsi="Times New Roman" w:cs="Times New Roman"/>
          <w:lang w:eastAsia="en-GB"/>
        </w:rPr>
        <w:t xml:space="preserve">are constructed, </w:t>
      </w:r>
      <w:r w:rsidR="003E22A9">
        <w:rPr>
          <w:rFonts w:ascii="Times New Roman" w:hAnsi="Times New Roman" w:cs="Times New Roman"/>
          <w:lang w:eastAsia="en-GB"/>
        </w:rPr>
        <w:t>ordered from 1</w:t>
      </w:r>
      <w:r w:rsidR="00E61565" w:rsidRPr="00D87BB8">
        <w:rPr>
          <w:rFonts w:ascii="Times New Roman" w:hAnsi="Times New Roman" w:cs="Times New Roman"/>
          <w:lang w:eastAsia="en-GB"/>
        </w:rPr>
        <w:t xml:space="preserve"> (those</w:t>
      </w:r>
      <w:r w:rsidR="003E22A9">
        <w:rPr>
          <w:rFonts w:ascii="Times New Roman" w:hAnsi="Times New Roman" w:cs="Times New Roman"/>
          <w:lang w:eastAsia="en-GB"/>
        </w:rPr>
        <w:t xml:space="preserve"> with lowest participation) to 5</w:t>
      </w:r>
      <w:r w:rsidR="00E61565" w:rsidRPr="00D87BB8">
        <w:rPr>
          <w:rFonts w:ascii="Times New Roman" w:hAnsi="Times New Roman" w:cs="Times New Roman"/>
          <w:lang w:eastAsia="en-GB"/>
        </w:rPr>
        <w:t xml:space="preserve"> (those with highest participation). </w:t>
      </w:r>
      <w:r>
        <w:rPr>
          <w:rFonts w:ascii="Times New Roman" w:hAnsi="Times New Roman" w:cs="Times New Roman"/>
          <w:lang w:eastAsia="en-GB"/>
        </w:rPr>
        <w:t>S</w:t>
      </w:r>
      <w:r w:rsidR="00E61565">
        <w:rPr>
          <w:rFonts w:ascii="Times New Roman" w:hAnsi="Times New Roman" w:cs="Times New Roman"/>
          <w:lang w:eastAsia="en-GB"/>
        </w:rPr>
        <w:t xml:space="preserve">chool type </w:t>
      </w:r>
      <w:r>
        <w:rPr>
          <w:rFonts w:ascii="Times New Roman" w:hAnsi="Times New Roman" w:cs="Times New Roman"/>
          <w:lang w:eastAsia="en-GB"/>
        </w:rPr>
        <w:t>is</w:t>
      </w:r>
      <w:r w:rsidR="00CD7394">
        <w:rPr>
          <w:rFonts w:ascii="Times New Roman" w:hAnsi="Times New Roman" w:cs="Times New Roman"/>
          <w:lang w:eastAsia="en-GB"/>
        </w:rPr>
        <w:t xml:space="preserve"> binary: </w:t>
      </w:r>
      <w:r w:rsidR="00E61565">
        <w:rPr>
          <w:rFonts w:ascii="Times New Roman" w:hAnsi="Times New Roman" w:cs="Times New Roman"/>
          <w:lang w:eastAsia="en-GB"/>
        </w:rPr>
        <w:t>private (independent) schools and state schools</w:t>
      </w:r>
      <w:r>
        <w:rPr>
          <w:rStyle w:val="FootnoteReference"/>
          <w:rFonts w:ascii="Times New Roman" w:hAnsi="Times New Roman" w:cs="Times New Roman"/>
          <w:lang w:eastAsia="en-GB"/>
        </w:rPr>
        <w:footnoteReference w:id="11"/>
      </w:r>
      <w:r w:rsidR="00E61565">
        <w:rPr>
          <w:rFonts w:ascii="Times New Roman" w:hAnsi="Times New Roman" w:cs="Times New Roman"/>
          <w:lang w:eastAsia="en-GB"/>
        </w:rPr>
        <w:t>.</w:t>
      </w:r>
    </w:p>
    <w:p w:rsidR="00F766AC" w:rsidRDefault="008A4246" w:rsidP="00A97EA9">
      <w:pPr>
        <w:pStyle w:val="Default"/>
        <w:spacing w:after="240" w:line="360" w:lineRule="auto"/>
        <w:jc w:val="both"/>
        <w:rPr>
          <w:rFonts w:ascii="Times New Roman" w:hAnsi="Times New Roman" w:cs="Times New Roman"/>
        </w:rPr>
      </w:pPr>
      <w:r>
        <w:rPr>
          <w:rFonts w:ascii="Times New Roman" w:hAnsi="Times New Roman" w:cs="Times New Roman"/>
          <w:lang w:eastAsia="en-GB"/>
        </w:rPr>
        <w:t>Column</w:t>
      </w:r>
      <w:r w:rsidR="003E22A9">
        <w:rPr>
          <w:rFonts w:ascii="Times New Roman" w:hAnsi="Times New Roman" w:cs="Times New Roman"/>
          <w:lang w:eastAsia="en-GB"/>
        </w:rPr>
        <w:t xml:space="preserve"> 3 to 8 of Table 1</w:t>
      </w:r>
      <w:r w:rsidR="00D91481">
        <w:rPr>
          <w:rFonts w:ascii="Times New Roman" w:hAnsi="Times New Roman" w:cs="Times New Roman"/>
          <w:lang w:eastAsia="en-GB"/>
        </w:rPr>
        <w:t xml:space="preserve"> </w:t>
      </w:r>
      <w:r w:rsidR="00C60BE2">
        <w:rPr>
          <w:rFonts w:ascii="Times New Roman" w:hAnsi="Times New Roman" w:cs="Times New Roman"/>
          <w:lang w:eastAsia="en-GB"/>
        </w:rPr>
        <w:t>illustrates</w:t>
      </w:r>
      <w:r w:rsidR="00E61565" w:rsidRPr="00D87BB8">
        <w:rPr>
          <w:rFonts w:ascii="Times New Roman" w:hAnsi="Times New Roman" w:cs="Times New Roman"/>
          <w:lang w:eastAsia="en-GB"/>
        </w:rPr>
        <w:t xml:space="preserve"> the socioeconomic background of graduates employed in </w:t>
      </w:r>
      <w:r>
        <w:rPr>
          <w:rFonts w:ascii="Times New Roman" w:hAnsi="Times New Roman" w:cs="Times New Roman"/>
          <w:lang w:eastAsia="en-GB"/>
        </w:rPr>
        <w:t>our various definitions of high status occupations</w:t>
      </w:r>
      <w:r w:rsidR="00E61565">
        <w:rPr>
          <w:rFonts w:ascii="Times New Roman" w:hAnsi="Times New Roman" w:cs="Times New Roman"/>
          <w:lang w:eastAsia="en-GB"/>
        </w:rPr>
        <w:t xml:space="preserve"> 3</w:t>
      </w:r>
      <w:r w:rsidR="008C4F80">
        <w:rPr>
          <w:rFonts w:ascii="Times New Roman" w:hAnsi="Times New Roman" w:cs="Times New Roman"/>
          <w:lang w:eastAsia="en-GB"/>
        </w:rPr>
        <w:t>.5</w:t>
      </w:r>
      <w:r w:rsidR="00E61565" w:rsidRPr="00D87BB8">
        <w:rPr>
          <w:rFonts w:ascii="Times New Roman" w:hAnsi="Times New Roman" w:cs="Times New Roman"/>
          <w:lang w:eastAsia="en-GB"/>
        </w:rPr>
        <w:t xml:space="preserve"> years after graduation.</w:t>
      </w:r>
      <w:r w:rsidR="00E61565" w:rsidRPr="00940CE5">
        <w:rPr>
          <w:rFonts w:ascii="Times New Roman" w:hAnsi="Times New Roman" w:cs="Times New Roman"/>
          <w:lang w:eastAsia="en-GB"/>
        </w:rPr>
        <w:t xml:space="preserve"> </w:t>
      </w:r>
      <w:r w:rsidR="005206C6">
        <w:rPr>
          <w:rFonts w:ascii="Times New Roman" w:hAnsi="Times New Roman" w:cs="Times New Roman"/>
        </w:rPr>
        <w:t>31.5% of those with</w:t>
      </w:r>
      <w:r w:rsidR="00E61565" w:rsidRPr="00940CE5">
        <w:rPr>
          <w:rFonts w:ascii="Times New Roman" w:hAnsi="Times New Roman" w:cs="Times New Roman"/>
        </w:rPr>
        <w:t xml:space="preserve"> professional or managerial parents</w:t>
      </w:r>
      <w:r w:rsidR="008C4F80">
        <w:rPr>
          <w:rFonts w:ascii="Times New Roman" w:hAnsi="Times New Roman" w:cs="Times New Roman"/>
        </w:rPr>
        <w:t xml:space="preserve"> </w:t>
      </w:r>
      <w:r w:rsidR="005206C6">
        <w:rPr>
          <w:rFonts w:ascii="Times New Roman" w:hAnsi="Times New Roman" w:cs="Times New Roman"/>
        </w:rPr>
        <w:t>work in high status occupations</w:t>
      </w:r>
      <w:r>
        <w:rPr>
          <w:rFonts w:ascii="Times New Roman" w:hAnsi="Times New Roman" w:cs="Times New Roman"/>
        </w:rPr>
        <w:t xml:space="preserve"> </w:t>
      </w:r>
      <w:r w:rsidR="005206C6">
        <w:rPr>
          <w:rFonts w:ascii="Times New Roman" w:hAnsi="Times New Roman" w:cs="Times New Roman"/>
        </w:rPr>
        <w:t>compared</w:t>
      </w:r>
      <w:r w:rsidR="00E61565" w:rsidRPr="00940CE5">
        <w:rPr>
          <w:rFonts w:ascii="Times New Roman" w:hAnsi="Times New Roman" w:cs="Times New Roman"/>
        </w:rPr>
        <w:t xml:space="preserve"> </w:t>
      </w:r>
      <w:r w:rsidR="005206C6">
        <w:rPr>
          <w:rFonts w:ascii="Times New Roman" w:hAnsi="Times New Roman" w:cs="Times New Roman"/>
        </w:rPr>
        <w:t>to</w:t>
      </w:r>
      <w:r w:rsidR="00E61565" w:rsidRPr="00940CE5">
        <w:rPr>
          <w:rFonts w:ascii="Times New Roman" w:hAnsi="Times New Roman" w:cs="Times New Roman"/>
        </w:rPr>
        <w:t xml:space="preserve"> </w:t>
      </w:r>
      <w:r w:rsidR="005206C6">
        <w:rPr>
          <w:rFonts w:ascii="Times New Roman" w:hAnsi="Times New Roman" w:cs="Times New Roman"/>
        </w:rPr>
        <w:t>27.3% with parents</w:t>
      </w:r>
      <w:r w:rsidR="00E61565" w:rsidRPr="00940CE5">
        <w:rPr>
          <w:rFonts w:ascii="Times New Roman" w:hAnsi="Times New Roman" w:cs="Times New Roman"/>
        </w:rPr>
        <w:t xml:space="preserve"> working in a lower </w:t>
      </w:r>
      <w:r w:rsidR="008C4F80">
        <w:rPr>
          <w:rFonts w:ascii="Times New Roman" w:hAnsi="Times New Roman" w:cs="Times New Roman"/>
        </w:rPr>
        <w:t>NS-SEC</w:t>
      </w:r>
      <w:r w:rsidR="005206C6">
        <w:rPr>
          <w:rFonts w:ascii="Times New Roman" w:hAnsi="Times New Roman" w:cs="Times New Roman"/>
        </w:rPr>
        <w:t xml:space="preserve"> occupation</w:t>
      </w:r>
      <w:r w:rsidR="00E91EC0">
        <w:rPr>
          <w:rFonts w:ascii="Times New Roman" w:hAnsi="Times New Roman" w:cs="Times New Roman"/>
        </w:rPr>
        <w:t xml:space="preserve">. </w:t>
      </w:r>
      <w:r w:rsidR="009627A4">
        <w:rPr>
          <w:rFonts w:ascii="Times New Roman" w:hAnsi="Times New Roman" w:cs="Times New Roman"/>
        </w:rPr>
        <w:t>24.2% of those from</w:t>
      </w:r>
      <w:r w:rsidR="00E61565">
        <w:rPr>
          <w:rFonts w:ascii="Times New Roman" w:hAnsi="Times New Roman" w:cs="Times New Roman"/>
        </w:rPr>
        <w:t xml:space="preserve"> low </w:t>
      </w:r>
      <w:r w:rsidR="00D375A6">
        <w:rPr>
          <w:rFonts w:ascii="Times New Roman" w:hAnsi="Times New Roman" w:cs="Times New Roman"/>
        </w:rPr>
        <w:t xml:space="preserve">HE </w:t>
      </w:r>
      <w:r w:rsidR="00E61565">
        <w:rPr>
          <w:rFonts w:ascii="Times New Roman" w:hAnsi="Times New Roman" w:cs="Times New Roman"/>
        </w:rPr>
        <w:t>participation area</w:t>
      </w:r>
      <w:r w:rsidR="009627A4">
        <w:rPr>
          <w:rFonts w:ascii="Times New Roman" w:hAnsi="Times New Roman" w:cs="Times New Roman"/>
        </w:rPr>
        <w:t>s enter top jobs compared to 29.8% from higher HE participation areas and 40% of private school pupils enter an NS-SEC 1 occupation compared to 28.1% of state school pupils</w:t>
      </w:r>
      <w:r w:rsidR="00F766AC">
        <w:rPr>
          <w:rFonts w:ascii="Times New Roman" w:hAnsi="Times New Roman" w:cs="Times New Roman"/>
        </w:rPr>
        <w:t>.</w:t>
      </w:r>
      <w:r w:rsidR="00E61565">
        <w:rPr>
          <w:rFonts w:ascii="Times New Roman" w:hAnsi="Times New Roman" w:cs="Times New Roman"/>
        </w:rPr>
        <w:t xml:space="preserve"> </w:t>
      </w:r>
    </w:p>
    <w:p w:rsidR="00F766AC" w:rsidRDefault="00F766AC" w:rsidP="00A97EA9">
      <w:pPr>
        <w:pStyle w:val="Default"/>
        <w:spacing w:after="240" w:line="360" w:lineRule="auto"/>
        <w:jc w:val="both"/>
        <w:rPr>
          <w:rFonts w:ascii="Times New Roman" w:hAnsi="Times New Roman" w:cs="Times New Roman"/>
        </w:rPr>
      </w:pPr>
      <w:r>
        <w:rPr>
          <w:rFonts w:ascii="Times New Roman" w:hAnsi="Times New Roman" w:cs="Times New Roman"/>
        </w:rPr>
        <w:t>W</w:t>
      </w:r>
      <w:r w:rsidR="00C60BE2">
        <w:rPr>
          <w:rFonts w:ascii="Times New Roman" w:hAnsi="Times New Roman" w:cs="Times New Roman"/>
        </w:rPr>
        <w:t xml:space="preserve">ithin the top NS-SEC, </w:t>
      </w:r>
      <w:r w:rsidR="008C4F80">
        <w:rPr>
          <w:rFonts w:ascii="Times New Roman" w:hAnsi="Times New Roman" w:cs="Times New Roman"/>
        </w:rPr>
        <w:t xml:space="preserve">there are notable differences in the family background of those entering </w:t>
      </w:r>
      <w:r w:rsidR="00CD7394">
        <w:rPr>
          <w:rFonts w:ascii="Times New Roman" w:hAnsi="Times New Roman" w:cs="Times New Roman"/>
        </w:rPr>
        <w:t>different</w:t>
      </w:r>
      <w:r w:rsidR="008C4F80">
        <w:rPr>
          <w:rFonts w:ascii="Times New Roman" w:hAnsi="Times New Roman" w:cs="Times New Roman"/>
        </w:rPr>
        <w:t xml:space="preserve"> careers. </w:t>
      </w:r>
      <w:r w:rsidR="00CB3B9E">
        <w:rPr>
          <w:rFonts w:ascii="Times New Roman" w:hAnsi="Times New Roman" w:cs="Times New Roman"/>
        </w:rPr>
        <w:t xml:space="preserve">Graduates from </w:t>
      </w:r>
      <w:r w:rsidR="009627A4">
        <w:rPr>
          <w:rFonts w:ascii="Times New Roman" w:hAnsi="Times New Roman" w:cs="Times New Roman"/>
        </w:rPr>
        <w:t xml:space="preserve">higher parental NS-SEC backgrounds, higher HE participation areas and </w:t>
      </w:r>
      <w:r w:rsidR="00CB3B9E">
        <w:rPr>
          <w:rFonts w:ascii="Times New Roman" w:hAnsi="Times New Roman" w:cs="Times New Roman"/>
        </w:rPr>
        <w:t>who</w:t>
      </w:r>
      <w:r w:rsidR="009627A4">
        <w:rPr>
          <w:rFonts w:ascii="Times New Roman" w:hAnsi="Times New Roman" w:cs="Times New Roman"/>
        </w:rPr>
        <w:t xml:space="preserve"> attended a private school</w:t>
      </w:r>
      <w:r w:rsidR="00CB3B9E">
        <w:rPr>
          <w:rFonts w:ascii="Times New Roman" w:hAnsi="Times New Roman" w:cs="Times New Roman"/>
        </w:rPr>
        <w:t xml:space="preserve"> are more likely to enter into higher managerial or business, medical and law professions</w:t>
      </w:r>
      <w:r w:rsidR="008C4F80">
        <w:rPr>
          <w:rFonts w:ascii="Times New Roman" w:hAnsi="Times New Roman" w:cs="Times New Roman"/>
        </w:rPr>
        <w:t>.</w:t>
      </w:r>
      <w:r w:rsidR="009627A4">
        <w:rPr>
          <w:rFonts w:ascii="Times New Roman" w:hAnsi="Times New Roman" w:cs="Times New Roman"/>
        </w:rPr>
        <w:t xml:space="preserve"> </w:t>
      </w:r>
      <w:r w:rsidR="00D64EAE">
        <w:rPr>
          <w:rFonts w:ascii="Times New Roman" w:hAnsi="Times New Roman" w:cs="Times New Roman"/>
        </w:rPr>
        <w:t xml:space="preserve">The picture for other professions is more mixed. </w:t>
      </w:r>
      <w:r w:rsidR="00CB3B9E">
        <w:rPr>
          <w:rFonts w:ascii="Times New Roman" w:hAnsi="Times New Roman" w:cs="Times New Roman"/>
        </w:rPr>
        <w:t>S</w:t>
      </w:r>
      <w:r w:rsidR="00D913F9">
        <w:rPr>
          <w:rFonts w:ascii="Times New Roman" w:hAnsi="Times New Roman" w:cs="Times New Roman"/>
        </w:rPr>
        <w:t xml:space="preserve">tate school pupils </w:t>
      </w:r>
      <w:r w:rsidR="00CB3B9E">
        <w:rPr>
          <w:rFonts w:ascii="Times New Roman" w:hAnsi="Times New Roman" w:cs="Times New Roman"/>
        </w:rPr>
        <w:t xml:space="preserve">are </w:t>
      </w:r>
      <w:r w:rsidR="00D913F9">
        <w:rPr>
          <w:rFonts w:ascii="Times New Roman" w:hAnsi="Times New Roman" w:cs="Times New Roman"/>
        </w:rPr>
        <w:t xml:space="preserve">more likely to </w:t>
      </w:r>
      <w:r w:rsidR="00CB3B9E">
        <w:rPr>
          <w:rFonts w:ascii="Times New Roman" w:hAnsi="Times New Roman" w:cs="Times New Roman"/>
        </w:rPr>
        <w:t>enter</w:t>
      </w:r>
      <w:r w:rsidR="008A4246">
        <w:rPr>
          <w:rFonts w:ascii="Times New Roman" w:hAnsi="Times New Roman" w:cs="Times New Roman"/>
        </w:rPr>
        <w:t xml:space="preserve"> into</w:t>
      </w:r>
      <w:r w:rsidR="00D913F9">
        <w:rPr>
          <w:rFonts w:ascii="Times New Roman" w:hAnsi="Times New Roman" w:cs="Times New Roman"/>
        </w:rPr>
        <w:t xml:space="preserve"> built environment and scientist occupations than private school pupils. Scientists are from lower parental NS-SEC families, low participation areas and are more likely to be state educated</w:t>
      </w:r>
      <w:r w:rsidR="008A4246">
        <w:rPr>
          <w:rFonts w:ascii="Times New Roman" w:hAnsi="Times New Roman" w:cs="Times New Roman"/>
        </w:rPr>
        <w:t xml:space="preserve"> on average</w:t>
      </w:r>
      <w:r w:rsidR="00D913F9">
        <w:rPr>
          <w:rFonts w:ascii="Times New Roman" w:hAnsi="Times New Roman" w:cs="Times New Roman"/>
        </w:rPr>
        <w:t xml:space="preserve">. </w:t>
      </w:r>
    </w:p>
    <w:p w:rsidR="00E61565" w:rsidRDefault="008C4F80" w:rsidP="00A97EA9">
      <w:pPr>
        <w:pStyle w:val="Default"/>
        <w:spacing w:after="240" w:line="360" w:lineRule="auto"/>
        <w:jc w:val="both"/>
        <w:rPr>
          <w:rFonts w:ascii="Times New Roman" w:hAnsi="Times New Roman"/>
          <w:lang w:eastAsia="en-GB"/>
        </w:rPr>
      </w:pPr>
      <w:r>
        <w:rPr>
          <w:rFonts w:ascii="Times New Roman" w:hAnsi="Times New Roman"/>
          <w:lang w:eastAsia="en-GB"/>
        </w:rPr>
        <w:t>When considering the role of networks we use information on the ch</w:t>
      </w:r>
      <w:r w:rsidR="00E61565" w:rsidRPr="00D87BB8">
        <w:rPr>
          <w:rFonts w:ascii="Times New Roman" w:hAnsi="Times New Roman"/>
          <w:lang w:eastAsia="en-GB"/>
        </w:rPr>
        <w:t>annels</w:t>
      </w:r>
      <w:r w:rsidR="00FB08FC">
        <w:rPr>
          <w:rFonts w:ascii="Times New Roman" w:hAnsi="Times New Roman"/>
          <w:lang w:eastAsia="en-GB"/>
        </w:rPr>
        <w:t xml:space="preserve"> that the graduates</w:t>
      </w:r>
      <w:r w:rsidR="00E61565" w:rsidRPr="00D87BB8">
        <w:rPr>
          <w:rFonts w:ascii="Times New Roman" w:hAnsi="Times New Roman"/>
          <w:lang w:eastAsia="en-GB"/>
        </w:rPr>
        <w:t xml:space="preserve"> used to find out about the job</w:t>
      </w:r>
      <w:r w:rsidR="00FB08FC">
        <w:rPr>
          <w:rFonts w:ascii="Times New Roman" w:hAnsi="Times New Roman"/>
          <w:lang w:eastAsia="en-GB"/>
        </w:rPr>
        <w:t xml:space="preserve"> that</w:t>
      </w:r>
      <w:r w:rsidR="00E61565" w:rsidRPr="00D87BB8">
        <w:rPr>
          <w:rFonts w:ascii="Times New Roman" w:hAnsi="Times New Roman"/>
          <w:lang w:eastAsia="en-GB"/>
        </w:rPr>
        <w:t xml:space="preserve"> </w:t>
      </w:r>
      <w:r w:rsidR="00FB08FC">
        <w:rPr>
          <w:rFonts w:ascii="Times New Roman" w:hAnsi="Times New Roman"/>
          <w:lang w:eastAsia="en-GB"/>
        </w:rPr>
        <w:t>they are employed in</w:t>
      </w:r>
      <w:r w:rsidR="00E61565" w:rsidRPr="00D87BB8">
        <w:rPr>
          <w:rFonts w:ascii="Times New Roman" w:hAnsi="Times New Roman"/>
          <w:lang w:eastAsia="en-GB"/>
        </w:rPr>
        <w:t xml:space="preserve"> 3.5 years after graduation. Three types of network are identified, professional (professional, work or educational contacts or networks), personal (personal contacts, including family, friends and social networks) and already</w:t>
      </w:r>
      <w:r w:rsidR="00D913F9">
        <w:rPr>
          <w:rFonts w:ascii="Times New Roman" w:hAnsi="Times New Roman"/>
          <w:lang w:eastAsia="en-GB"/>
        </w:rPr>
        <w:t>/</w:t>
      </w:r>
      <w:r w:rsidR="00E61565" w:rsidRPr="00D87BB8">
        <w:rPr>
          <w:rFonts w:ascii="Times New Roman" w:hAnsi="Times New Roman"/>
          <w:lang w:eastAsia="en-GB"/>
        </w:rPr>
        <w:t>previously having worked for the organisation</w:t>
      </w:r>
      <w:r w:rsidR="00D913F9">
        <w:rPr>
          <w:rFonts w:ascii="Times New Roman" w:hAnsi="Times New Roman"/>
          <w:lang w:eastAsia="en-GB"/>
        </w:rPr>
        <w:t xml:space="preserve">. </w:t>
      </w:r>
      <w:r w:rsidR="00F766AC">
        <w:rPr>
          <w:rFonts w:ascii="Times New Roman" w:hAnsi="Times New Roman"/>
          <w:lang w:eastAsia="en-GB"/>
        </w:rPr>
        <w:t>Our baseline category includes</w:t>
      </w:r>
      <w:r w:rsidR="00E61565" w:rsidRPr="00D87BB8">
        <w:rPr>
          <w:rFonts w:ascii="Times New Roman" w:hAnsi="Times New Roman"/>
          <w:lang w:eastAsia="en-GB"/>
        </w:rPr>
        <w:t xml:space="preserve"> students wh</w:t>
      </w:r>
      <w:r w:rsidR="00D913F9">
        <w:rPr>
          <w:rFonts w:ascii="Times New Roman" w:hAnsi="Times New Roman"/>
          <w:lang w:eastAsia="en-GB"/>
        </w:rPr>
        <w:t xml:space="preserve">o found out about their job in </w:t>
      </w:r>
      <w:r w:rsidR="00E61565" w:rsidRPr="00D87BB8">
        <w:rPr>
          <w:rFonts w:ascii="Times New Roman" w:hAnsi="Times New Roman"/>
          <w:lang w:eastAsia="en-GB"/>
        </w:rPr>
        <w:t>other ways</w:t>
      </w:r>
      <w:r w:rsidR="00F766AC">
        <w:rPr>
          <w:rFonts w:ascii="Times New Roman" w:hAnsi="Times New Roman"/>
          <w:lang w:eastAsia="en-GB"/>
        </w:rPr>
        <w:t>,</w:t>
      </w:r>
      <w:r w:rsidR="00E61565" w:rsidRPr="00D87BB8">
        <w:rPr>
          <w:rFonts w:ascii="Times New Roman" w:hAnsi="Times New Roman"/>
          <w:lang w:eastAsia="en-GB"/>
        </w:rPr>
        <w:t xml:space="preserve"> using non-network channels</w:t>
      </w:r>
      <w:r w:rsidR="00CD7394">
        <w:rPr>
          <w:rFonts w:ascii="Times New Roman" w:hAnsi="Times New Roman"/>
          <w:lang w:eastAsia="en-GB"/>
        </w:rPr>
        <w:t xml:space="preserve"> (</w:t>
      </w:r>
      <w:r w:rsidR="00E61565" w:rsidRPr="00D87BB8">
        <w:rPr>
          <w:rFonts w:ascii="Times New Roman" w:hAnsi="Times New Roman"/>
          <w:lang w:eastAsia="en-GB"/>
        </w:rPr>
        <w:t>recruitment agency, career service, employer website, media advert</w:t>
      </w:r>
      <w:r w:rsidR="00CA31BB">
        <w:rPr>
          <w:rFonts w:ascii="Times New Roman" w:hAnsi="Times New Roman"/>
          <w:lang w:eastAsia="en-GB"/>
        </w:rPr>
        <w:t>isement</w:t>
      </w:r>
      <w:r w:rsidR="00E61565" w:rsidRPr="00D87BB8">
        <w:rPr>
          <w:rFonts w:ascii="Times New Roman" w:hAnsi="Times New Roman"/>
          <w:lang w:eastAsia="en-GB"/>
        </w:rPr>
        <w:t>, speculative application or other</w:t>
      </w:r>
      <w:r w:rsidR="00CD7394">
        <w:rPr>
          <w:rFonts w:ascii="Times New Roman" w:hAnsi="Times New Roman"/>
          <w:lang w:eastAsia="en-GB"/>
        </w:rPr>
        <w:t>)</w:t>
      </w:r>
      <w:r w:rsidR="00E61565" w:rsidRPr="00D87BB8">
        <w:rPr>
          <w:rFonts w:ascii="Times New Roman" w:hAnsi="Times New Roman"/>
          <w:lang w:eastAsia="en-GB"/>
        </w:rPr>
        <w:t>.</w:t>
      </w:r>
    </w:p>
    <w:p w:rsidR="00F766AC" w:rsidRDefault="00F766AC" w:rsidP="00A97EA9">
      <w:pPr>
        <w:pStyle w:val="Default"/>
        <w:spacing w:after="240" w:line="360" w:lineRule="auto"/>
        <w:jc w:val="both"/>
        <w:rPr>
          <w:rFonts w:ascii="Times New Roman" w:hAnsi="Times New Roman"/>
          <w:shd w:val="clear" w:color="auto" w:fill="FFFFFF"/>
          <w:lang w:val="en-US"/>
        </w:rPr>
      </w:pPr>
      <w:r w:rsidRPr="008F4A1F">
        <w:rPr>
          <w:rFonts w:ascii="Times New Roman" w:hAnsi="Times New Roman"/>
          <w:lang w:eastAsia="en-GB"/>
        </w:rPr>
        <w:lastRenderedPageBreak/>
        <w:t xml:space="preserve">In reality, graduates are likely to have used numerous </w:t>
      </w:r>
      <w:r>
        <w:rPr>
          <w:rFonts w:ascii="Times New Roman" w:hAnsi="Times New Roman"/>
          <w:lang w:eastAsia="en-GB"/>
        </w:rPr>
        <w:t xml:space="preserve">job search </w:t>
      </w:r>
      <w:r w:rsidRPr="008F4A1F">
        <w:rPr>
          <w:rFonts w:ascii="Times New Roman" w:hAnsi="Times New Roman"/>
          <w:lang w:eastAsia="en-GB"/>
        </w:rPr>
        <w:t>channels however the DLHE survey only permits on</w:t>
      </w:r>
      <w:r>
        <w:rPr>
          <w:rFonts w:ascii="Times New Roman" w:hAnsi="Times New Roman"/>
          <w:lang w:eastAsia="en-GB"/>
        </w:rPr>
        <w:t>e channel to be reported.</w:t>
      </w:r>
      <w:r w:rsidRPr="008F4A1F">
        <w:rPr>
          <w:rFonts w:ascii="Times New Roman" w:hAnsi="Times New Roman"/>
          <w:lang w:eastAsia="en-GB"/>
        </w:rPr>
        <w:t xml:space="preserve"> </w:t>
      </w:r>
      <w:r>
        <w:rPr>
          <w:rFonts w:ascii="Times New Roman" w:hAnsi="Times New Roman"/>
          <w:lang w:eastAsia="en-GB"/>
        </w:rPr>
        <w:t>G</w:t>
      </w:r>
      <w:r w:rsidRPr="008F4A1F">
        <w:rPr>
          <w:rFonts w:ascii="Times New Roman" w:hAnsi="Times New Roman"/>
          <w:lang w:eastAsia="en-GB"/>
        </w:rPr>
        <w:t xml:space="preserve">raduates may </w:t>
      </w:r>
      <w:r>
        <w:rPr>
          <w:rFonts w:ascii="Times New Roman" w:hAnsi="Times New Roman"/>
          <w:lang w:eastAsia="en-GB"/>
        </w:rPr>
        <w:t xml:space="preserve">also </w:t>
      </w:r>
      <w:r w:rsidRPr="008F4A1F">
        <w:rPr>
          <w:rFonts w:ascii="Times New Roman" w:hAnsi="Times New Roman"/>
          <w:lang w:eastAsia="en-GB"/>
        </w:rPr>
        <w:t>systematically under-report their use of networks due to the perception of not gaining employment on the basis of merit alone. These measurement issues indicate that the true propensity of graduates to use networks may be higher than observed in our analysis</w:t>
      </w:r>
      <w:r w:rsidR="00D913F9">
        <w:rPr>
          <w:rFonts w:ascii="Times New Roman" w:hAnsi="Times New Roman"/>
          <w:lang w:eastAsia="en-GB"/>
        </w:rPr>
        <w:t xml:space="preserve"> although it is unclear whether this would vary by final occupation grouping. </w:t>
      </w:r>
    </w:p>
    <w:p w:rsidR="004849EA" w:rsidRDefault="003302DC" w:rsidP="00A97EA9">
      <w:pPr>
        <w:spacing w:after="240" w:line="360" w:lineRule="auto"/>
        <w:jc w:val="both"/>
        <w:rPr>
          <w:rFonts w:ascii="Times New Roman" w:hAnsi="Times New Roman"/>
          <w:sz w:val="24"/>
          <w:szCs w:val="24"/>
          <w:lang w:eastAsia="en-GB"/>
        </w:rPr>
      </w:pPr>
      <w:r>
        <w:rPr>
          <w:rFonts w:ascii="Times New Roman" w:hAnsi="Times New Roman"/>
          <w:color w:val="000000"/>
          <w:sz w:val="24"/>
          <w:szCs w:val="24"/>
          <w:lang w:eastAsia="en-GB"/>
        </w:rPr>
        <w:t xml:space="preserve">The descriptive statistics presented in </w:t>
      </w:r>
      <w:r w:rsidR="00FE4CFA" w:rsidRPr="008F4A1F">
        <w:rPr>
          <w:rFonts w:ascii="Times New Roman" w:hAnsi="Times New Roman"/>
          <w:color w:val="000000"/>
          <w:sz w:val="24"/>
          <w:szCs w:val="24"/>
          <w:lang w:eastAsia="en-GB"/>
        </w:rPr>
        <w:t xml:space="preserve">Table </w:t>
      </w:r>
      <w:r w:rsidR="00FE4CFA">
        <w:rPr>
          <w:rFonts w:ascii="Times New Roman" w:hAnsi="Times New Roman"/>
          <w:color w:val="000000"/>
          <w:sz w:val="24"/>
          <w:szCs w:val="24"/>
          <w:lang w:eastAsia="en-GB"/>
        </w:rPr>
        <w:t>2</w:t>
      </w:r>
      <w:r>
        <w:rPr>
          <w:rFonts w:ascii="Times New Roman" w:hAnsi="Times New Roman"/>
          <w:color w:val="000000"/>
          <w:sz w:val="24"/>
          <w:szCs w:val="24"/>
          <w:lang w:eastAsia="en-GB"/>
        </w:rPr>
        <w:t xml:space="preserve"> show</w:t>
      </w:r>
      <w:r w:rsidR="00FE4CFA" w:rsidRPr="008F4A1F">
        <w:rPr>
          <w:rFonts w:ascii="Times New Roman" w:hAnsi="Times New Roman"/>
          <w:color w:val="000000"/>
          <w:sz w:val="24"/>
          <w:szCs w:val="24"/>
          <w:lang w:eastAsia="en-GB"/>
        </w:rPr>
        <w:t xml:space="preserve"> the use of different types of networks</w:t>
      </w:r>
      <w:r w:rsidR="00F766AC">
        <w:rPr>
          <w:rFonts w:ascii="Times New Roman" w:hAnsi="Times New Roman"/>
          <w:color w:val="000000"/>
          <w:sz w:val="24"/>
          <w:szCs w:val="24"/>
          <w:lang w:eastAsia="en-GB"/>
        </w:rPr>
        <w:t xml:space="preserve"> </w:t>
      </w:r>
      <w:r w:rsidR="00D913F9">
        <w:rPr>
          <w:rFonts w:ascii="Times New Roman" w:hAnsi="Times New Roman"/>
          <w:color w:val="000000"/>
          <w:sz w:val="24"/>
          <w:szCs w:val="24"/>
          <w:lang w:eastAsia="en-GB"/>
        </w:rPr>
        <w:t>by occupation grouping</w:t>
      </w:r>
      <w:r w:rsidR="00FE4CFA" w:rsidRPr="00D435A0">
        <w:rPr>
          <w:rFonts w:ascii="Times New Roman" w:hAnsi="Times New Roman"/>
          <w:color w:val="000000"/>
          <w:sz w:val="24"/>
          <w:szCs w:val="24"/>
          <w:lang w:eastAsia="en-GB"/>
        </w:rPr>
        <w:t xml:space="preserve">. </w:t>
      </w:r>
      <w:r w:rsidR="00A47BCC" w:rsidRPr="00533318">
        <w:rPr>
          <w:rFonts w:ascii="Times New Roman" w:hAnsi="Times New Roman"/>
          <w:sz w:val="24"/>
          <w:szCs w:val="24"/>
        </w:rPr>
        <w:t>Professional</w:t>
      </w:r>
      <w:r w:rsidR="00A47BCC">
        <w:rPr>
          <w:rFonts w:ascii="Times New Roman" w:hAnsi="Times New Roman"/>
          <w:sz w:val="24"/>
          <w:szCs w:val="24"/>
        </w:rPr>
        <w:t xml:space="preserve"> networks are used by 11.2% of those working in the top NS-SEC compared to 8.2% in NS-SEC 2-7 occupations</w:t>
      </w:r>
      <w:r w:rsidR="00FE4CFA" w:rsidRPr="008F4A1F">
        <w:rPr>
          <w:rFonts w:ascii="Times New Roman" w:hAnsi="Times New Roman"/>
          <w:sz w:val="24"/>
          <w:szCs w:val="24"/>
        </w:rPr>
        <w:t>.</w:t>
      </w:r>
      <w:r w:rsidR="00A47BCC">
        <w:rPr>
          <w:rFonts w:ascii="Times New Roman" w:hAnsi="Times New Roman"/>
          <w:sz w:val="24"/>
          <w:szCs w:val="24"/>
        </w:rPr>
        <w:t xml:space="preserve"> Personal networks </w:t>
      </w:r>
      <w:r w:rsidR="00CA31BB">
        <w:rPr>
          <w:rFonts w:ascii="Times New Roman" w:hAnsi="Times New Roman"/>
          <w:sz w:val="24"/>
          <w:szCs w:val="24"/>
        </w:rPr>
        <w:t xml:space="preserve">are actually </w:t>
      </w:r>
      <w:r w:rsidR="00A47BCC">
        <w:rPr>
          <w:rFonts w:ascii="Times New Roman" w:hAnsi="Times New Roman"/>
          <w:sz w:val="24"/>
          <w:szCs w:val="24"/>
        </w:rPr>
        <w:t xml:space="preserve">used </w:t>
      </w:r>
      <w:r w:rsidR="007C2E13" w:rsidRPr="007C2E13">
        <w:rPr>
          <w:rFonts w:ascii="Times New Roman" w:hAnsi="Times New Roman"/>
          <w:i/>
          <w:sz w:val="24"/>
          <w:szCs w:val="24"/>
        </w:rPr>
        <w:t>less</w:t>
      </w:r>
      <w:r w:rsidR="00A47BCC">
        <w:rPr>
          <w:rFonts w:ascii="Times New Roman" w:hAnsi="Times New Roman"/>
          <w:sz w:val="24"/>
          <w:szCs w:val="24"/>
        </w:rPr>
        <w:t xml:space="preserve"> in top NS-SEC jobs than in lower NS-SEC 2-7 jobs but within top NS-SEC jobs they are used by 16.1% of graduates </w:t>
      </w:r>
      <w:r w:rsidR="00F465C8">
        <w:rPr>
          <w:rFonts w:ascii="Times New Roman" w:hAnsi="Times New Roman"/>
          <w:sz w:val="24"/>
          <w:szCs w:val="24"/>
        </w:rPr>
        <w:t xml:space="preserve">entering higher managerial occupations </w:t>
      </w:r>
      <w:r w:rsidR="00A47BCC">
        <w:rPr>
          <w:rFonts w:ascii="Times New Roman" w:hAnsi="Times New Roman"/>
          <w:sz w:val="24"/>
          <w:szCs w:val="24"/>
        </w:rPr>
        <w:t xml:space="preserve">compared to 10.5% of graduates entering business, </w:t>
      </w:r>
      <w:r w:rsidR="00D913F9">
        <w:rPr>
          <w:rFonts w:ascii="Times New Roman" w:hAnsi="Times New Roman"/>
          <w:sz w:val="24"/>
          <w:szCs w:val="24"/>
        </w:rPr>
        <w:t xml:space="preserve">medical </w:t>
      </w:r>
      <w:r w:rsidR="008A4246">
        <w:rPr>
          <w:rFonts w:ascii="Times New Roman" w:hAnsi="Times New Roman"/>
          <w:sz w:val="24"/>
          <w:szCs w:val="24"/>
        </w:rPr>
        <w:t>and law</w:t>
      </w:r>
      <w:r w:rsidR="00D913F9">
        <w:rPr>
          <w:rFonts w:ascii="Times New Roman" w:hAnsi="Times New Roman"/>
          <w:sz w:val="24"/>
          <w:szCs w:val="24"/>
        </w:rPr>
        <w:t xml:space="preserve"> </w:t>
      </w:r>
      <w:r w:rsidR="00A47BCC">
        <w:rPr>
          <w:rFonts w:ascii="Times New Roman" w:hAnsi="Times New Roman"/>
          <w:sz w:val="24"/>
          <w:szCs w:val="24"/>
        </w:rPr>
        <w:t>professions.</w:t>
      </w:r>
    </w:p>
    <w:p w:rsidR="00F766AC" w:rsidRDefault="00F766AC" w:rsidP="00A97EA9">
      <w:pPr>
        <w:spacing w:after="240" w:line="360" w:lineRule="auto"/>
        <w:jc w:val="both"/>
        <w:rPr>
          <w:rFonts w:ascii="Times New Roman" w:hAnsi="Times New Roman"/>
          <w:color w:val="000000"/>
          <w:sz w:val="24"/>
          <w:szCs w:val="24"/>
          <w:lang w:eastAsia="en-GB"/>
        </w:rPr>
      </w:pPr>
    </w:p>
    <w:p w:rsidR="00FE4CFA" w:rsidRDefault="00FE4CFA" w:rsidP="003302DC">
      <w:pPr>
        <w:numPr>
          <w:ilvl w:val="0"/>
          <w:numId w:val="13"/>
        </w:numPr>
        <w:spacing w:after="240" w:line="360" w:lineRule="auto"/>
        <w:jc w:val="both"/>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Methodology</w:t>
      </w:r>
    </w:p>
    <w:p w:rsidR="00A71435" w:rsidRDefault="00487A1E" w:rsidP="00A97EA9">
      <w:pPr>
        <w:pStyle w:val="Default"/>
        <w:spacing w:after="240" w:line="360" w:lineRule="auto"/>
        <w:jc w:val="both"/>
        <w:rPr>
          <w:rFonts w:ascii="Times New Roman" w:hAnsi="Times New Roman"/>
          <w:shd w:val="clear" w:color="auto" w:fill="FFFFFF"/>
          <w:lang w:val="en-US"/>
        </w:rPr>
      </w:pPr>
      <w:r>
        <w:rPr>
          <w:rFonts w:ascii="Times New Roman" w:hAnsi="Times New Roman"/>
          <w:shd w:val="clear" w:color="auto" w:fill="FFFFFF"/>
          <w:lang w:val="en-US"/>
        </w:rPr>
        <w:t xml:space="preserve">We hypothesise that more socio-economically advantaged students will </w:t>
      </w:r>
      <w:r w:rsidR="00A71435">
        <w:rPr>
          <w:rFonts w:ascii="Times New Roman" w:hAnsi="Times New Roman"/>
          <w:shd w:val="clear" w:color="auto" w:fill="FFFFFF"/>
          <w:lang w:val="en-US"/>
        </w:rPr>
        <w:t>acquire more human capital and in turn will access top jobs to a greater extent than</w:t>
      </w:r>
      <w:r w:rsidR="005671B3">
        <w:rPr>
          <w:rFonts w:ascii="Times New Roman" w:hAnsi="Times New Roman"/>
          <w:shd w:val="clear" w:color="auto" w:fill="FFFFFF"/>
          <w:lang w:val="en-US"/>
        </w:rPr>
        <w:t xml:space="preserve"> more disadvantaged</w:t>
      </w:r>
      <w:r w:rsidR="00A71435">
        <w:rPr>
          <w:rFonts w:ascii="Times New Roman" w:hAnsi="Times New Roman"/>
          <w:shd w:val="clear" w:color="auto" w:fill="FFFFFF"/>
          <w:lang w:val="en-US"/>
        </w:rPr>
        <w:t xml:space="preserve"> students. To the extent that we can control for individuals’ human capital however, we might expect socio-economic background to have an additional independent impact on the likelihood of </w:t>
      </w:r>
      <w:r w:rsidR="00C2504D">
        <w:rPr>
          <w:rFonts w:ascii="Times New Roman" w:hAnsi="Times New Roman"/>
          <w:shd w:val="clear" w:color="auto" w:fill="FFFFFF"/>
          <w:lang w:val="en-US"/>
        </w:rPr>
        <w:t>accessing</w:t>
      </w:r>
      <w:r w:rsidR="00A71435">
        <w:rPr>
          <w:rFonts w:ascii="Times New Roman" w:hAnsi="Times New Roman"/>
          <w:shd w:val="clear" w:color="auto" w:fill="FFFFFF"/>
          <w:lang w:val="en-US"/>
        </w:rPr>
        <w:t xml:space="preserve"> a top job. This might occur if more advantaged students can afford to invest greater resource in their job search</w:t>
      </w:r>
      <w:r w:rsidR="00336FE5">
        <w:rPr>
          <w:rFonts w:ascii="Times New Roman" w:hAnsi="Times New Roman"/>
          <w:shd w:val="clear" w:color="auto" w:fill="FFFFFF"/>
          <w:lang w:val="en-US"/>
        </w:rPr>
        <w:t>, taking more time to secure the top job they want</w:t>
      </w:r>
      <w:r w:rsidR="00A71435">
        <w:rPr>
          <w:rFonts w:ascii="Times New Roman" w:hAnsi="Times New Roman"/>
          <w:shd w:val="clear" w:color="auto" w:fill="FFFFFF"/>
          <w:lang w:val="en-US"/>
        </w:rPr>
        <w:t xml:space="preserve">. Sociological theories also suggest that more advantaged students will </w:t>
      </w:r>
      <w:r w:rsidR="00C2504D">
        <w:rPr>
          <w:rFonts w:ascii="Times New Roman" w:hAnsi="Times New Roman"/>
          <w:shd w:val="clear" w:color="auto" w:fill="FFFFFF"/>
          <w:lang w:val="en-US"/>
        </w:rPr>
        <w:t xml:space="preserve">be more likely to </w:t>
      </w:r>
      <w:r w:rsidR="00A71435">
        <w:rPr>
          <w:rFonts w:ascii="Times New Roman" w:hAnsi="Times New Roman"/>
          <w:shd w:val="clear" w:color="auto" w:fill="FFFFFF"/>
          <w:lang w:val="en-US"/>
        </w:rPr>
        <w:t>secure</w:t>
      </w:r>
      <w:r w:rsidR="00C2504D">
        <w:rPr>
          <w:rFonts w:ascii="Times New Roman" w:hAnsi="Times New Roman"/>
          <w:shd w:val="clear" w:color="auto" w:fill="FFFFFF"/>
          <w:lang w:val="en-US"/>
        </w:rPr>
        <w:t xml:space="preserve"> a</w:t>
      </w:r>
      <w:r w:rsidR="00A71435">
        <w:rPr>
          <w:rFonts w:ascii="Times New Roman" w:hAnsi="Times New Roman"/>
          <w:shd w:val="clear" w:color="auto" w:fill="FFFFFF"/>
          <w:lang w:val="en-US"/>
        </w:rPr>
        <w:t xml:space="preserve"> top </w:t>
      </w:r>
      <w:r w:rsidR="00C2504D">
        <w:rPr>
          <w:rFonts w:ascii="Times New Roman" w:hAnsi="Times New Roman"/>
          <w:shd w:val="clear" w:color="auto" w:fill="FFFFFF"/>
          <w:lang w:val="en-US"/>
        </w:rPr>
        <w:t>job</w:t>
      </w:r>
      <w:r w:rsidR="00A71435">
        <w:rPr>
          <w:rFonts w:ascii="Times New Roman" w:hAnsi="Times New Roman"/>
          <w:shd w:val="clear" w:color="auto" w:fill="FFFFFF"/>
          <w:lang w:val="en-US"/>
        </w:rPr>
        <w:t xml:space="preserve"> because they have greater levels of social capital. We cannot measure all aspects of students’ </w:t>
      </w:r>
      <w:r w:rsidR="00336FE5">
        <w:rPr>
          <w:rFonts w:ascii="Times New Roman" w:hAnsi="Times New Roman"/>
          <w:shd w:val="clear" w:color="auto" w:fill="FFFFFF"/>
          <w:lang w:val="en-US"/>
        </w:rPr>
        <w:t xml:space="preserve">human and social </w:t>
      </w:r>
      <w:r w:rsidR="00A71435">
        <w:rPr>
          <w:rFonts w:ascii="Times New Roman" w:hAnsi="Times New Roman"/>
          <w:shd w:val="clear" w:color="auto" w:fill="FFFFFF"/>
          <w:lang w:val="en-US"/>
        </w:rPr>
        <w:t xml:space="preserve">capital but we are able to assess whether the use </w:t>
      </w:r>
      <w:r w:rsidR="00C2504D">
        <w:rPr>
          <w:rFonts w:ascii="Times New Roman" w:hAnsi="Times New Roman"/>
          <w:shd w:val="clear" w:color="auto" w:fill="FFFFFF"/>
          <w:lang w:val="en-US"/>
        </w:rPr>
        <w:t xml:space="preserve">of </w:t>
      </w:r>
      <w:r w:rsidR="00A71435">
        <w:rPr>
          <w:rFonts w:ascii="Times New Roman" w:hAnsi="Times New Roman"/>
          <w:shd w:val="clear" w:color="auto" w:fill="FFFFFF"/>
          <w:lang w:val="en-US"/>
        </w:rPr>
        <w:t>networks</w:t>
      </w:r>
      <w:r w:rsidR="00C2504D">
        <w:rPr>
          <w:rFonts w:ascii="Times New Roman" w:hAnsi="Times New Roman"/>
          <w:shd w:val="clear" w:color="auto" w:fill="FFFFFF"/>
          <w:lang w:val="en-US"/>
        </w:rPr>
        <w:t xml:space="preserve"> plays a role in helping</w:t>
      </w:r>
      <w:r w:rsidR="00A71435">
        <w:rPr>
          <w:rFonts w:ascii="Times New Roman" w:hAnsi="Times New Roman"/>
          <w:shd w:val="clear" w:color="auto" w:fill="FFFFFF"/>
          <w:lang w:val="en-US"/>
        </w:rPr>
        <w:t xml:space="preserve"> to secure </w:t>
      </w:r>
      <w:r w:rsidR="00C2504D">
        <w:rPr>
          <w:rFonts w:ascii="Times New Roman" w:hAnsi="Times New Roman"/>
          <w:shd w:val="clear" w:color="auto" w:fill="FFFFFF"/>
          <w:lang w:val="en-US"/>
        </w:rPr>
        <w:t>a high status occupation.</w:t>
      </w:r>
      <w:r w:rsidR="00A71435">
        <w:rPr>
          <w:rFonts w:ascii="Times New Roman" w:hAnsi="Times New Roman"/>
          <w:shd w:val="clear" w:color="auto" w:fill="FFFFFF"/>
          <w:lang w:val="en-US"/>
        </w:rPr>
        <w:t xml:space="preserve"> </w:t>
      </w:r>
      <w:r w:rsidR="00C2504D">
        <w:rPr>
          <w:rFonts w:ascii="Times New Roman" w:hAnsi="Times New Roman"/>
          <w:shd w:val="clear" w:color="auto" w:fill="FFFFFF"/>
          <w:lang w:val="en-US"/>
        </w:rPr>
        <w:t>W</w:t>
      </w:r>
      <w:r w:rsidR="00A71435">
        <w:rPr>
          <w:rFonts w:ascii="Times New Roman" w:hAnsi="Times New Roman"/>
          <w:shd w:val="clear" w:color="auto" w:fill="FFFFFF"/>
          <w:lang w:val="en-US"/>
        </w:rPr>
        <w:t>e use this as a proxy for</w:t>
      </w:r>
      <w:r w:rsidR="003261CC">
        <w:rPr>
          <w:rFonts w:ascii="Times New Roman" w:hAnsi="Times New Roman"/>
          <w:shd w:val="clear" w:color="auto" w:fill="FFFFFF"/>
          <w:lang w:val="en-US"/>
        </w:rPr>
        <w:t xml:space="preserve"> </w:t>
      </w:r>
      <w:r w:rsidR="00A71435">
        <w:rPr>
          <w:rFonts w:ascii="Times New Roman" w:hAnsi="Times New Roman"/>
          <w:shd w:val="clear" w:color="auto" w:fill="FFFFFF"/>
          <w:lang w:val="en-US"/>
        </w:rPr>
        <w:t>their social capital.</w:t>
      </w:r>
    </w:p>
    <w:p w:rsidR="009736FC" w:rsidRDefault="009736FC" w:rsidP="00A97EA9">
      <w:pPr>
        <w:pStyle w:val="Default"/>
        <w:spacing w:after="240" w:line="360" w:lineRule="auto"/>
        <w:jc w:val="both"/>
        <w:rPr>
          <w:rFonts w:ascii="Times New Roman" w:hAnsi="Times New Roman" w:cs="Times New Roman"/>
          <w:i/>
          <w:lang w:eastAsia="en-GB"/>
        </w:rPr>
      </w:pPr>
      <w:r>
        <w:rPr>
          <w:rFonts w:ascii="Times New Roman" w:hAnsi="Times New Roman" w:cs="Times New Roman"/>
          <w:i/>
          <w:lang w:eastAsia="en-GB"/>
        </w:rPr>
        <w:t>Family background and accessing top jobs</w:t>
      </w:r>
    </w:p>
    <w:p w:rsidR="002A646C" w:rsidRPr="00D87BB8" w:rsidRDefault="002A646C" w:rsidP="00A97EA9">
      <w:pPr>
        <w:pStyle w:val="Default"/>
        <w:spacing w:after="240" w:line="360" w:lineRule="auto"/>
        <w:jc w:val="both"/>
        <w:rPr>
          <w:rFonts w:ascii="Times New Roman" w:hAnsi="Times New Roman" w:cs="Times New Roman"/>
          <w:lang w:eastAsia="en-GB"/>
        </w:rPr>
      </w:pPr>
      <w:r>
        <w:rPr>
          <w:rFonts w:ascii="Times New Roman" w:hAnsi="Times New Roman"/>
          <w:shd w:val="clear" w:color="auto" w:fill="FFFFFF"/>
          <w:lang w:val="en-US"/>
        </w:rPr>
        <w:t xml:space="preserve">We </w:t>
      </w:r>
      <w:r w:rsidR="005671B3">
        <w:rPr>
          <w:rFonts w:ascii="Times New Roman" w:hAnsi="Times New Roman"/>
          <w:shd w:val="clear" w:color="auto" w:fill="FFFFFF"/>
          <w:lang w:val="en-US"/>
        </w:rPr>
        <w:t>consider</w:t>
      </w:r>
      <w:r>
        <w:rPr>
          <w:rFonts w:ascii="Times New Roman" w:hAnsi="Times New Roman"/>
          <w:shd w:val="clear" w:color="auto" w:fill="FFFFFF"/>
          <w:lang w:val="en-US"/>
        </w:rPr>
        <w:t xml:space="preserve"> the </w:t>
      </w:r>
      <w:r w:rsidR="00723AAB">
        <w:rPr>
          <w:rFonts w:ascii="Times New Roman" w:hAnsi="Times New Roman"/>
          <w:shd w:val="clear" w:color="auto" w:fill="FFFFFF"/>
          <w:lang w:val="en-US"/>
        </w:rPr>
        <w:t xml:space="preserve">raw </w:t>
      </w:r>
      <w:r>
        <w:rPr>
          <w:rFonts w:ascii="Times New Roman" w:hAnsi="Times New Roman"/>
          <w:shd w:val="clear" w:color="auto" w:fill="FFFFFF"/>
          <w:lang w:val="en-US"/>
        </w:rPr>
        <w:t xml:space="preserve">association between family background and </w:t>
      </w:r>
      <w:r w:rsidR="005671B3">
        <w:rPr>
          <w:rFonts w:ascii="Times New Roman" w:hAnsi="Times New Roman"/>
          <w:shd w:val="clear" w:color="auto" w:fill="FFFFFF"/>
          <w:lang w:val="en-US"/>
        </w:rPr>
        <w:t>being in</w:t>
      </w:r>
      <w:r>
        <w:rPr>
          <w:rFonts w:ascii="Times New Roman" w:hAnsi="Times New Roman"/>
          <w:shd w:val="clear" w:color="auto" w:fill="FFFFFF"/>
          <w:lang w:val="en-US"/>
        </w:rPr>
        <w:t xml:space="preserve"> a top job </w:t>
      </w:r>
      <w:r w:rsidR="009736FC">
        <w:rPr>
          <w:rFonts w:ascii="Times New Roman" w:hAnsi="Times New Roman"/>
          <w:shd w:val="clear" w:color="auto" w:fill="FFFFFF"/>
          <w:lang w:val="en-US"/>
        </w:rPr>
        <w:t>three and a half</w:t>
      </w:r>
      <w:r>
        <w:rPr>
          <w:rFonts w:ascii="Times New Roman" w:hAnsi="Times New Roman"/>
          <w:shd w:val="clear" w:color="auto" w:fill="FFFFFF"/>
          <w:lang w:val="en-US"/>
        </w:rPr>
        <w:t xml:space="preserve"> years after graduati</w:t>
      </w:r>
      <w:r w:rsidR="00F012BB">
        <w:rPr>
          <w:rFonts w:ascii="Times New Roman" w:hAnsi="Times New Roman"/>
          <w:shd w:val="clear" w:color="auto" w:fill="FFFFFF"/>
          <w:lang w:val="en-US"/>
        </w:rPr>
        <w:t>on</w:t>
      </w:r>
      <w:r>
        <w:rPr>
          <w:rFonts w:ascii="Times New Roman" w:hAnsi="Times New Roman"/>
          <w:shd w:val="clear" w:color="auto" w:fill="FFFFFF"/>
          <w:lang w:val="en-US"/>
        </w:rPr>
        <w:t xml:space="preserve">. </w:t>
      </w:r>
      <w:r w:rsidR="00A71435">
        <w:rPr>
          <w:rFonts w:ascii="Times New Roman" w:hAnsi="Times New Roman"/>
          <w:shd w:val="clear" w:color="auto" w:fill="FFFFFF"/>
          <w:lang w:val="en-US"/>
        </w:rPr>
        <w:t xml:space="preserve">This </w:t>
      </w:r>
      <w:r w:rsidR="009736FC">
        <w:rPr>
          <w:rFonts w:ascii="Times New Roman" w:hAnsi="Times New Roman"/>
          <w:shd w:val="clear" w:color="auto" w:fill="FFFFFF"/>
          <w:lang w:val="en-US"/>
        </w:rPr>
        <w:t>association</w:t>
      </w:r>
      <w:r w:rsidR="00A71435">
        <w:rPr>
          <w:rFonts w:ascii="Times New Roman" w:hAnsi="Times New Roman"/>
          <w:shd w:val="clear" w:color="auto" w:fill="FFFFFF"/>
          <w:lang w:val="en-US"/>
        </w:rPr>
        <w:t xml:space="preserve"> captures the overall relationship between family background and securing a top job, regardless of the mechanisms driving this relationship. </w:t>
      </w:r>
      <w:r w:rsidR="009518A1">
        <w:rPr>
          <w:rFonts w:ascii="Times New Roman" w:hAnsi="Times New Roman"/>
          <w:shd w:val="clear" w:color="auto" w:fill="FFFFFF"/>
          <w:lang w:val="en-US"/>
        </w:rPr>
        <w:t>Given that entry to a top job</w:t>
      </w:r>
      <w:r>
        <w:rPr>
          <w:rFonts w:ascii="Times New Roman" w:hAnsi="Times New Roman"/>
          <w:shd w:val="clear" w:color="auto" w:fill="FFFFFF"/>
          <w:lang w:val="en-US"/>
        </w:rPr>
        <w:t xml:space="preserve"> is a binary variable</w:t>
      </w:r>
      <w:r w:rsidR="005671B3">
        <w:rPr>
          <w:rFonts w:ascii="Times New Roman" w:hAnsi="Times New Roman"/>
          <w:shd w:val="clear" w:color="auto" w:fill="FFFFFF"/>
          <w:lang w:val="en-US"/>
        </w:rPr>
        <w:t>,</w:t>
      </w:r>
      <w:r>
        <w:rPr>
          <w:rFonts w:ascii="Times New Roman" w:hAnsi="Times New Roman"/>
          <w:shd w:val="clear" w:color="auto" w:fill="FFFFFF"/>
          <w:lang w:val="en-US"/>
        </w:rPr>
        <w:t xml:space="preserve"> we estimate equation (1) using a probit model, where</w:t>
      </w:r>
      <w:r w:rsidR="00D91481">
        <w:rPr>
          <w:rFonts w:ascii="Times New Roman" w:hAnsi="Times New Roman"/>
          <w:shd w:val="clear" w:color="auto" w:fill="FFFFFF"/>
          <w:lang w:val="en-US"/>
        </w:rPr>
        <w:t xml:space="preserve"> F(.) is the</w:t>
      </w:r>
      <w:r w:rsidR="005671B3">
        <w:rPr>
          <w:rFonts w:ascii="Times New Roman" w:hAnsi="Times New Roman"/>
          <w:shd w:val="clear" w:color="auto" w:fill="FFFFFF"/>
          <w:lang w:val="en-US"/>
        </w:rPr>
        <w:t xml:space="preserve"> cumulative normal distribution and</w:t>
      </w:r>
      <w:r>
        <w:rPr>
          <w:rFonts w:ascii="Times New Roman" w:hAnsi="Times New Roman"/>
          <w:shd w:val="clear" w:color="auto" w:fill="FFFFFF"/>
          <w:lang w:val="en-US"/>
        </w:rPr>
        <w:t xml:space="preserve"> X a vector of family </w:t>
      </w:r>
      <w:r>
        <w:rPr>
          <w:rFonts w:ascii="Times New Roman" w:hAnsi="Times New Roman"/>
          <w:shd w:val="clear" w:color="auto" w:fill="FFFFFF"/>
          <w:lang w:val="en-US"/>
        </w:rPr>
        <w:lastRenderedPageBreak/>
        <w:t xml:space="preserve">background characteristics including parental </w:t>
      </w:r>
      <w:r w:rsidR="009736FC">
        <w:rPr>
          <w:rFonts w:ascii="Times New Roman" w:hAnsi="Times New Roman"/>
          <w:shd w:val="clear" w:color="auto" w:fill="FFFFFF"/>
          <w:lang w:val="en-US"/>
        </w:rPr>
        <w:t>NS-SEC</w:t>
      </w:r>
      <w:r>
        <w:rPr>
          <w:rFonts w:ascii="Times New Roman" w:hAnsi="Times New Roman"/>
          <w:shd w:val="clear" w:color="auto" w:fill="FFFFFF"/>
          <w:lang w:val="en-US"/>
        </w:rPr>
        <w:t xml:space="preserve">, </w:t>
      </w:r>
      <w:r w:rsidR="005C37A1">
        <w:rPr>
          <w:rFonts w:ascii="Times New Roman" w:hAnsi="Times New Roman"/>
          <w:shd w:val="clear" w:color="auto" w:fill="FFFFFF"/>
          <w:lang w:val="en-US"/>
        </w:rPr>
        <w:t>quintiles of neighbou</w:t>
      </w:r>
      <w:r w:rsidR="00C41237">
        <w:rPr>
          <w:rFonts w:ascii="Times New Roman" w:hAnsi="Times New Roman"/>
          <w:shd w:val="clear" w:color="auto" w:fill="FFFFFF"/>
          <w:lang w:val="en-US"/>
        </w:rPr>
        <w:t>rhood-level participation</w:t>
      </w:r>
      <w:r>
        <w:rPr>
          <w:rFonts w:ascii="Times New Roman" w:hAnsi="Times New Roman"/>
          <w:shd w:val="clear" w:color="auto" w:fill="FFFFFF"/>
          <w:lang w:val="en-US"/>
        </w:rPr>
        <w:t xml:space="preserve"> in higher education and a state school indicator. </w:t>
      </w:r>
    </w:p>
    <w:p w:rsidR="002A646C" w:rsidRDefault="00211A71" w:rsidP="00A97EA9">
      <w:pPr>
        <w:spacing w:after="240" w:line="360" w:lineRule="auto"/>
        <w:jc w:val="both"/>
        <w:rPr>
          <w:rFonts w:ascii="Times New Roman" w:hAnsi="Times New Roman"/>
          <w:color w:val="000000"/>
          <w:sz w:val="24"/>
          <w:szCs w:val="24"/>
          <w:shd w:val="clear" w:color="auto" w:fill="FFFFFF"/>
          <w:lang w:val="en-US"/>
        </w:rPr>
      </w:pPr>
      <m:oMath>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F(Top_job</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child</m:t>
            </m:r>
          </m:sup>
        </m:sSubSup>
        <m:r>
          <w:rPr>
            <w:rFonts w:ascii="Cambria Math" w:hAnsi="Cambria Math"/>
            <w:color w:val="000000"/>
            <w:sz w:val="24"/>
            <w:szCs w:val="24"/>
            <w:shd w:val="clear" w:color="auto" w:fill="FFFFFF"/>
            <w:lang w:val="en-US"/>
          </w:rPr>
          <m:t>)=</m:t>
        </m:r>
        <m:r>
          <w:rPr>
            <w:rFonts w:ascii="Cambria Math" w:hAnsi="Cambria Math"/>
            <w:i/>
            <w:color w:val="000000"/>
            <w:sz w:val="24"/>
            <w:szCs w:val="24"/>
            <w:shd w:val="clear" w:color="auto" w:fill="FFFFFF"/>
            <w:lang w:val="en-US"/>
          </w:rPr>
          <w:sym w:font="Symbol" w:char="F046"/>
        </m:r>
        <m:r>
          <w:rPr>
            <w:rFonts w:ascii="Cambria Math" w:hAnsi="Cambria Math"/>
            <w:color w:val="000000"/>
            <w:sz w:val="24"/>
            <w:szCs w:val="24"/>
            <w:shd w:val="clear" w:color="auto" w:fill="FFFFFF"/>
            <w:lang w:val="en-US"/>
          </w:rPr>
          <m:t xml:space="preserve"> (α+β</m:t>
        </m:r>
        <m:sSup>
          <m:sSupPr>
            <m:ctrlPr>
              <w:rPr>
                <w:rFonts w:ascii="Cambria Math" w:hAnsi="Cambria Math"/>
                <w:i/>
                <w:color w:val="000000"/>
                <w:sz w:val="24"/>
                <w:szCs w:val="24"/>
                <w:shd w:val="clear" w:color="auto" w:fill="FFFFFF"/>
                <w:lang w:val="en-US"/>
              </w:rPr>
            </m:ctrlPr>
          </m:sSupPr>
          <m:e>
            <m:sSub>
              <m:sSubPr>
                <m:ctrlPr>
                  <w:rPr>
                    <w:rFonts w:ascii="Cambria Math" w:hAnsi="Cambria Math"/>
                    <w:i/>
                    <w:color w:val="000000"/>
                    <w:sz w:val="24"/>
                    <w:szCs w:val="24"/>
                    <w:shd w:val="clear" w:color="auto" w:fill="FFFFFF"/>
                    <w:lang w:val="en-US"/>
                  </w:rPr>
                </m:ctrlPr>
              </m:sSubPr>
              <m:e>
                <m:r>
                  <w:rPr>
                    <w:rFonts w:ascii="Cambria Math" w:hAnsi="Cambria Math"/>
                    <w:color w:val="000000"/>
                    <w:sz w:val="24"/>
                    <w:szCs w:val="24"/>
                    <w:shd w:val="clear" w:color="auto" w:fill="FFFFFF"/>
                    <w:lang w:val="en-US"/>
                  </w:rPr>
                  <m:t>X</m:t>
                </m:r>
              </m:e>
              <m:sub>
                <m:r>
                  <w:rPr>
                    <w:rFonts w:ascii="Cambria Math" w:hAnsi="Cambria Math"/>
                    <w:color w:val="000000"/>
                    <w:sz w:val="24"/>
                    <w:szCs w:val="24"/>
                    <w:shd w:val="clear" w:color="auto" w:fill="FFFFFF"/>
                    <w:lang w:val="en-US"/>
                  </w:rPr>
                  <m:t>i</m:t>
                </m:r>
              </m:sub>
            </m:sSub>
          </m:e>
          <m:sup>
            <m:r>
              <w:rPr>
                <w:rFonts w:ascii="Cambria Math" w:hAnsi="Cambria Math"/>
                <w:color w:val="000000"/>
                <w:sz w:val="24"/>
                <w:szCs w:val="24"/>
                <w:shd w:val="clear" w:color="auto" w:fill="FFFFFF"/>
                <w:lang w:val="en-US"/>
              </w:rPr>
              <m:t>family</m:t>
            </m:r>
          </m:sup>
        </m:sSup>
        <m:r>
          <w:rPr>
            <w:rFonts w:ascii="Cambria Math" w:hAnsi="Cambria Math"/>
            <w:color w:val="000000"/>
            <w:sz w:val="24"/>
            <w:szCs w:val="24"/>
            <w:shd w:val="clear" w:color="auto" w:fill="FFFFFF"/>
            <w:lang w:val="en-US"/>
          </w:rPr>
          <m:t>)</m:t>
        </m:r>
      </m:oMath>
      <w:r w:rsidR="00AF1317">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r>
      <w:r w:rsidR="002A646C">
        <w:rPr>
          <w:rFonts w:ascii="Times New Roman" w:hAnsi="Times New Roman"/>
          <w:color w:val="000000"/>
          <w:sz w:val="24"/>
          <w:szCs w:val="24"/>
          <w:shd w:val="clear" w:color="auto" w:fill="FFFFFF"/>
          <w:lang w:val="en-US"/>
        </w:rPr>
        <w:tab/>
        <w:t>(1)</w:t>
      </w:r>
    </w:p>
    <w:p w:rsidR="00782B29" w:rsidRPr="00D91481" w:rsidRDefault="002A646C" w:rsidP="00A97EA9">
      <w:pPr>
        <w:spacing w:after="240" w:line="360" w:lineRule="auto"/>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The estimated parameters are presented as marginal effects, indicating the percentage point change in</w:t>
      </w:r>
      <w:r w:rsidR="00777676">
        <w:rPr>
          <w:rFonts w:ascii="Times New Roman" w:hAnsi="Times New Roman"/>
          <w:color w:val="000000"/>
          <w:sz w:val="24"/>
          <w:szCs w:val="24"/>
          <w:shd w:val="clear" w:color="auto" w:fill="FFFFFF"/>
          <w:lang w:val="en-US"/>
        </w:rPr>
        <w:t xml:space="preserve"> the probability of</w:t>
      </w:r>
      <w:r>
        <w:rPr>
          <w:rFonts w:ascii="Times New Roman" w:hAnsi="Times New Roman"/>
          <w:color w:val="000000"/>
          <w:sz w:val="24"/>
          <w:szCs w:val="24"/>
          <w:shd w:val="clear" w:color="auto" w:fill="FFFFFF"/>
          <w:lang w:val="en-US"/>
        </w:rPr>
        <w:t xml:space="preserve"> entering a top job for a unit change in X</w:t>
      </w:r>
      <w:r w:rsidR="00C2504D">
        <w:rPr>
          <w:rFonts w:ascii="Times New Roman" w:hAnsi="Times New Roman"/>
          <w:color w:val="000000"/>
          <w:sz w:val="24"/>
          <w:szCs w:val="24"/>
          <w:shd w:val="clear" w:color="auto" w:fill="FFFFFF"/>
          <w:lang w:val="en-US"/>
        </w:rPr>
        <w:t>, evaluated at the sample mean</w:t>
      </w:r>
      <w:r>
        <w:rPr>
          <w:rFonts w:ascii="Times New Roman" w:hAnsi="Times New Roman"/>
          <w:color w:val="000000"/>
          <w:sz w:val="24"/>
          <w:szCs w:val="24"/>
          <w:shd w:val="clear" w:color="auto" w:fill="FFFFFF"/>
          <w:lang w:val="en-US"/>
        </w:rPr>
        <w:t xml:space="preserve">. </w:t>
      </w:r>
    </w:p>
    <w:p w:rsidR="00782B29" w:rsidRDefault="00617F29" w:rsidP="00A97EA9">
      <w:pPr>
        <w:spacing w:after="240" w:line="360" w:lineRule="auto"/>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We </w:t>
      </w:r>
      <w:r w:rsidR="00782B29">
        <w:rPr>
          <w:rFonts w:ascii="Times New Roman" w:hAnsi="Times New Roman"/>
          <w:color w:val="000000"/>
          <w:sz w:val="24"/>
          <w:szCs w:val="24"/>
          <w:shd w:val="clear" w:color="auto" w:fill="FFFFFF"/>
          <w:lang w:val="en-US"/>
        </w:rPr>
        <w:t>pool male and female</w:t>
      </w:r>
      <w:r>
        <w:rPr>
          <w:rFonts w:ascii="Times New Roman" w:hAnsi="Times New Roman"/>
          <w:color w:val="000000"/>
          <w:sz w:val="24"/>
          <w:szCs w:val="24"/>
          <w:shd w:val="clear" w:color="auto" w:fill="FFFFFF"/>
          <w:lang w:val="en-US"/>
        </w:rPr>
        <w:t xml:space="preserve"> graduates</w:t>
      </w:r>
      <w:r w:rsidR="005671B3">
        <w:rPr>
          <w:rFonts w:ascii="Times New Roman" w:hAnsi="Times New Roman"/>
          <w:color w:val="000000"/>
          <w:sz w:val="24"/>
          <w:szCs w:val="24"/>
          <w:shd w:val="clear" w:color="auto" w:fill="FFFFFF"/>
          <w:lang w:val="en-US"/>
        </w:rPr>
        <w:t xml:space="preserve"> to maximise our sample size</w:t>
      </w:r>
      <w:r w:rsidR="00782B29">
        <w:rPr>
          <w:rFonts w:ascii="Times New Roman" w:hAnsi="Times New Roman"/>
          <w:color w:val="000000"/>
          <w:sz w:val="24"/>
          <w:szCs w:val="24"/>
          <w:shd w:val="clear" w:color="auto" w:fill="FFFFFF"/>
          <w:lang w:val="en-US"/>
        </w:rPr>
        <w:t xml:space="preserve">. Males and females </w:t>
      </w:r>
      <w:r>
        <w:rPr>
          <w:rFonts w:ascii="Times New Roman" w:hAnsi="Times New Roman"/>
          <w:color w:val="000000"/>
          <w:sz w:val="24"/>
          <w:szCs w:val="24"/>
          <w:shd w:val="clear" w:color="auto" w:fill="FFFFFF"/>
          <w:lang w:val="en-US"/>
        </w:rPr>
        <w:t xml:space="preserve">make different occupational choices and </w:t>
      </w:r>
      <w:r w:rsidR="00782B29">
        <w:rPr>
          <w:rFonts w:ascii="Times New Roman" w:hAnsi="Times New Roman"/>
          <w:color w:val="000000"/>
          <w:sz w:val="24"/>
          <w:szCs w:val="24"/>
          <w:shd w:val="clear" w:color="auto" w:fill="FFFFFF"/>
          <w:lang w:val="en-US"/>
        </w:rPr>
        <w:t xml:space="preserve">have different lifetime earnings. However, our data is from the early years of graduates’ careers when the gender wage gap </w:t>
      </w:r>
      <w:r w:rsidR="00513653">
        <w:rPr>
          <w:rFonts w:ascii="Times New Roman" w:hAnsi="Times New Roman"/>
          <w:color w:val="000000"/>
          <w:sz w:val="24"/>
          <w:szCs w:val="24"/>
          <w:shd w:val="clear" w:color="auto" w:fill="FFFFFF"/>
          <w:lang w:val="en-US"/>
        </w:rPr>
        <w:t>is approximately</w:t>
      </w:r>
      <w:r w:rsidR="00782B29">
        <w:rPr>
          <w:rFonts w:ascii="Times New Roman" w:hAnsi="Times New Roman"/>
          <w:color w:val="000000"/>
          <w:sz w:val="24"/>
          <w:szCs w:val="24"/>
          <w:shd w:val="clear" w:color="auto" w:fill="FFFFFF"/>
          <w:lang w:val="en-US"/>
        </w:rPr>
        <w:t xml:space="preserve"> zero</w:t>
      </w:r>
      <w:r>
        <w:rPr>
          <w:rFonts w:ascii="Times New Roman" w:hAnsi="Times New Roman"/>
          <w:color w:val="000000"/>
          <w:sz w:val="24"/>
          <w:szCs w:val="24"/>
          <w:shd w:val="clear" w:color="auto" w:fill="FFFFFF"/>
          <w:lang w:val="en-US"/>
        </w:rPr>
        <w:t xml:space="preserve"> (Manning and Swaffield, 2008) and by implication occupational choices are more similar</w:t>
      </w:r>
      <w:r w:rsidR="0044136C">
        <w:rPr>
          <w:rStyle w:val="FootnoteReference"/>
          <w:rFonts w:ascii="Times New Roman" w:hAnsi="Times New Roman"/>
          <w:lang w:eastAsia="en-GB"/>
        </w:rPr>
        <w:footnoteReference w:id="12"/>
      </w:r>
      <w:r>
        <w:rPr>
          <w:rFonts w:ascii="Times New Roman" w:hAnsi="Times New Roman"/>
          <w:color w:val="000000"/>
          <w:sz w:val="24"/>
          <w:szCs w:val="24"/>
          <w:shd w:val="clear" w:color="auto" w:fill="FFFFFF"/>
          <w:lang w:val="en-US"/>
        </w:rPr>
        <w:t>.</w:t>
      </w:r>
      <w:r w:rsidR="00782B29">
        <w:rPr>
          <w:rFonts w:ascii="Times New Roman" w:hAnsi="Times New Roman"/>
          <w:color w:val="000000"/>
          <w:sz w:val="24"/>
          <w:szCs w:val="24"/>
          <w:shd w:val="clear" w:color="auto" w:fill="FFFFFF"/>
          <w:lang w:val="en-US"/>
        </w:rPr>
        <w:t xml:space="preserve"> </w:t>
      </w:r>
      <w:r w:rsidR="005671B3">
        <w:rPr>
          <w:rFonts w:ascii="Times New Roman" w:hAnsi="Times New Roman"/>
          <w:color w:val="000000"/>
          <w:sz w:val="24"/>
          <w:szCs w:val="24"/>
          <w:shd w:val="clear" w:color="auto" w:fill="FFFFFF"/>
          <w:lang w:val="en-US"/>
        </w:rPr>
        <w:t>We</w:t>
      </w:r>
      <w:r>
        <w:rPr>
          <w:rFonts w:ascii="Times New Roman" w:hAnsi="Times New Roman"/>
          <w:color w:val="000000"/>
          <w:sz w:val="24"/>
          <w:szCs w:val="24"/>
          <w:shd w:val="clear" w:color="auto" w:fill="FFFFFF"/>
          <w:lang w:val="en-US"/>
        </w:rPr>
        <w:t xml:space="preserve"> also </w:t>
      </w:r>
      <w:r w:rsidR="00C2504D">
        <w:rPr>
          <w:rFonts w:ascii="Times New Roman" w:hAnsi="Times New Roman"/>
          <w:color w:val="000000"/>
          <w:sz w:val="24"/>
          <w:szCs w:val="24"/>
          <w:shd w:val="clear" w:color="auto" w:fill="FFFFFF"/>
          <w:lang w:val="en-US"/>
        </w:rPr>
        <w:t>estimate</w:t>
      </w:r>
      <w:r w:rsidR="00782B29">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the</w:t>
      </w:r>
      <w:r w:rsidR="00782B29">
        <w:rPr>
          <w:rFonts w:ascii="Times New Roman" w:hAnsi="Times New Roman"/>
          <w:color w:val="000000"/>
          <w:sz w:val="24"/>
          <w:szCs w:val="24"/>
          <w:shd w:val="clear" w:color="auto" w:fill="FFFFFF"/>
          <w:lang w:val="en-US"/>
        </w:rPr>
        <w:t xml:space="preserve"> models </w:t>
      </w:r>
      <w:r w:rsidR="00513653">
        <w:rPr>
          <w:rFonts w:ascii="Times New Roman" w:hAnsi="Times New Roman"/>
          <w:color w:val="000000"/>
          <w:sz w:val="24"/>
          <w:szCs w:val="24"/>
          <w:shd w:val="clear" w:color="auto" w:fill="FFFFFF"/>
          <w:lang w:val="en-US"/>
        </w:rPr>
        <w:t>separately</w:t>
      </w:r>
      <w:r w:rsidR="00782B29">
        <w:rPr>
          <w:rFonts w:ascii="Times New Roman" w:hAnsi="Times New Roman"/>
          <w:color w:val="000000"/>
          <w:sz w:val="24"/>
          <w:szCs w:val="24"/>
          <w:shd w:val="clear" w:color="auto" w:fill="FFFFFF"/>
          <w:lang w:val="en-US"/>
        </w:rPr>
        <w:t xml:space="preserve"> by gender</w:t>
      </w:r>
      <w:r>
        <w:rPr>
          <w:rFonts w:ascii="Times New Roman" w:hAnsi="Times New Roman"/>
          <w:color w:val="000000"/>
          <w:sz w:val="24"/>
          <w:szCs w:val="24"/>
          <w:shd w:val="clear" w:color="auto" w:fill="FFFFFF"/>
          <w:lang w:val="en-US"/>
        </w:rPr>
        <w:t>:</w:t>
      </w:r>
      <w:r w:rsidR="00782B29">
        <w:rPr>
          <w:rFonts w:ascii="Times New Roman" w:hAnsi="Times New Roman"/>
          <w:color w:val="000000"/>
          <w:sz w:val="24"/>
          <w:szCs w:val="24"/>
          <w:shd w:val="clear" w:color="auto" w:fill="FFFFFF"/>
          <w:lang w:val="en-US"/>
        </w:rPr>
        <w:t xml:space="preserve"> the </w:t>
      </w:r>
      <w:r w:rsidR="00513653">
        <w:rPr>
          <w:rFonts w:ascii="Times New Roman" w:hAnsi="Times New Roman"/>
          <w:color w:val="000000"/>
          <w:sz w:val="24"/>
          <w:szCs w:val="24"/>
          <w:shd w:val="clear" w:color="auto" w:fill="FFFFFF"/>
          <w:lang w:val="en-US"/>
        </w:rPr>
        <w:t>coefficients</w:t>
      </w:r>
      <w:r w:rsidR="00782B29">
        <w:rPr>
          <w:rFonts w:ascii="Times New Roman" w:hAnsi="Times New Roman"/>
          <w:color w:val="000000"/>
          <w:sz w:val="24"/>
          <w:szCs w:val="24"/>
          <w:shd w:val="clear" w:color="auto" w:fill="FFFFFF"/>
          <w:lang w:val="en-US"/>
        </w:rPr>
        <w:t xml:space="preserve"> on the variables of interest</w:t>
      </w:r>
      <w:r>
        <w:rPr>
          <w:rFonts w:ascii="Times New Roman" w:hAnsi="Times New Roman"/>
          <w:color w:val="000000"/>
          <w:sz w:val="24"/>
          <w:szCs w:val="24"/>
          <w:shd w:val="clear" w:color="auto" w:fill="FFFFFF"/>
          <w:lang w:val="en-US"/>
        </w:rPr>
        <w:t xml:space="preserve"> a</w:t>
      </w:r>
      <w:r w:rsidR="00782B29">
        <w:rPr>
          <w:rFonts w:ascii="Times New Roman" w:hAnsi="Times New Roman"/>
          <w:color w:val="000000"/>
          <w:sz w:val="24"/>
          <w:szCs w:val="24"/>
          <w:shd w:val="clear" w:color="auto" w:fill="FFFFFF"/>
          <w:lang w:val="en-US"/>
        </w:rPr>
        <w:t>re not statistically significantly different</w:t>
      </w:r>
      <w:r>
        <w:rPr>
          <w:rFonts w:ascii="Times New Roman" w:hAnsi="Times New Roman"/>
          <w:color w:val="000000"/>
          <w:sz w:val="24"/>
          <w:szCs w:val="24"/>
          <w:shd w:val="clear" w:color="auto" w:fill="FFFFFF"/>
          <w:lang w:val="en-US"/>
        </w:rPr>
        <w:t xml:space="preserve"> fro</w:t>
      </w:r>
      <w:r w:rsidR="00782B29">
        <w:rPr>
          <w:rFonts w:ascii="Times New Roman" w:hAnsi="Times New Roman"/>
          <w:color w:val="000000"/>
          <w:sz w:val="24"/>
          <w:szCs w:val="24"/>
          <w:shd w:val="clear" w:color="auto" w:fill="FFFFFF"/>
          <w:lang w:val="en-US"/>
        </w:rPr>
        <w:t>m one another</w:t>
      </w:r>
      <w:r w:rsidR="00FD78C8">
        <w:rPr>
          <w:rStyle w:val="FootnoteReference"/>
          <w:rFonts w:ascii="Times New Roman" w:hAnsi="Times New Roman"/>
          <w:color w:val="000000"/>
          <w:sz w:val="24"/>
          <w:szCs w:val="24"/>
          <w:shd w:val="clear" w:color="auto" w:fill="FFFFFF"/>
          <w:lang w:val="en-US"/>
        </w:rPr>
        <w:footnoteReference w:id="13"/>
      </w:r>
      <w:r>
        <w:rPr>
          <w:rFonts w:ascii="Times New Roman" w:hAnsi="Times New Roman"/>
          <w:color w:val="000000"/>
          <w:sz w:val="24"/>
          <w:szCs w:val="24"/>
          <w:shd w:val="clear" w:color="auto" w:fill="FFFFFF"/>
          <w:lang w:val="en-US"/>
        </w:rPr>
        <w:t xml:space="preserve"> though the smaller sample size </w:t>
      </w:r>
      <w:r w:rsidR="00D375A6">
        <w:rPr>
          <w:rFonts w:ascii="Times New Roman" w:hAnsi="Times New Roman"/>
          <w:color w:val="000000"/>
          <w:sz w:val="24"/>
          <w:szCs w:val="24"/>
          <w:shd w:val="clear" w:color="auto" w:fill="FFFFFF"/>
          <w:lang w:val="en-US"/>
        </w:rPr>
        <w:t xml:space="preserve">does </w:t>
      </w:r>
      <w:r>
        <w:rPr>
          <w:rFonts w:ascii="Times New Roman" w:hAnsi="Times New Roman"/>
          <w:color w:val="000000"/>
          <w:sz w:val="24"/>
          <w:szCs w:val="24"/>
          <w:shd w:val="clear" w:color="auto" w:fill="FFFFFF"/>
          <w:lang w:val="en-US"/>
        </w:rPr>
        <w:t>cause some coefficients to become statistically insignificantly different from zero</w:t>
      </w:r>
      <w:r w:rsidR="00513653">
        <w:rPr>
          <w:rFonts w:ascii="Times New Roman" w:hAnsi="Times New Roman"/>
          <w:color w:val="000000"/>
          <w:sz w:val="24"/>
          <w:szCs w:val="24"/>
          <w:shd w:val="clear" w:color="auto" w:fill="FFFFFF"/>
          <w:lang w:val="en-US"/>
        </w:rPr>
        <w:t xml:space="preserve"> (Appendix Table A</w:t>
      </w:r>
      <w:r w:rsidR="00C2504D">
        <w:rPr>
          <w:rFonts w:ascii="Times New Roman" w:hAnsi="Times New Roman"/>
          <w:color w:val="000000"/>
          <w:sz w:val="24"/>
          <w:szCs w:val="24"/>
          <w:shd w:val="clear" w:color="auto" w:fill="FFFFFF"/>
          <w:lang w:val="en-US"/>
        </w:rPr>
        <w:t>3</w:t>
      </w:r>
      <w:r w:rsidR="00513653">
        <w:rPr>
          <w:rFonts w:ascii="Times New Roman" w:hAnsi="Times New Roman"/>
          <w:color w:val="000000"/>
          <w:sz w:val="24"/>
          <w:szCs w:val="24"/>
          <w:shd w:val="clear" w:color="auto" w:fill="FFFFFF"/>
          <w:lang w:val="en-US"/>
        </w:rPr>
        <w:t>)</w:t>
      </w:r>
      <w:r w:rsidR="00782B29">
        <w:rPr>
          <w:rFonts w:ascii="Times New Roman" w:hAnsi="Times New Roman"/>
          <w:color w:val="000000"/>
          <w:sz w:val="24"/>
          <w:szCs w:val="24"/>
          <w:shd w:val="clear" w:color="auto" w:fill="FFFFFF"/>
          <w:lang w:val="en-US"/>
        </w:rPr>
        <w:t xml:space="preserve">. </w:t>
      </w:r>
    </w:p>
    <w:p w:rsidR="006319C9" w:rsidRDefault="005671B3" w:rsidP="00A97EA9">
      <w:pPr>
        <w:pStyle w:val="Default"/>
        <w:spacing w:after="240" w:line="360" w:lineRule="auto"/>
        <w:jc w:val="both"/>
        <w:rPr>
          <w:rFonts w:ascii="Times New Roman" w:hAnsi="Times New Roman"/>
          <w:shd w:val="clear" w:color="auto" w:fill="FFFFFF"/>
          <w:lang w:val="en-US"/>
        </w:rPr>
      </w:pPr>
      <w:r>
        <w:rPr>
          <w:rFonts w:ascii="Times New Roman" w:hAnsi="Times New Roman"/>
          <w:shd w:val="clear" w:color="auto" w:fill="FFFFFF"/>
          <w:lang w:val="en-US"/>
        </w:rPr>
        <w:t>I</w:t>
      </w:r>
      <w:r w:rsidR="002976F3">
        <w:rPr>
          <w:rFonts w:ascii="Times New Roman" w:hAnsi="Times New Roman"/>
          <w:shd w:val="clear" w:color="auto" w:fill="FFFFFF"/>
          <w:lang w:val="en-US"/>
        </w:rPr>
        <w:t xml:space="preserve">deally we would like to measure the association between socio-economic background and securing a top job allowing for the individual’s human capital. </w:t>
      </w:r>
      <w:r>
        <w:rPr>
          <w:rFonts w:ascii="Times New Roman" w:hAnsi="Times New Roman"/>
          <w:shd w:val="clear" w:color="auto" w:fill="FFFFFF"/>
          <w:lang w:val="en-US"/>
        </w:rPr>
        <w:t>T</w:t>
      </w:r>
      <w:r w:rsidR="00723AAB">
        <w:rPr>
          <w:rFonts w:ascii="Times New Roman" w:hAnsi="Times New Roman"/>
          <w:shd w:val="clear" w:color="auto" w:fill="FFFFFF"/>
          <w:lang w:val="en-US"/>
        </w:rPr>
        <w:t xml:space="preserve">here are </w:t>
      </w:r>
      <w:r w:rsidR="00E27945">
        <w:rPr>
          <w:rFonts w:ascii="Times New Roman" w:hAnsi="Times New Roman"/>
          <w:shd w:val="clear" w:color="auto" w:fill="FFFFFF"/>
          <w:lang w:val="en-US"/>
        </w:rPr>
        <w:t xml:space="preserve">other </w:t>
      </w:r>
      <w:r w:rsidR="00723AAB">
        <w:rPr>
          <w:rFonts w:ascii="Times New Roman" w:hAnsi="Times New Roman"/>
          <w:shd w:val="clear" w:color="auto" w:fill="FFFFFF"/>
          <w:lang w:val="en-US"/>
        </w:rPr>
        <w:t xml:space="preserve">factors associated with family background and the chances of </w:t>
      </w:r>
      <w:r>
        <w:rPr>
          <w:rFonts w:ascii="Times New Roman" w:hAnsi="Times New Roman"/>
          <w:shd w:val="clear" w:color="auto" w:fill="FFFFFF"/>
          <w:lang w:val="en-US"/>
        </w:rPr>
        <w:t>entering into a top job that may be driving the observed</w:t>
      </w:r>
      <w:r w:rsidR="00723AAB">
        <w:rPr>
          <w:rFonts w:ascii="Times New Roman" w:hAnsi="Times New Roman"/>
          <w:shd w:val="clear" w:color="auto" w:fill="FFFFFF"/>
          <w:lang w:val="en-US"/>
        </w:rPr>
        <w:t xml:space="preserve"> association. </w:t>
      </w:r>
      <w:r>
        <w:rPr>
          <w:rFonts w:ascii="Times New Roman" w:hAnsi="Times New Roman"/>
          <w:shd w:val="clear" w:color="auto" w:fill="FFFFFF"/>
          <w:lang w:val="en-US"/>
        </w:rPr>
        <w:t>W</w:t>
      </w:r>
      <w:r w:rsidR="00723AAB">
        <w:rPr>
          <w:rFonts w:ascii="Times New Roman" w:hAnsi="Times New Roman"/>
          <w:shd w:val="clear" w:color="auto" w:fill="FFFFFF"/>
          <w:lang w:val="en-US"/>
        </w:rPr>
        <w:t xml:space="preserve">e </w:t>
      </w:r>
      <w:r>
        <w:rPr>
          <w:rFonts w:ascii="Times New Roman" w:hAnsi="Times New Roman"/>
          <w:shd w:val="clear" w:color="auto" w:fill="FFFFFF"/>
          <w:lang w:val="en-US"/>
        </w:rPr>
        <w:t>a</w:t>
      </w:r>
      <w:r w:rsidR="00723AAB">
        <w:rPr>
          <w:rFonts w:ascii="Times New Roman" w:hAnsi="Times New Roman"/>
          <w:shd w:val="clear" w:color="auto" w:fill="FFFFFF"/>
          <w:lang w:val="en-US"/>
        </w:rPr>
        <w:t>dd potential confounders to our model to control for observable differences across graduates</w:t>
      </w:r>
      <w:r w:rsidR="00E22AA5">
        <w:rPr>
          <w:rFonts w:ascii="Times New Roman" w:hAnsi="Times New Roman"/>
          <w:shd w:val="clear" w:color="auto" w:fill="FFFFFF"/>
          <w:lang w:val="en-US"/>
        </w:rPr>
        <w:t xml:space="preserve"> </w:t>
      </w:r>
      <w:r>
        <w:rPr>
          <w:rFonts w:ascii="Times New Roman" w:hAnsi="Times New Roman"/>
          <w:shd w:val="clear" w:color="auto" w:fill="FFFFFF"/>
          <w:lang w:val="en-US"/>
        </w:rPr>
        <w:t xml:space="preserve">(equation </w:t>
      </w:r>
      <w:r w:rsidR="00E22AA5">
        <w:rPr>
          <w:rFonts w:ascii="Times New Roman" w:hAnsi="Times New Roman"/>
          <w:shd w:val="clear" w:color="auto" w:fill="FFFFFF"/>
          <w:lang w:val="en-US"/>
        </w:rPr>
        <w:t>2)</w:t>
      </w:r>
      <w:r w:rsidR="00723AAB">
        <w:rPr>
          <w:rFonts w:ascii="Times New Roman" w:hAnsi="Times New Roman"/>
          <w:shd w:val="clear" w:color="auto" w:fill="FFFFFF"/>
          <w:lang w:val="en-US"/>
        </w:rPr>
        <w:t xml:space="preserve">. We add these in </w:t>
      </w:r>
      <w:r w:rsidR="00C41237">
        <w:rPr>
          <w:rFonts w:ascii="Times New Roman" w:hAnsi="Times New Roman"/>
          <w:shd w:val="clear" w:color="auto" w:fill="FFFFFF"/>
          <w:lang w:val="en-US"/>
        </w:rPr>
        <w:t>four</w:t>
      </w:r>
      <w:r w:rsidR="00723AAB">
        <w:rPr>
          <w:rFonts w:ascii="Times New Roman" w:hAnsi="Times New Roman"/>
          <w:shd w:val="clear" w:color="auto" w:fill="FFFFFF"/>
          <w:lang w:val="en-US"/>
        </w:rPr>
        <w:t xml:space="preserve"> blocks, first demographic controls </w:t>
      </w:r>
      <w:r w:rsidR="00723AAB" w:rsidRPr="00D87BB8">
        <w:rPr>
          <w:rFonts w:ascii="Times New Roman" w:eastAsia="Times New Roman" w:hAnsi="Times New Roman"/>
        </w:rPr>
        <w:t>(</w:t>
      </w:r>
      <m:oMath>
        <m:r>
          <w:rPr>
            <w:rFonts w:ascii="Cambria Math" w:hAnsi="Cambria Math"/>
            <w:shd w:val="clear" w:color="auto" w:fill="FFFFFF"/>
            <w:lang w:val="en-US"/>
          </w:rPr>
          <m:t>D</m:t>
        </m:r>
      </m:oMath>
      <w:r w:rsidR="00723AAB">
        <w:rPr>
          <w:rFonts w:ascii="Times New Roman" w:eastAsia="Times New Roman" w:hAnsi="Times New Roman"/>
        </w:rPr>
        <w:t>=</w:t>
      </w:r>
      <w:r w:rsidR="00723AAB" w:rsidRPr="00D87BB8">
        <w:rPr>
          <w:rFonts w:ascii="Times New Roman" w:eastAsia="Times New Roman" w:hAnsi="Times New Roman"/>
        </w:rPr>
        <w:t>ethnicity, age</w:t>
      </w:r>
      <w:r w:rsidR="00C41237">
        <w:rPr>
          <w:rFonts w:ascii="Times New Roman" w:eastAsia="Times New Roman" w:hAnsi="Times New Roman"/>
        </w:rPr>
        <w:t xml:space="preserve"> and</w:t>
      </w:r>
      <w:r w:rsidR="00723AAB" w:rsidRPr="00D87BB8">
        <w:rPr>
          <w:rFonts w:ascii="Times New Roman" w:eastAsia="Times New Roman" w:hAnsi="Times New Roman"/>
        </w:rPr>
        <w:t xml:space="preserve"> gender)</w:t>
      </w:r>
      <w:r>
        <w:rPr>
          <w:rFonts w:ascii="Times New Roman" w:eastAsia="Times New Roman" w:hAnsi="Times New Roman"/>
        </w:rPr>
        <w:t xml:space="preserve">; </w:t>
      </w:r>
      <w:r w:rsidR="00723AAB">
        <w:rPr>
          <w:rFonts w:ascii="Times New Roman" w:hAnsi="Times New Roman"/>
          <w:shd w:val="clear" w:color="auto" w:fill="FFFFFF"/>
          <w:lang w:val="en-US"/>
        </w:rPr>
        <w:t xml:space="preserve">then controls for </w:t>
      </w:r>
      <w:r w:rsidR="002976F3">
        <w:rPr>
          <w:rFonts w:ascii="Times New Roman" w:hAnsi="Times New Roman"/>
          <w:shd w:val="clear" w:color="auto" w:fill="FFFFFF"/>
          <w:lang w:val="en-US"/>
        </w:rPr>
        <w:t xml:space="preserve">human capital as measured by </w:t>
      </w:r>
      <w:r w:rsidR="00723AAB">
        <w:rPr>
          <w:rFonts w:ascii="Times New Roman" w:hAnsi="Times New Roman"/>
          <w:shd w:val="clear" w:color="auto" w:fill="FFFFFF"/>
          <w:lang w:val="en-US"/>
        </w:rPr>
        <w:t>prior attainment,</w:t>
      </w:r>
      <m:oMath>
        <m:r>
          <w:rPr>
            <w:rFonts w:ascii="Cambria Math" w:hAnsi="Cambria Math"/>
            <w:shd w:val="clear" w:color="auto" w:fill="FFFFFF"/>
            <w:lang w:val="en-US"/>
          </w:rPr>
          <m:t>A</m:t>
        </m:r>
      </m:oMath>
      <w:r w:rsidR="00460818">
        <w:rPr>
          <w:rFonts w:ascii="Times New Roman" w:hAnsi="Times New Roman"/>
          <w:shd w:val="clear" w:color="auto" w:fill="FFFFFF"/>
          <w:lang w:val="en-US"/>
        </w:rPr>
        <w:t>,</w:t>
      </w:r>
      <w:r w:rsidR="00723AAB">
        <w:rPr>
          <w:rFonts w:ascii="Times New Roman" w:hAnsi="Times New Roman"/>
          <w:shd w:val="clear" w:color="auto" w:fill="FFFFFF"/>
          <w:lang w:val="en-US"/>
        </w:rPr>
        <w:t xml:space="preserve"> including</w:t>
      </w:r>
      <w:r w:rsidR="00723AAB" w:rsidRPr="00D87BB8">
        <w:rPr>
          <w:rFonts w:ascii="Times New Roman" w:eastAsia="Times New Roman" w:hAnsi="Times New Roman"/>
        </w:rPr>
        <w:t xml:space="preserve"> UCAS tariff</w:t>
      </w:r>
      <w:r w:rsidR="00401DDE">
        <w:rPr>
          <w:rFonts w:ascii="Times New Roman" w:eastAsia="Times New Roman" w:hAnsi="Times New Roman"/>
        </w:rPr>
        <w:t xml:space="preserve"> score</w:t>
      </w:r>
      <w:r w:rsidR="00723AAB" w:rsidRPr="00D87BB8">
        <w:rPr>
          <w:rFonts w:ascii="Times New Roman" w:eastAsia="Times New Roman" w:hAnsi="Times New Roman"/>
        </w:rPr>
        <w:t xml:space="preserve">, subject of </w:t>
      </w:r>
      <w:r>
        <w:rPr>
          <w:rFonts w:ascii="Times New Roman" w:eastAsia="Times New Roman" w:hAnsi="Times New Roman"/>
        </w:rPr>
        <w:t>degree</w:t>
      </w:r>
      <w:r w:rsidR="00723AAB" w:rsidRPr="00D87BB8">
        <w:rPr>
          <w:rFonts w:ascii="Times New Roman" w:eastAsia="Times New Roman" w:hAnsi="Times New Roman"/>
        </w:rPr>
        <w:t xml:space="preserve"> and degre</w:t>
      </w:r>
      <w:r w:rsidR="00723AAB">
        <w:rPr>
          <w:rFonts w:ascii="Times New Roman" w:eastAsia="Times New Roman" w:hAnsi="Times New Roman"/>
        </w:rPr>
        <w:t xml:space="preserve">e class. </w:t>
      </w:r>
      <w:r w:rsidR="00E27945">
        <w:rPr>
          <w:rFonts w:ascii="Times New Roman" w:eastAsia="Times New Roman" w:hAnsi="Times New Roman"/>
        </w:rPr>
        <w:t xml:space="preserve">We do this </w:t>
      </w:r>
      <w:r>
        <w:rPr>
          <w:rFonts w:ascii="Times New Roman" w:eastAsia="Times New Roman" w:hAnsi="Times New Roman"/>
        </w:rPr>
        <w:t>to remove</w:t>
      </w:r>
      <w:r w:rsidR="00723AAB">
        <w:rPr>
          <w:rFonts w:ascii="Times New Roman" w:eastAsia="Times New Roman" w:hAnsi="Times New Roman"/>
        </w:rPr>
        <w:t xml:space="preserve"> differences </w:t>
      </w:r>
      <w:r w:rsidR="00E27945">
        <w:rPr>
          <w:rFonts w:ascii="Times New Roman" w:eastAsia="Times New Roman" w:hAnsi="Times New Roman"/>
        </w:rPr>
        <w:t xml:space="preserve">in access to top jobs </w:t>
      </w:r>
      <w:r w:rsidR="00723AAB">
        <w:rPr>
          <w:rFonts w:ascii="Times New Roman" w:eastAsia="Times New Roman" w:hAnsi="Times New Roman"/>
        </w:rPr>
        <w:t xml:space="preserve">driven by the </w:t>
      </w:r>
      <w:r w:rsidR="00E27945">
        <w:rPr>
          <w:rFonts w:ascii="Times New Roman" w:eastAsia="Times New Roman" w:hAnsi="Times New Roman"/>
        </w:rPr>
        <w:t xml:space="preserve">academic achievement </w:t>
      </w:r>
      <w:r w:rsidR="00723AAB">
        <w:rPr>
          <w:rFonts w:ascii="Times New Roman" w:eastAsia="Times New Roman" w:hAnsi="Times New Roman"/>
        </w:rPr>
        <w:t>of the candidate</w:t>
      </w:r>
      <w:r w:rsidR="007822A4">
        <w:rPr>
          <w:rFonts w:ascii="Times New Roman" w:eastAsia="Times New Roman" w:hAnsi="Times New Roman"/>
        </w:rPr>
        <w:t xml:space="preserve"> </w:t>
      </w:r>
      <w:r w:rsidR="00E27945">
        <w:rPr>
          <w:rFonts w:ascii="Times New Roman" w:eastAsia="Times New Roman" w:hAnsi="Times New Roman"/>
        </w:rPr>
        <w:t>and the subject specialism</w:t>
      </w:r>
      <w:r w:rsidR="00723AAB">
        <w:rPr>
          <w:rFonts w:ascii="Times New Roman" w:eastAsia="Times New Roman" w:hAnsi="Times New Roman"/>
        </w:rPr>
        <w:t xml:space="preserve">. </w:t>
      </w:r>
      <w:r>
        <w:rPr>
          <w:rFonts w:ascii="Times New Roman" w:eastAsia="Times New Roman" w:hAnsi="Times New Roman"/>
        </w:rPr>
        <w:t>T</w:t>
      </w:r>
      <w:r w:rsidR="007822A4">
        <w:rPr>
          <w:rFonts w:ascii="Times New Roman" w:eastAsia="Times New Roman" w:hAnsi="Times New Roman"/>
        </w:rPr>
        <w:t>hird</w:t>
      </w:r>
      <w:r>
        <w:rPr>
          <w:rFonts w:ascii="Times New Roman" w:eastAsia="Times New Roman" w:hAnsi="Times New Roman"/>
        </w:rPr>
        <w:t>ly,</w:t>
      </w:r>
      <w:r w:rsidR="007822A4">
        <w:rPr>
          <w:rFonts w:ascii="Times New Roman" w:eastAsia="Times New Roman" w:hAnsi="Times New Roman"/>
        </w:rPr>
        <w:t xml:space="preserve"> we control for institution effects (</w:t>
      </w:r>
      <m:oMath>
        <m:r>
          <w:rPr>
            <w:rFonts w:ascii="Cambria Math" w:hAnsi="Cambria Math"/>
            <w:shd w:val="clear" w:color="auto" w:fill="FFFFFF"/>
            <w:lang w:val="en-US"/>
          </w:rPr>
          <m:t>I</m:t>
        </m:r>
      </m:oMath>
      <w:r w:rsidR="007822A4">
        <w:rPr>
          <w:rFonts w:ascii="Times New Roman" w:eastAsia="Times New Roman" w:hAnsi="Times New Roman"/>
        </w:rPr>
        <w:t xml:space="preserve">) to condition on the choice of institution and region. </w:t>
      </w:r>
      <w:r w:rsidR="00024663">
        <w:rPr>
          <w:rFonts w:ascii="Times New Roman" w:eastAsia="Times New Roman" w:hAnsi="Times New Roman"/>
        </w:rPr>
        <w:t>This is to reflect the fact</w:t>
      </w:r>
      <w:r w:rsidR="007822A4">
        <w:rPr>
          <w:rFonts w:ascii="Times New Roman" w:eastAsia="Times New Roman" w:hAnsi="Times New Roman"/>
        </w:rPr>
        <w:t xml:space="preserve"> that studying at </w:t>
      </w:r>
      <w:r>
        <w:rPr>
          <w:rFonts w:ascii="Times New Roman" w:eastAsia="Times New Roman" w:hAnsi="Times New Roman"/>
        </w:rPr>
        <w:t xml:space="preserve">a </w:t>
      </w:r>
      <w:r w:rsidR="007822A4">
        <w:rPr>
          <w:rFonts w:ascii="Times New Roman" w:eastAsia="Times New Roman" w:hAnsi="Times New Roman"/>
        </w:rPr>
        <w:t>prest</w:t>
      </w:r>
      <w:r>
        <w:rPr>
          <w:rFonts w:ascii="Times New Roman" w:eastAsia="Times New Roman" w:hAnsi="Times New Roman"/>
        </w:rPr>
        <w:t>igious institution</w:t>
      </w:r>
      <w:r w:rsidR="007822A4">
        <w:rPr>
          <w:rFonts w:ascii="Times New Roman" w:eastAsia="Times New Roman" w:hAnsi="Times New Roman"/>
        </w:rPr>
        <w:t xml:space="preserve"> can provide an additional advantage to students in terms of future employment. Finally, </w:t>
      </w:r>
      <w:r>
        <w:rPr>
          <w:rFonts w:ascii="Times New Roman" w:eastAsia="Times New Roman" w:hAnsi="Times New Roman"/>
        </w:rPr>
        <w:t>w</w:t>
      </w:r>
      <w:r w:rsidR="00723AAB">
        <w:rPr>
          <w:rFonts w:ascii="Times New Roman" w:hAnsi="Times New Roman"/>
          <w:shd w:val="clear" w:color="auto" w:fill="FFFFFF"/>
          <w:lang w:val="en-US"/>
        </w:rPr>
        <w:t xml:space="preserve">e </w:t>
      </w:r>
      <w:r w:rsidR="00055017">
        <w:rPr>
          <w:rFonts w:ascii="Times New Roman" w:hAnsi="Times New Roman"/>
          <w:shd w:val="clear" w:color="auto" w:fill="FFFFFF"/>
          <w:lang w:val="en-US"/>
        </w:rPr>
        <w:t>condition</w:t>
      </w:r>
      <w:r w:rsidR="00723AAB">
        <w:rPr>
          <w:rFonts w:ascii="Times New Roman" w:hAnsi="Times New Roman"/>
          <w:shd w:val="clear" w:color="auto" w:fill="FFFFFF"/>
          <w:lang w:val="en-US"/>
        </w:rPr>
        <w:t xml:space="preserve"> on t</w:t>
      </w:r>
      <w:r w:rsidR="00E22AA5">
        <w:rPr>
          <w:rFonts w:ascii="Times New Roman" w:eastAsia="Times New Roman" w:hAnsi="Times New Roman"/>
        </w:rPr>
        <w:t>he type of postgraduate study undertaken up to 3.5 years after graduating (</w:t>
      </w:r>
      <m:oMath>
        <m:r>
          <w:rPr>
            <w:rFonts w:ascii="Cambria Math" w:hAnsi="Cambria Math"/>
            <w:shd w:val="clear" w:color="auto" w:fill="FFFFFF"/>
            <w:lang w:val="en-US"/>
          </w:rPr>
          <m:t>PG</m:t>
        </m:r>
      </m:oMath>
      <w:r w:rsidR="00E22AA5">
        <w:rPr>
          <w:rFonts w:ascii="Times New Roman" w:eastAsia="Times New Roman" w:hAnsi="Times New Roman"/>
          <w:shd w:val="clear" w:color="auto" w:fill="FFFFFF"/>
          <w:lang w:val="en-US"/>
        </w:rPr>
        <w:t>)</w:t>
      </w:r>
      <w:r w:rsidR="00723AAB">
        <w:rPr>
          <w:rFonts w:ascii="Times New Roman" w:hAnsi="Times New Roman"/>
          <w:shd w:val="clear" w:color="auto" w:fill="FFFFFF"/>
          <w:lang w:val="en-US"/>
        </w:rPr>
        <w:t xml:space="preserve"> to assess </w:t>
      </w:r>
      <w:r w:rsidR="00E22AA5">
        <w:rPr>
          <w:rFonts w:ascii="Times New Roman" w:hAnsi="Times New Roman"/>
          <w:shd w:val="clear" w:color="auto" w:fill="FFFFFF"/>
          <w:lang w:val="en-US"/>
        </w:rPr>
        <w:t>whether this is an important route in</w:t>
      </w:r>
      <w:r>
        <w:rPr>
          <w:rFonts w:ascii="Times New Roman" w:hAnsi="Times New Roman"/>
          <w:shd w:val="clear" w:color="auto" w:fill="FFFFFF"/>
          <w:lang w:val="en-US"/>
        </w:rPr>
        <w:t xml:space="preserve">to the top jobs and if this </w:t>
      </w:r>
      <w:r w:rsidR="00E22AA5">
        <w:rPr>
          <w:rFonts w:ascii="Times New Roman" w:hAnsi="Times New Roman"/>
          <w:shd w:val="clear" w:color="auto" w:fill="FFFFFF"/>
          <w:lang w:val="en-US"/>
        </w:rPr>
        <w:t>account</w:t>
      </w:r>
      <w:r>
        <w:rPr>
          <w:rFonts w:ascii="Times New Roman" w:hAnsi="Times New Roman"/>
          <w:shd w:val="clear" w:color="auto" w:fill="FFFFFF"/>
          <w:lang w:val="en-US"/>
        </w:rPr>
        <w:t>s</w:t>
      </w:r>
      <w:r w:rsidR="00E22AA5">
        <w:rPr>
          <w:rFonts w:ascii="Times New Roman" w:hAnsi="Times New Roman"/>
          <w:shd w:val="clear" w:color="auto" w:fill="FFFFFF"/>
          <w:lang w:val="en-US"/>
        </w:rPr>
        <w:t xml:space="preserve"> for differences in entry</w:t>
      </w:r>
      <w:r w:rsidR="00E27945">
        <w:rPr>
          <w:rFonts w:ascii="Times New Roman" w:hAnsi="Times New Roman"/>
          <w:shd w:val="clear" w:color="auto" w:fill="FFFFFF"/>
          <w:lang w:val="en-US"/>
        </w:rPr>
        <w:t xml:space="preserve"> </w:t>
      </w:r>
      <w:r w:rsidR="00E22AA5">
        <w:rPr>
          <w:rFonts w:ascii="Times New Roman" w:hAnsi="Times New Roman"/>
          <w:shd w:val="clear" w:color="auto" w:fill="FFFFFF"/>
          <w:lang w:val="en-US"/>
        </w:rPr>
        <w:t>by family background</w:t>
      </w:r>
      <w:r w:rsidR="00723AAB">
        <w:rPr>
          <w:rFonts w:ascii="Times New Roman" w:hAnsi="Times New Roman"/>
          <w:shd w:val="clear" w:color="auto" w:fill="FFFFFF"/>
          <w:lang w:val="en-US"/>
        </w:rPr>
        <w:t>.</w:t>
      </w:r>
      <w:r w:rsidR="00341904">
        <w:rPr>
          <w:rFonts w:ascii="Times New Roman" w:hAnsi="Times New Roman"/>
          <w:shd w:val="clear" w:color="auto" w:fill="FFFFFF"/>
          <w:lang w:val="en-US"/>
        </w:rPr>
        <w:t xml:space="preserve"> </w:t>
      </w:r>
    </w:p>
    <w:p w:rsidR="00723AAB" w:rsidRDefault="00211A71" w:rsidP="00A97EA9">
      <w:pPr>
        <w:spacing w:after="240" w:line="360" w:lineRule="auto"/>
        <w:jc w:val="both"/>
        <w:rPr>
          <w:rFonts w:ascii="Times New Roman" w:hAnsi="Times New Roman"/>
          <w:color w:val="000000"/>
          <w:sz w:val="24"/>
          <w:szCs w:val="24"/>
          <w:shd w:val="clear" w:color="auto" w:fill="FFFFFF"/>
          <w:lang w:val="en-US"/>
        </w:rPr>
      </w:pPr>
      <m:oMath>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F(Top_job</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m:t>
        </m:r>
        <m:r>
          <w:rPr>
            <w:rFonts w:ascii="Cambria Math" w:hAnsi="Cambria Math"/>
            <w:i/>
            <w:color w:val="000000"/>
            <w:sz w:val="24"/>
            <w:szCs w:val="24"/>
            <w:shd w:val="clear" w:color="auto" w:fill="FFFFFF"/>
            <w:lang w:val="en-US"/>
          </w:rPr>
          <w:sym w:font="Symbol" w:char="F046"/>
        </m:r>
        <m:r>
          <w:rPr>
            <w:rFonts w:ascii="Cambria Math" w:hAnsi="Cambria Math"/>
            <w:color w:val="000000"/>
            <w:sz w:val="24"/>
            <w:szCs w:val="24"/>
            <w:shd w:val="clear" w:color="auto" w:fill="FFFFFF"/>
            <w:lang w:val="en-US"/>
          </w:rPr>
          <m:t xml:space="preserve"> (α+β</m:t>
        </m:r>
        <m:sSup>
          <m:sSupPr>
            <m:ctrlPr>
              <w:rPr>
                <w:rFonts w:ascii="Cambria Math" w:hAnsi="Cambria Math"/>
                <w:i/>
                <w:color w:val="000000"/>
                <w:sz w:val="24"/>
                <w:szCs w:val="24"/>
                <w:shd w:val="clear" w:color="auto" w:fill="FFFFFF"/>
                <w:lang w:val="en-US"/>
              </w:rPr>
            </m:ctrlPr>
          </m:sSupPr>
          <m:e>
            <m:sSub>
              <m:sSubPr>
                <m:ctrlPr>
                  <w:rPr>
                    <w:rFonts w:ascii="Cambria Math" w:hAnsi="Cambria Math"/>
                    <w:i/>
                    <w:color w:val="000000"/>
                    <w:sz w:val="24"/>
                    <w:szCs w:val="24"/>
                    <w:shd w:val="clear" w:color="auto" w:fill="FFFFFF"/>
                    <w:lang w:val="en-US"/>
                  </w:rPr>
                </m:ctrlPr>
              </m:sSubPr>
              <m:e>
                <m:r>
                  <w:rPr>
                    <w:rFonts w:ascii="Cambria Math" w:hAnsi="Cambria Math"/>
                    <w:color w:val="000000"/>
                    <w:sz w:val="24"/>
                    <w:szCs w:val="24"/>
                    <w:shd w:val="clear" w:color="auto" w:fill="FFFFFF"/>
                    <w:lang w:val="en-US"/>
                  </w:rPr>
                  <m:t>X</m:t>
                </m:r>
              </m:e>
              <m:sub>
                <m:r>
                  <w:rPr>
                    <w:rFonts w:ascii="Cambria Math" w:hAnsi="Cambria Math"/>
                    <w:color w:val="000000"/>
                    <w:sz w:val="24"/>
                    <w:szCs w:val="24"/>
                    <w:shd w:val="clear" w:color="auto" w:fill="FFFFFF"/>
                    <w:lang w:val="en-US"/>
                  </w:rPr>
                  <m:t>i</m:t>
                </m:r>
              </m:sub>
            </m:sSub>
          </m:e>
          <m:sup>
            <m:r>
              <w:rPr>
                <w:rFonts w:ascii="Cambria Math" w:hAnsi="Cambria Math"/>
                <w:color w:val="000000"/>
                <w:sz w:val="24"/>
                <w:szCs w:val="24"/>
                <w:shd w:val="clear" w:color="auto" w:fill="FFFFFF"/>
                <w:lang w:val="en-US"/>
              </w:rPr>
              <m:t>family</m:t>
            </m:r>
          </m:sup>
        </m:sSup>
        <m:r>
          <w:rPr>
            <w:rFonts w:ascii="Cambria Math" w:hAnsi="Cambria Math"/>
            <w:color w:val="000000"/>
            <w:sz w:val="24"/>
            <w:szCs w:val="24"/>
            <w:shd w:val="clear" w:color="auto" w:fill="FFFFFF"/>
            <w:lang w:val="en-US"/>
          </w:rPr>
          <m:t>+γ</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D</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+δ</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A</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+ρ</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I</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+τ</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PG</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m:t>
        </m:r>
      </m:oMath>
      <w:r w:rsidR="00723AAB">
        <w:rPr>
          <w:rFonts w:ascii="Times New Roman" w:hAnsi="Times New Roman"/>
          <w:color w:val="000000"/>
          <w:sz w:val="24"/>
          <w:szCs w:val="24"/>
          <w:shd w:val="clear" w:color="auto" w:fill="FFFFFF"/>
          <w:lang w:val="en-US"/>
        </w:rPr>
        <w:tab/>
        <w:t>(2)</w:t>
      </w:r>
    </w:p>
    <w:p w:rsidR="00C219E6" w:rsidRDefault="00723AAB" w:rsidP="00A97EA9">
      <w:pPr>
        <w:spacing w:after="240" w:line="360" w:lineRule="auto"/>
        <w:jc w:val="both"/>
        <w:rPr>
          <w:rFonts w:ascii="Times New Roman" w:eastAsia="Times New Roman" w:hAnsi="Times New Roman"/>
          <w:sz w:val="24"/>
          <w:szCs w:val="24"/>
        </w:rPr>
      </w:pPr>
      <w:r w:rsidRPr="00D87BB8">
        <w:rPr>
          <w:rFonts w:ascii="Times New Roman" w:eastAsia="Times New Roman" w:hAnsi="Times New Roman"/>
          <w:sz w:val="24"/>
          <w:szCs w:val="24"/>
        </w:rPr>
        <w:t>The inclusion of these controls allows a ‘like for like’ compari</w:t>
      </w:r>
      <w:r w:rsidR="005671B3">
        <w:rPr>
          <w:rFonts w:ascii="Times New Roman" w:eastAsia="Times New Roman" w:hAnsi="Times New Roman"/>
          <w:sz w:val="24"/>
          <w:szCs w:val="24"/>
        </w:rPr>
        <w:t>son of graduates</w:t>
      </w:r>
      <w:r w:rsidR="00024663">
        <w:rPr>
          <w:rFonts w:ascii="Times New Roman" w:eastAsia="Times New Roman" w:hAnsi="Times New Roman"/>
          <w:sz w:val="24"/>
          <w:szCs w:val="24"/>
        </w:rPr>
        <w:t>, at least in terms of observed characteristics</w:t>
      </w:r>
      <w:r w:rsidRPr="00D87BB8">
        <w:rPr>
          <w:rFonts w:ascii="Times New Roman" w:eastAsia="Times New Roman" w:hAnsi="Times New Roman"/>
          <w:sz w:val="24"/>
          <w:szCs w:val="24"/>
        </w:rPr>
        <w:t>. For example, professional firms often claim they recruit graduates based on</w:t>
      </w:r>
      <w:r w:rsidR="005671B3">
        <w:rPr>
          <w:rFonts w:ascii="Times New Roman" w:eastAsia="Times New Roman" w:hAnsi="Times New Roman"/>
          <w:sz w:val="24"/>
          <w:szCs w:val="24"/>
        </w:rPr>
        <w:t xml:space="preserve"> academic attainment. C</w:t>
      </w:r>
      <w:r w:rsidRPr="00D87BB8">
        <w:rPr>
          <w:rFonts w:ascii="Times New Roman" w:eastAsia="Times New Roman" w:hAnsi="Times New Roman"/>
          <w:sz w:val="24"/>
          <w:szCs w:val="24"/>
        </w:rPr>
        <w:t>ontrolling for degree</w:t>
      </w:r>
      <w:r w:rsidR="007822A4">
        <w:rPr>
          <w:rFonts w:ascii="Times New Roman" w:eastAsia="Times New Roman" w:hAnsi="Times New Roman"/>
          <w:sz w:val="24"/>
          <w:szCs w:val="24"/>
        </w:rPr>
        <w:t xml:space="preserve"> class, subject choice</w:t>
      </w:r>
      <w:r w:rsidR="00AA6360">
        <w:rPr>
          <w:rFonts w:ascii="Times New Roman" w:eastAsia="Times New Roman" w:hAnsi="Times New Roman"/>
          <w:sz w:val="24"/>
          <w:szCs w:val="24"/>
        </w:rPr>
        <w:t>,</w:t>
      </w:r>
      <w:r w:rsidRPr="00D87BB8">
        <w:rPr>
          <w:rFonts w:ascii="Times New Roman" w:eastAsia="Times New Roman" w:hAnsi="Times New Roman"/>
          <w:sz w:val="24"/>
          <w:szCs w:val="24"/>
        </w:rPr>
        <w:t xml:space="preserve"> </w:t>
      </w:r>
      <w:r w:rsidR="007822A4">
        <w:rPr>
          <w:rFonts w:ascii="Times New Roman" w:eastAsia="Times New Roman" w:hAnsi="Times New Roman"/>
          <w:sz w:val="24"/>
          <w:szCs w:val="24"/>
        </w:rPr>
        <w:t>prior attainment</w:t>
      </w:r>
      <w:r w:rsidR="00AA6360">
        <w:rPr>
          <w:rFonts w:ascii="Times New Roman" w:eastAsia="Times New Roman" w:hAnsi="Times New Roman"/>
          <w:sz w:val="24"/>
          <w:szCs w:val="24"/>
        </w:rPr>
        <w:t xml:space="preserve"> and </w:t>
      </w:r>
      <w:r w:rsidR="00C2504D">
        <w:rPr>
          <w:rFonts w:ascii="Times New Roman" w:eastAsia="Times New Roman" w:hAnsi="Times New Roman"/>
          <w:sz w:val="24"/>
          <w:szCs w:val="24"/>
        </w:rPr>
        <w:t>where the graduate went to university</w:t>
      </w:r>
      <w:r w:rsidRPr="00D87BB8">
        <w:rPr>
          <w:rFonts w:ascii="Times New Roman" w:eastAsia="Times New Roman" w:hAnsi="Times New Roman"/>
          <w:sz w:val="24"/>
          <w:szCs w:val="24"/>
        </w:rPr>
        <w:t xml:space="preserve"> ensures</w:t>
      </w:r>
      <w:r w:rsidR="00C2504D">
        <w:rPr>
          <w:rFonts w:ascii="Times New Roman" w:eastAsia="Times New Roman" w:hAnsi="Times New Roman"/>
          <w:sz w:val="24"/>
          <w:szCs w:val="24"/>
        </w:rPr>
        <w:t xml:space="preserve"> that</w:t>
      </w:r>
      <w:r w:rsidR="00AA6360">
        <w:rPr>
          <w:rFonts w:ascii="Times New Roman" w:eastAsia="Times New Roman" w:hAnsi="Times New Roman"/>
          <w:sz w:val="24"/>
          <w:szCs w:val="24"/>
        </w:rPr>
        <w:t xml:space="preserve"> we are comparing</w:t>
      </w:r>
      <w:r w:rsidRPr="00D87BB8">
        <w:rPr>
          <w:rFonts w:ascii="Times New Roman" w:eastAsia="Times New Roman" w:hAnsi="Times New Roman"/>
          <w:sz w:val="24"/>
          <w:szCs w:val="24"/>
        </w:rPr>
        <w:t xml:space="preserve"> the chances of similar graduates entering </w:t>
      </w:r>
      <w:r w:rsidR="00AA6360">
        <w:rPr>
          <w:rFonts w:ascii="Times New Roman" w:eastAsia="Times New Roman" w:hAnsi="Times New Roman"/>
          <w:sz w:val="24"/>
          <w:szCs w:val="24"/>
        </w:rPr>
        <w:t>top</w:t>
      </w:r>
      <w:r w:rsidRPr="00D87BB8">
        <w:rPr>
          <w:rFonts w:ascii="Times New Roman" w:eastAsia="Times New Roman" w:hAnsi="Times New Roman"/>
          <w:sz w:val="24"/>
          <w:szCs w:val="24"/>
        </w:rPr>
        <w:t xml:space="preserve"> professions.</w:t>
      </w:r>
      <w:r w:rsidR="007822A4">
        <w:rPr>
          <w:rFonts w:ascii="Times New Roman" w:eastAsia="Times New Roman" w:hAnsi="Times New Roman"/>
          <w:sz w:val="24"/>
          <w:szCs w:val="24"/>
        </w:rPr>
        <w:t xml:space="preserve"> </w:t>
      </w:r>
      <w:r w:rsidRPr="00D87BB8">
        <w:rPr>
          <w:rFonts w:ascii="Times New Roman" w:eastAsia="Times New Roman" w:hAnsi="Times New Roman"/>
          <w:sz w:val="24"/>
          <w:szCs w:val="24"/>
        </w:rPr>
        <w:t>The results sh</w:t>
      </w:r>
      <w:r w:rsidR="00055017">
        <w:rPr>
          <w:rFonts w:ascii="Times New Roman" w:eastAsia="Times New Roman" w:hAnsi="Times New Roman"/>
          <w:sz w:val="24"/>
          <w:szCs w:val="24"/>
        </w:rPr>
        <w:t xml:space="preserve">ow </w:t>
      </w:r>
      <w:r w:rsidR="00E27945">
        <w:rPr>
          <w:rFonts w:ascii="Times New Roman" w:eastAsia="Times New Roman" w:hAnsi="Times New Roman"/>
          <w:sz w:val="24"/>
          <w:szCs w:val="24"/>
        </w:rPr>
        <w:t>whether or not</w:t>
      </w:r>
      <w:r w:rsidR="00055017">
        <w:rPr>
          <w:rFonts w:ascii="Times New Roman" w:eastAsia="Times New Roman" w:hAnsi="Times New Roman"/>
          <w:sz w:val="24"/>
          <w:szCs w:val="24"/>
        </w:rPr>
        <w:t xml:space="preserve"> socioeconomic background </w:t>
      </w:r>
      <w:r w:rsidRPr="00D87BB8">
        <w:rPr>
          <w:rFonts w:ascii="Times New Roman" w:eastAsia="Times New Roman" w:hAnsi="Times New Roman"/>
          <w:sz w:val="24"/>
          <w:szCs w:val="24"/>
        </w:rPr>
        <w:t>ha</w:t>
      </w:r>
      <w:r w:rsidR="00055017">
        <w:rPr>
          <w:rFonts w:ascii="Times New Roman" w:eastAsia="Times New Roman" w:hAnsi="Times New Roman"/>
          <w:sz w:val="24"/>
          <w:szCs w:val="24"/>
        </w:rPr>
        <w:t>s</w:t>
      </w:r>
      <w:r w:rsidRPr="00D87BB8">
        <w:rPr>
          <w:rFonts w:ascii="Times New Roman" w:eastAsia="Times New Roman" w:hAnsi="Times New Roman"/>
          <w:sz w:val="24"/>
          <w:szCs w:val="24"/>
        </w:rPr>
        <w:t xml:space="preserve"> an effect on occupational status over and above these controls. </w:t>
      </w:r>
      <w:r w:rsidR="00AA6360">
        <w:rPr>
          <w:rFonts w:ascii="Times New Roman" w:eastAsia="Times New Roman" w:hAnsi="Times New Roman"/>
          <w:sz w:val="24"/>
          <w:szCs w:val="24"/>
        </w:rPr>
        <w:t>D</w:t>
      </w:r>
      <w:r w:rsidRPr="00D87BB8">
        <w:rPr>
          <w:rFonts w:ascii="Times New Roman" w:eastAsia="Times New Roman" w:hAnsi="Times New Roman"/>
          <w:sz w:val="24"/>
          <w:szCs w:val="24"/>
        </w:rPr>
        <w:t xml:space="preserve">espite our attempts to eliminate the impact of other factors on occupational status, graduates are still likely to differ in ways </w:t>
      </w:r>
      <w:r w:rsidR="00AA6360">
        <w:rPr>
          <w:rFonts w:ascii="Times New Roman" w:eastAsia="Times New Roman" w:hAnsi="Times New Roman"/>
          <w:sz w:val="24"/>
          <w:szCs w:val="24"/>
        </w:rPr>
        <w:t>we do not observe</w:t>
      </w:r>
      <w:r w:rsidRPr="00D87BB8">
        <w:rPr>
          <w:rFonts w:ascii="Times New Roman" w:eastAsia="Times New Roman" w:hAnsi="Times New Roman"/>
          <w:sz w:val="24"/>
          <w:szCs w:val="24"/>
        </w:rPr>
        <w:t xml:space="preserve">, in particular in </w:t>
      </w:r>
      <w:r w:rsidR="00E27945">
        <w:rPr>
          <w:rFonts w:ascii="Times New Roman" w:eastAsia="Times New Roman" w:hAnsi="Times New Roman"/>
          <w:sz w:val="24"/>
          <w:szCs w:val="24"/>
        </w:rPr>
        <w:t>their aspirations</w:t>
      </w:r>
      <w:r w:rsidR="00401DDE">
        <w:rPr>
          <w:rFonts w:ascii="Times New Roman" w:eastAsia="Times New Roman" w:hAnsi="Times New Roman"/>
          <w:sz w:val="24"/>
          <w:szCs w:val="24"/>
        </w:rPr>
        <w:t>, preferences</w:t>
      </w:r>
      <w:r w:rsidR="00E27945">
        <w:rPr>
          <w:rFonts w:ascii="Times New Roman" w:eastAsia="Times New Roman" w:hAnsi="Times New Roman"/>
          <w:sz w:val="24"/>
          <w:szCs w:val="24"/>
        </w:rPr>
        <w:t xml:space="preserve"> and other aspects of</w:t>
      </w:r>
      <w:r w:rsidR="00213BAA">
        <w:rPr>
          <w:rFonts w:ascii="Times New Roman" w:eastAsia="Times New Roman" w:hAnsi="Times New Roman"/>
          <w:sz w:val="24"/>
          <w:szCs w:val="24"/>
        </w:rPr>
        <w:t xml:space="preserve"> </w:t>
      </w:r>
      <w:r w:rsidRPr="00D87BB8">
        <w:rPr>
          <w:rFonts w:ascii="Times New Roman" w:eastAsia="Times New Roman" w:hAnsi="Times New Roman"/>
          <w:sz w:val="24"/>
          <w:szCs w:val="24"/>
        </w:rPr>
        <w:t>non</w:t>
      </w:r>
      <w:r w:rsidR="00E27945">
        <w:rPr>
          <w:rFonts w:ascii="Times New Roman" w:eastAsia="Times New Roman" w:hAnsi="Times New Roman"/>
          <w:sz w:val="24"/>
          <w:szCs w:val="24"/>
        </w:rPr>
        <w:t>-</w:t>
      </w:r>
      <w:r w:rsidRPr="00D87BB8">
        <w:rPr>
          <w:rFonts w:ascii="Times New Roman" w:eastAsia="Times New Roman" w:hAnsi="Times New Roman"/>
          <w:sz w:val="24"/>
          <w:szCs w:val="24"/>
        </w:rPr>
        <w:t>cognitive ability</w:t>
      </w:r>
      <w:r w:rsidR="00E27945">
        <w:rPr>
          <w:rFonts w:ascii="Times New Roman" w:eastAsia="Times New Roman" w:hAnsi="Times New Roman"/>
          <w:sz w:val="24"/>
          <w:szCs w:val="24"/>
        </w:rPr>
        <w:t xml:space="preserve">, </w:t>
      </w:r>
      <w:r w:rsidRPr="00D87BB8">
        <w:rPr>
          <w:rFonts w:ascii="Times New Roman" w:eastAsia="Times New Roman" w:hAnsi="Times New Roman"/>
          <w:sz w:val="24"/>
          <w:szCs w:val="24"/>
        </w:rPr>
        <w:t xml:space="preserve">which </w:t>
      </w:r>
      <w:r w:rsidR="00E27945">
        <w:rPr>
          <w:rFonts w:ascii="Times New Roman" w:eastAsia="Times New Roman" w:hAnsi="Times New Roman"/>
          <w:sz w:val="24"/>
          <w:szCs w:val="24"/>
        </w:rPr>
        <w:t>may</w:t>
      </w:r>
      <w:r w:rsidRPr="00D87BB8">
        <w:rPr>
          <w:rFonts w:ascii="Times New Roman" w:eastAsia="Times New Roman" w:hAnsi="Times New Roman"/>
          <w:sz w:val="24"/>
          <w:szCs w:val="24"/>
        </w:rPr>
        <w:t xml:space="preserve"> be influential in securing a professional career.</w:t>
      </w:r>
      <w:r w:rsidR="00C87681">
        <w:rPr>
          <w:rFonts w:ascii="Times New Roman" w:eastAsia="Times New Roman" w:hAnsi="Times New Roman"/>
          <w:sz w:val="24"/>
          <w:szCs w:val="24"/>
        </w:rPr>
        <w:t xml:space="preserve"> We cannot control for these unobserved sources of selection bias in our model and we return to this issue in our conclusions.</w:t>
      </w:r>
    </w:p>
    <w:p w:rsidR="009518A1" w:rsidRDefault="009518A1" w:rsidP="00A97EA9">
      <w:pPr>
        <w:spacing w:after="24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When we analyse entry to higher managerial occupations, </w:t>
      </w:r>
      <w:r w:rsidR="002A0197">
        <w:rPr>
          <w:rFonts w:ascii="Times New Roman" w:eastAsia="Times New Roman" w:hAnsi="Times New Roman"/>
          <w:sz w:val="24"/>
          <w:szCs w:val="24"/>
        </w:rPr>
        <w:t xml:space="preserve">business, medical and legal professions and other professions </w:t>
      </w:r>
      <w:r>
        <w:rPr>
          <w:rFonts w:ascii="Times New Roman" w:eastAsia="Times New Roman" w:hAnsi="Times New Roman"/>
          <w:sz w:val="24"/>
          <w:szCs w:val="24"/>
        </w:rPr>
        <w:t>compared to other graduate jobs (NS-SEC 2-7) we use a multinomial logit model, presenting marginal effects of the probability of entering each occupation group relative to entering an NS-SEC 2-7 job</w:t>
      </w:r>
      <w:r w:rsidR="00C2504D">
        <w:rPr>
          <w:rFonts w:ascii="Times New Roman" w:eastAsia="Times New Roman" w:hAnsi="Times New Roman"/>
          <w:sz w:val="24"/>
          <w:szCs w:val="24"/>
        </w:rPr>
        <w:t xml:space="preserve"> evaluated at the sample mean</w:t>
      </w:r>
      <w:r>
        <w:rPr>
          <w:rFonts w:ascii="Times New Roman" w:eastAsia="Times New Roman" w:hAnsi="Times New Roman"/>
          <w:sz w:val="24"/>
          <w:szCs w:val="24"/>
        </w:rPr>
        <w:t>.</w:t>
      </w:r>
      <w:r w:rsidR="00336FE5">
        <w:rPr>
          <w:rFonts w:ascii="Times New Roman" w:eastAsia="Times New Roman" w:hAnsi="Times New Roman"/>
          <w:sz w:val="24"/>
          <w:szCs w:val="24"/>
        </w:rPr>
        <w:t xml:space="preserve"> </w:t>
      </w:r>
      <w:r w:rsidR="00AA6360">
        <w:rPr>
          <w:rFonts w:ascii="Times New Roman" w:eastAsia="Times New Roman" w:hAnsi="Times New Roman"/>
          <w:sz w:val="24"/>
          <w:szCs w:val="24"/>
        </w:rPr>
        <w:t>T</w:t>
      </w:r>
      <w:r w:rsidR="00336FE5">
        <w:rPr>
          <w:rFonts w:ascii="Times New Roman" w:eastAsia="Times New Roman" w:hAnsi="Times New Roman"/>
          <w:sz w:val="24"/>
          <w:szCs w:val="24"/>
        </w:rPr>
        <w:t xml:space="preserve">he multinomial logit model requires the assumption of the </w:t>
      </w:r>
      <w:r w:rsidR="00B1272F" w:rsidRPr="00C87681">
        <w:rPr>
          <w:rFonts w:ascii="Times New Roman" w:eastAsia="Times New Roman" w:hAnsi="Times New Roman"/>
          <w:sz w:val="24"/>
          <w:szCs w:val="24"/>
        </w:rPr>
        <w:t>i</w:t>
      </w:r>
      <w:r w:rsidR="00336FE5" w:rsidRPr="00C87681">
        <w:rPr>
          <w:rFonts w:ascii="Times New Roman" w:eastAsia="Times New Roman" w:hAnsi="Times New Roman"/>
          <w:sz w:val="24"/>
          <w:szCs w:val="24"/>
        </w:rPr>
        <w:t xml:space="preserve">ndependence </w:t>
      </w:r>
      <w:r w:rsidR="00B1272F" w:rsidRPr="00C87681">
        <w:rPr>
          <w:rFonts w:ascii="Times New Roman" w:eastAsia="Times New Roman" w:hAnsi="Times New Roman"/>
          <w:sz w:val="24"/>
          <w:szCs w:val="24"/>
        </w:rPr>
        <w:t>of irrelevant a</w:t>
      </w:r>
      <w:r w:rsidR="00336FE5" w:rsidRPr="00C87681">
        <w:rPr>
          <w:rFonts w:ascii="Times New Roman" w:eastAsia="Times New Roman" w:hAnsi="Times New Roman"/>
          <w:sz w:val="24"/>
          <w:szCs w:val="24"/>
        </w:rPr>
        <w:t>lternatives</w:t>
      </w:r>
      <w:r w:rsidR="00B1272F" w:rsidRPr="00C87681">
        <w:rPr>
          <w:rFonts w:ascii="Times New Roman" w:eastAsia="Times New Roman" w:hAnsi="Times New Roman"/>
          <w:sz w:val="24"/>
          <w:szCs w:val="24"/>
        </w:rPr>
        <w:t xml:space="preserve"> (IAA)</w:t>
      </w:r>
      <w:r w:rsidR="00336FE5" w:rsidRPr="00C87681">
        <w:rPr>
          <w:rFonts w:ascii="Times New Roman" w:eastAsia="Times New Roman" w:hAnsi="Times New Roman"/>
          <w:sz w:val="24"/>
          <w:szCs w:val="24"/>
        </w:rPr>
        <w:t>.</w:t>
      </w:r>
      <w:r w:rsidR="00E65879">
        <w:rPr>
          <w:rFonts w:ascii="Times New Roman" w:eastAsia="Times New Roman" w:hAnsi="Times New Roman"/>
          <w:sz w:val="24"/>
          <w:szCs w:val="24"/>
        </w:rPr>
        <w:t xml:space="preserve"> This implies that the</w:t>
      </w:r>
      <w:r w:rsidR="00D435A0">
        <w:rPr>
          <w:rFonts w:ascii="Times New Roman" w:eastAsia="Times New Roman" w:hAnsi="Times New Roman"/>
          <w:sz w:val="24"/>
          <w:szCs w:val="24"/>
        </w:rPr>
        <w:t xml:space="preserve"> relative</w:t>
      </w:r>
      <w:r w:rsidR="00E65879">
        <w:rPr>
          <w:rFonts w:ascii="Times New Roman" w:eastAsia="Times New Roman" w:hAnsi="Times New Roman"/>
          <w:sz w:val="24"/>
          <w:szCs w:val="24"/>
        </w:rPr>
        <w:t xml:space="preserve"> likelihood of preferring one occupational group </w:t>
      </w:r>
      <w:r w:rsidR="00D435A0">
        <w:rPr>
          <w:rFonts w:ascii="Times New Roman" w:eastAsia="Times New Roman" w:hAnsi="Times New Roman"/>
          <w:sz w:val="24"/>
          <w:szCs w:val="24"/>
        </w:rPr>
        <w:t xml:space="preserve">to </w:t>
      </w:r>
      <w:r w:rsidR="00E65879">
        <w:rPr>
          <w:rFonts w:ascii="Times New Roman" w:eastAsia="Times New Roman" w:hAnsi="Times New Roman"/>
          <w:sz w:val="24"/>
          <w:szCs w:val="24"/>
        </w:rPr>
        <w:t xml:space="preserve">another must not depend on the availability of other irrelevant </w:t>
      </w:r>
      <w:r w:rsidR="00E65879" w:rsidRPr="00E65879">
        <w:rPr>
          <w:rFonts w:ascii="Times New Roman" w:hAnsi="Times New Roman"/>
          <w:sz w:val="24"/>
          <w:szCs w:val="24"/>
        </w:rPr>
        <w:t>alternatives</w:t>
      </w:r>
      <w:r w:rsidR="00401DDE">
        <w:rPr>
          <w:rFonts w:ascii="Times New Roman" w:hAnsi="Times New Roman"/>
          <w:sz w:val="24"/>
          <w:szCs w:val="24"/>
        </w:rPr>
        <w:t xml:space="preserve"> which we argue is not an overly strong assumption in this case</w:t>
      </w:r>
      <w:r w:rsidR="00E65879" w:rsidRPr="00E65879">
        <w:rPr>
          <w:rFonts w:ascii="Times New Roman" w:hAnsi="Times New Roman"/>
          <w:sz w:val="24"/>
          <w:szCs w:val="24"/>
        </w:rPr>
        <w:t>.</w:t>
      </w:r>
      <w:r w:rsidRPr="00C87681">
        <w:rPr>
          <w:rFonts w:ascii="Times New Roman" w:eastAsia="Times New Roman" w:hAnsi="Times New Roman"/>
          <w:sz w:val="24"/>
          <w:szCs w:val="24"/>
        </w:rPr>
        <w:t xml:space="preserve"> </w:t>
      </w:r>
      <w:r w:rsidR="00401DDE">
        <w:rPr>
          <w:rFonts w:ascii="Times New Roman" w:eastAsia="Times New Roman" w:hAnsi="Times New Roman"/>
          <w:sz w:val="24"/>
          <w:szCs w:val="24"/>
        </w:rPr>
        <w:t>It requires, for example, that a graduate’s</w:t>
      </w:r>
      <w:r w:rsidR="00D435A0">
        <w:rPr>
          <w:rFonts w:ascii="Times New Roman" w:eastAsia="Times New Roman" w:hAnsi="Times New Roman"/>
          <w:sz w:val="24"/>
          <w:szCs w:val="24"/>
        </w:rPr>
        <w:t xml:space="preserve"> relative</w:t>
      </w:r>
      <w:r w:rsidR="00401DDE">
        <w:rPr>
          <w:rFonts w:ascii="Times New Roman" w:eastAsia="Times New Roman" w:hAnsi="Times New Roman"/>
          <w:sz w:val="24"/>
          <w:szCs w:val="24"/>
        </w:rPr>
        <w:t xml:space="preserve"> </w:t>
      </w:r>
      <w:r w:rsidR="00D30FC2">
        <w:rPr>
          <w:rFonts w:ascii="Times New Roman" w:eastAsia="Times New Roman" w:hAnsi="Times New Roman"/>
          <w:sz w:val="24"/>
          <w:szCs w:val="24"/>
        </w:rPr>
        <w:t xml:space="preserve">likelihood of </w:t>
      </w:r>
      <w:r w:rsidR="00D435A0">
        <w:rPr>
          <w:rFonts w:ascii="Times New Roman" w:eastAsia="Times New Roman" w:hAnsi="Times New Roman"/>
          <w:sz w:val="24"/>
          <w:szCs w:val="24"/>
        </w:rPr>
        <w:t>choosing</w:t>
      </w:r>
      <w:r w:rsidR="00D30FC2">
        <w:rPr>
          <w:rFonts w:ascii="Times New Roman" w:eastAsia="Times New Roman" w:hAnsi="Times New Roman"/>
          <w:sz w:val="24"/>
          <w:szCs w:val="24"/>
        </w:rPr>
        <w:t xml:space="preserve"> a higher managerial </w:t>
      </w:r>
      <w:r w:rsidR="00493635">
        <w:rPr>
          <w:rFonts w:ascii="Times New Roman" w:eastAsia="Times New Roman" w:hAnsi="Times New Roman"/>
          <w:sz w:val="24"/>
          <w:szCs w:val="24"/>
        </w:rPr>
        <w:t>occupation</w:t>
      </w:r>
      <w:r w:rsidR="00D30FC2">
        <w:rPr>
          <w:rFonts w:ascii="Times New Roman" w:eastAsia="Times New Roman" w:hAnsi="Times New Roman"/>
          <w:sz w:val="24"/>
          <w:szCs w:val="24"/>
        </w:rPr>
        <w:t xml:space="preserve"> compared to a business occupation </w:t>
      </w:r>
      <w:r w:rsidR="00D435A0">
        <w:rPr>
          <w:rFonts w:ascii="Times New Roman" w:eastAsia="Times New Roman" w:hAnsi="Times New Roman"/>
          <w:sz w:val="24"/>
          <w:szCs w:val="24"/>
        </w:rPr>
        <w:t>would be unaffected by</w:t>
      </w:r>
      <w:r w:rsidR="00401DDE">
        <w:rPr>
          <w:rFonts w:ascii="Times New Roman" w:eastAsia="Times New Roman" w:hAnsi="Times New Roman"/>
          <w:sz w:val="24"/>
          <w:szCs w:val="24"/>
        </w:rPr>
        <w:t xml:space="preserve"> other career options available to them</w:t>
      </w:r>
      <w:r w:rsidR="00D435A0">
        <w:rPr>
          <w:rFonts w:ascii="Times New Roman" w:eastAsia="Times New Roman" w:hAnsi="Times New Roman"/>
          <w:sz w:val="24"/>
          <w:szCs w:val="24"/>
        </w:rPr>
        <w:t>.</w:t>
      </w:r>
      <w:r w:rsidR="00401DDE">
        <w:rPr>
          <w:rFonts w:ascii="Times New Roman" w:eastAsia="Times New Roman" w:hAnsi="Times New Roman"/>
          <w:sz w:val="24"/>
          <w:szCs w:val="24"/>
        </w:rPr>
        <w:t xml:space="preserve"> </w:t>
      </w:r>
      <w:r w:rsidR="00DA0338" w:rsidRPr="00C87681">
        <w:rPr>
          <w:rFonts w:ascii="Times New Roman" w:eastAsia="Times New Roman" w:hAnsi="Times New Roman"/>
          <w:sz w:val="24"/>
          <w:szCs w:val="24"/>
        </w:rPr>
        <w:t xml:space="preserve">We </w:t>
      </w:r>
      <w:r w:rsidR="00AA6360">
        <w:rPr>
          <w:rFonts w:ascii="Times New Roman" w:eastAsia="Times New Roman" w:hAnsi="Times New Roman"/>
          <w:sz w:val="24"/>
          <w:szCs w:val="24"/>
        </w:rPr>
        <w:t>argue</w:t>
      </w:r>
      <w:r w:rsidR="00DA0338" w:rsidRPr="00C87681">
        <w:rPr>
          <w:rFonts w:ascii="Times New Roman" w:eastAsia="Times New Roman" w:hAnsi="Times New Roman"/>
          <w:sz w:val="24"/>
          <w:szCs w:val="24"/>
        </w:rPr>
        <w:t xml:space="preserve"> that choice of occupation is dependent on a number of factors, including </w:t>
      </w:r>
      <w:r w:rsidR="00E65879">
        <w:rPr>
          <w:rFonts w:ascii="Times New Roman" w:eastAsia="Times New Roman" w:hAnsi="Times New Roman"/>
          <w:sz w:val="24"/>
          <w:szCs w:val="24"/>
        </w:rPr>
        <w:t>human and social capital, and as such the existence of alternative</w:t>
      </w:r>
      <w:r w:rsidR="00DA0338">
        <w:rPr>
          <w:rFonts w:ascii="Times New Roman" w:eastAsia="Times New Roman" w:hAnsi="Times New Roman"/>
          <w:sz w:val="24"/>
          <w:szCs w:val="24"/>
        </w:rPr>
        <w:t xml:space="preserve"> occupation groupings is sufficiently independent to the individuals’ </w:t>
      </w:r>
      <w:r w:rsidR="0044136C">
        <w:rPr>
          <w:rFonts w:ascii="Times New Roman" w:eastAsia="Times New Roman" w:hAnsi="Times New Roman"/>
          <w:sz w:val="24"/>
          <w:szCs w:val="24"/>
        </w:rPr>
        <w:t>relative preferences</w:t>
      </w:r>
      <w:r w:rsidR="00DA0338">
        <w:rPr>
          <w:rFonts w:ascii="Times New Roman" w:eastAsia="Times New Roman" w:hAnsi="Times New Roman"/>
          <w:sz w:val="24"/>
          <w:szCs w:val="24"/>
        </w:rPr>
        <w:t xml:space="preserve">, given their capital. </w:t>
      </w:r>
    </w:p>
    <w:p w:rsidR="00B44F71" w:rsidRPr="00B44F71" w:rsidRDefault="00B44F71" w:rsidP="00A97EA9">
      <w:pPr>
        <w:spacing w:after="24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The role of networks </w:t>
      </w:r>
    </w:p>
    <w:p w:rsidR="00055017" w:rsidRDefault="00156369" w:rsidP="00A97EA9">
      <w:pPr>
        <w:spacing w:after="240" w:line="36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t>
      </w:r>
      <w:r w:rsidR="00B1272F">
        <w:rPr>
          <w:rFonts w:ascii="Times New Roman" w:hAnsi="Times New Roman"/>
          <w:color w:val="000000"/>
          <w:sz w:val="24"/>
          <w:szCs w:val="24"/>
          <w:lang w:eastAsia="en-GB"/>
        </w:rPr>
        <w:t xml:space="preserve">add </w:t>
      </w:r>
      <w:r>
        <w:rPr>
          <w:rFonts w:ascii="Times New Roman" w:hAnsi="Times New Roman"/>
          <w:color w:val="000000"/>
          <w:sz w:val="24"/>
          <w:szCs w:val="24"/>
          <w:lang w:eastAsia="en-GB"/>
        </w:rPr>
        <w:t>a measure of</w:t>
      </w:r>
      <w:r w:rsidR="002976F3">
        <w:rPr>
          <w:rFonts w:ascii="Times New Roman" w:hAnsi="Times New Roman"/>
          <w:color w:val="000000"/>
          <w:sz w:val="24"/>
          <w:szCs w:val="24"/>
          <w:lang w:eastAsia="en-GB"/>
        </w:rPr>
        <w:t xml:space="preserve"> social capital</w:t>
      </w:r>
      <w:r w:rsidR="00AA6360">
        <w:rPr>
          <w:rFonts w:ascii="Times New Roman" w:hAnsi="Times New Roman"/>
          <w:color w:val="000000"/>
          <w:sz w:val="24"/>
          <w:szCs w:val="24"/>
          <w:lang w:eastAsia="en-GB"/>
        </w:rPr>
        <w:t xml:space="preserve"> to the model</w:t>
      </w:r>
      <w:r>
        <w:rPr>
          <w:rFonts w:ascii="Times New Roman" w:hAnsi="Times New Roman"/>
          <w:color w:val="000000"/>
          <w:sz w:val="24"/>
          <w:szCs w:val="24"/>
          <w:lang w:eastAsia="en-GB"/>
        </w:rPr>
        <w:t>, namely t</w:t>
      </w:r>
      <w:r w:rsidR="002A0197">
        <w:rPr>
          <w:rFonts w:ascii="Times New Roman" w:hAnsi="Times New Roman"/>
          <w:color w:val="000000"/>
          <w:sz w:val="24"/>
          <w:szCs w:val="24"/>
          <w:lang w:eastAsia="en-GB"/>
        </w:rPr>
        <w:t>he student</w:t>
      </w:r>
      <w:r>
        <w:rPr>
          <w:rFonts w:ascii="Times New Roman" w:hAnsi="Times New Roman"/>
          <w:color w:val="000000"/>
          <w:sz w:val="24"/>
          <w:szCs w:val="24"/>
          <w:lang w:eastAsia="en-GB"/>
        </w:rPr>
        <w:t>s</w:t>
      </w:r>
      <w:r w:rsidR="002A0197">
        <w:rPr>
          <w:rFonts w:ascii="Times New Roman" w:hAnsi="Times New Roman"/>
          <w:color w:val="000000"/>
          <w:sz w:val="24"/>
          <w:szCs w:val="24"/>
          <w:lang w:eastAsia="en-GB"/>
        </w:rPr>
        <w:t>’</w:t>
      </w:r>
      <w:r w:rsidR="002976F3">
        <w:rPr>
          <w:rFonts w:ascii="Times New Roman" w:hAnsi="Times New Roman"/>
          <w:color w:val="000000"/>
          <w:sz w:val="24"/>
          <w:szCs w:val="24"/>
          <w:lang w:eastAsia="en-GB"/>
        </w:rPr>
        <w:t xml:space="preserve"> use of networks</w:t>
      </w:r>
      <w:r>
        <w:rPr>
          <w:rFonts w:ascii="Times New Roman" w:hAnsi="Times New Roman"/>
          <w:color w:val="000000"/>
          <w:sz w:val="24"/>
          <w:szCs w:val="24"/>
          <w:lang w:eastAsia="en-GB"/>
        </w:rPr>
        <w:t xml:space="preserve"> </w:t>
      </w:r>
      <w:r w:rsidR="00AA6360">
        <w:rPr>
          <w:rFonts w:ascii="Times New Roman" w:hAnsi="Times New Roman"/>
          <w:color w:val="000000"/>
          <w:sz w:val="24"/>
          <w:szCs w:val="24"/>
          <w:lang w:eastAsia="en-GB"/>
        </w:rPr>
        <w:t xml:space="preserve">(N) </w:t>
      </w:r>
      <w:r>
        <w:rPr>
          <w:rFonts w:ascii="Times New Roman" w:hAnsi="Times New Roman"/>
          <w:color w:val="000000"/>
          <w:sz w:val="24"/>
          <w:szCs w:val="24"/>
          <w:lang w:eastAsia="en-GB"/>
        </w:rPr>
        <w:t>to get their job</w:t>
      </w:r>
      <w:r w:rsidR="00AA6360">
        <w:rPr>
          <w:rFonts w:ascii="Times New Roman" w:hAnsi="Times New Roman"/>
          <w:color w:val="000000"/>
          <w:sz w:val="24"/>
          <w:szCs w:val="24"/>
          <w:lang w:eastAsia="en-GB"/>
        </w:rPr>
        <w:t xml:space="preserve"> (equation 3)</w:t>
      </w:r>
      <w:r w:rsidR="002976F3">
        <w:rPr>
          <w:rFonts w:ascii="Times New Roman" w:hAnsi="Times New Roman"/>
          <w:color w:val="000000"/>
          <w:sz w:val="24"/>
          <w:szCs w:val="24"/>
          <w:lang w:eastAsia="en-GB"/>
        </w:rPr>
        <w:t xml:space="preserve">. We </w:t>
      </w:r>
      <w:r w:rsidR="00FE4CFA">
        <w:rPr>
          <w:rFonts w:ascii="Times New Roman" w:hAnsi="Times New Roman"/>
          <w:color w:val="000000"/>
          <w:sz w:val="24"/>
          <w:szCs w:val="24"/>
          <w:lang w:eastAsia="en-GB"/>
        </w:rPr>
        <w:t>consider</w:t>
      </w:r>
      <w:r w:rsidR="002976F3">
        <w:rPr>
          <w:rFonts w:ascii="Times New Roman" w:hAnsi="Times New Roman"/>
          <w:color w:val="000000"/>
          <w:sz w:val="24"/>
          <w:szCs w:val="24"/>
          <w:lang w:eastAsia="en-GB"/>
        </w:rPr>
        <w:t xml:space="preserve"> whether networks can account for any of the socio-economic gradient in accessing </w:t>
      </w:r>
      <w:r w:rsidR="0077737A">
        <w:rPr>
          <w:rFonts w:ascii="Times New Roman" w:hAnsi="Times New Roman"/>
          <w:color w:val="000000"/>
          <w:sz w:val="24"/>
          <w:szCs w:val="24"/>
          <w:lang w:eastAsia="en-GB"/>
        </w:rPr>
        <w:t>top occupations</w:t>
      </w:r>
      <w:r w:rsidR="002976F3">
        <w:rPr>
          <w:rFonts w:ascii="Times New Roman" w:hAnsi="Times New Roman"/>
          <w:color w:val="000000"/>
          <w:sz w:val="24"/>
          <w:szCs w:val="24"/>
          <w:lang w:eastAsia="en-GB"/>
        </w:rPr>
        <w:t xml:space="preserve"> or whether they have an independent effect over and above family background. </w:t>
      </w:r>
      <w:r w:rsidR="00CD790F" w:rsidRPr="00CD790F">
        <w:rPr>
          <w:rFonts w:ascii="Times New Roman" w:hAnsi="Times New Roman"/>
          <w:color w:val="000000"/>
          <w:sz w:val="24"/>
          <w:szCs w:val="24"/>
          <w:lang w:eastAsia="en-GB"/>
        </w:rPr>
        <w:t xml:space="preserve"> </w:t>
      </w:r>
    </w:p>
    <w:p w:rsidR="00AF1317" w:rsidRDefault="00211A71" w:rsidP="00AF1317">
      <w:pPr>
        <w:spacing w:after="240" w:line="360" w:lineRule="auto"/>
        <w:jc w:val="both"/>
        <w:rPr>
          <w:rFonts w:ascii="Times New Roman" w:hAnsi="Times New Roman"/>
          <w:color w:val="000000"/>
          <w:sz w:val="24"/>
          <w:szCs w:val="24"/>
          <w:shd w:val="clear" w:color="auto" w:fill="FFFFFF"/>
          <w:lang w:val="en-US"/>
        </w:rPr>
      </w:pPr>
      <m:oMath>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F(Top_job</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m:t>
        </m:r>
        <m:r>
          <w:rPr>
            <w:rFonts w:ascii="Cambria Math" w:hAnsi="Cambria Math"/>
            <w:i/>
            <w:color w:val="000000"/>
            <w:sz w:val="24"/>
            <w:szCs w:val="24"/>
            <w:shd w:val="clear" w:color="auto" w:fill="FFFFFF"/>
            <w:lang w:val="en-US"/>
          </w:rPr>
          <w:sym w:font="Symbol" w:char="F046"/>
        </m:r>
        <m:r>
          <w:rPr>
            <w:rFonts w:ascii="Cambria Math" w:hAnsi="Cambria Math"/>
            <w:color w:val="000000"/>
            <w:sz w:val="24"/>
            <w:szCs w:val="24"/>
            <w:shd w:val="clear" w:color="auto" w:fill="FFFFFF"/>
            <w:lang w:val="en-US"/>
          </w:rPr>
          <m:t xml:space="preserve"> (α+β</m:t>
        </m:r>
        <m:sSup>
          <m:sSupPr>
            <m:ctrlPr>
              <w:rPr>
                <w:rFonts w:ascii="Cambria Math" w:hAnsi="Cambria Math"/>
                <w:i/>
                <w:color w:val="000000"/>
                <w:sz w:val="24"/>
                <w:szCs w:val="24"/>
                <w:shd w:val="clear" w:color="auto" w:fill="FFFFFF"/>
                <w:lang w:val="en-US"/>
              </w:rPr>
            </m:ctrlPr>
          </m:sSupPr>
          <m:e>
            <m:sSub>
              <m:sSubPr>
                <m:ctrlPr>
                  <w:rPr>
                    <w:rFonts w:ascii="Cambria Math" w:hAnsi="Cambria Math"/>
                    <w:i/>
                    <w:color w:val="000000"/>
                    <w:sz w:val="24"/>
                    <w:szCs w:val="24"/>
                    <w:shd w:val="clear" w:color="auto" w:fill="FFFFFF"/>
                    <w:lang w:val="en-US"/>
                  </w:rPr>
                </m:ctrlPr>
              </m:sSubPr>
              <m:e>
                <m:r>
                  <w:rPr>
                    <w:rFonts w:ascii="Cambria Math" w:hAnsi="Cambria Math"/>
                    <w:color w:val="000000"/>
                    <w:sz w:val="24"/>
                    <w:szCs w:val="24"/>
                    <w:shd w:val="clear" w:color="auto" w:fill="FFFFFF"/>
                    <w:lang w:val="en-US"/>
                  </w:rPr>
                  <m:t>X</m:t>
                </m:r>
              </m:e>
              <m:sub>
                <m:r>
                  <w:rPr>
                    <w:rFonts w:ascii="Cambria Math" w:hAnsi="Cambria Math"/>
                    <w:color w:val="000000"/>
                    <w:sz w:val="24"/>
                    <w:szCs w:val="24"/>
                    <w:shd w:val="clear" w:color="auto" w:fill="FFFFFF"/>
                    <w:lang w:val="en-US"/>
                  </w:rPr>
                  <m:t>i</m:t>
                </m:r>
              </m:sub>
            </m:sSub>
          </m:e>
          <m:sup>
            <m:r>
              <w:rPr>
                <w:rFonts w:ascii="Cambria Math" w:hAnsi="Cambria Math"/>
                <w:color w:val="000000"/>
                <w:sz w:val="24"/>
                <w:szCs w:val="24"/>
                <w:shd w:val="clear" w:color="auto" w:fill="FFFFFF"/>
                <w:lang w:val="en-US"/>
              </w:rPr>
              <m:t>family</m:t>
            </m:r>
          </m:sup>
        </m:sSup>
        <m:r>
          <w:rPr>
            <w:rFonts w:ascii="Cambria Math" w:hAnsi="Cambria Math"/>
            <w:color w:val="000000"/>
            <w:sz w:val="24"/>
            <w:szCs w:val="24"/>
            <w:shd w:val="clear" w:color="auto" w:fill="FFFFFF"/>
            <w:lang w:val="en-US"/>
          </w:rPr>
          <m:t>+σ</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N</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+γ</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D</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+δ</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A</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+ρ</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I</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r>
          <w:rPr>
            <w:rFonts w:ascii="Cambria Math" w:hAnsi="Cambria Math"/>
            <w:color w:val="000000"/>
            <w:sz w:val="24"/>
            <w:szCs w:val="24"/>
            <w:shd w:val="clear" w:color="auto" w:fill="FFFFFF"/>
            <w:lang w:val="en-US"/>
          </w:rPr>
          <m:t>+τ</m:t>
        </m:r>
        <m:sSubSup>
          <m:sSubSupPr>
            <m:ctrlPr>
              <w:rPr>
                <w:rFonts w:ascii="Cambria Math" w:hAnsi="Cambria Math"/>
                <w:i/>
                <w:color w:val="000000"/>
                <w:sz w:val="24"/>
                <w:szCs w:val="24"/>
                <w:shd w:val="clear" w:color="auto" w:fill="FFFFFF"/>
                <w:lang w:val="en-US"/>
              </w:rPr>
            </m:ctrlPr>
          </m:sSubSupPr>
          <m:e>
            <m:r>
              <w:rPr>
                <w:rFonts w:ascii="Cambria Math" w:hAnsi="Cambria Math"/>
                <w:color w:val="000000"/>
                <w:sz w:val="24"/>
                <w:szCs w:val="24"/>
                <w:shd w:val="clear" w:color="auto" w:fill="FFFFFF"/>
                <w:lang w:val="en-US"/>
              </w:rPr>
              <m:t>PG</m:t>
            </m:r>
          </m:e>
          <m:sub>
            <m:r>
              <w:rPr>
                <w:rFonts w:ascii="Cambria Math" w:hAnsi="Cambria Math"/>
                <w:color w:val="000000"/>
                <w:sz w:val="24"/>
                <w:szCs w:val="24"/>
                <w:shd w:val="clear" w:color="auto" w:fill="FFFFFF"/>
                <w:lang w:val="en-US"/>
              </w:rPr>
              <m:t>i</m:t>
            </m:r>
          </m:sub>
          <m:sup>
            <m:r>
              <w:rPr>
                <w:rFonts w:ascii="Cambria Math" w:hAnsi="Cambria Math"/>
                <w:color w:val="000000"/>
                <w:sz w:val="24"/>
                <w:szCs w:val="24"/>
                <w:shd w:val="clear" w:color="auto" w:fill="FFFFFF"/>
                <w:lang w:val="en-US"/>
              </w:rPr>
              <m:t>grad</m:t>
            </m:r>
          </m:sup>
        </m:sSubSup>
      </m:oMath>
      <w:r w:rsidR="00AF1317">
        <w:rPr>
          <w:rFonts w:ascii="Times New Roman" w:hAnsi="Times New Roman"/>
          <w:color w:val="000000"/>
          <w:sz w:val="24"/>
          <w:szCs w:val="24"/>
          <w:shd w:val="clear" w:color="auto" w:fill="FFFFFF"/>
          <w:lang w:val="en-US"/>
        </w:rPr>
        <w:t>)</w:t>
      </w:r>
      <w:r w:rsidR="00D91481">
        <w:rPr>
          <w:rFonts w:ascii="Times New Roman" w:hAnsi="Times New Roman"/>
          <w:color w:val="000000"/>
          <w:sz w:val="24"/>
          <w:szCs w:val="24"/>
          <w:shd w:val="clear" w:color="auto" w:fill="FFFFFF"/>
          <w:lang w:val="en-US"/>
        </w:rPr>
        <w:t xml:space="preserve"> </w:t>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r>
      <w:r w:rsidR="00AF1317">
        <w:rPr>
          <w:rFonts w:ascii="Times New Roman" w:hAnsi="Times New Roman"/>
          <w:color w:val="000000"/>
          <w:sz w:val="24"/>
          <w:szCs w:val="24"/>
          <w:shd w:val="clear" w:color="auto" w:fill="FFFFFF"/>
          <w:lang w:val="en-US"/>
        </w:rPr>
        <w:tab/>
        <w:t>(3)</w:t>
      </w:r>
    </w:p>
    <w:p w:rsidR="0077737A" w:rsidRDefault="00E61565" w:rsidP="00A97EA9">
      <w:pPr>
        <w:spacing w:after="240" w:line="36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If higher socio-economic status graduates</w:t>
      </w:r>
      <w:r w:rsidR="00AA6360">
        <w:rPr>
          <w:rFonts w:ascii="Times New Roman" w:hAnsi="Times New Roman"/>
          <w:color w:val="000000"/>
          <w:sz w:val="24"/>
          <w:szCs w:val="24"/>
          <w:lang w:eastAsia="en-GB"/>
        </w:rPr>
        <w:t xml:space="preserve"> disproportionately use networks to</w:t>
      </w:r>
      <w:r>
        <w:rPr>
          <w:rFonts w:ascii="Times New Roman" w:hAnsi="Times New Roman"/>
          <w:color w:val="000000"/>
          <w:sz w:val="24"/>
          <w:szCs w:val="24"/>
          <w:lang w:eastAsia="en-GB"/>
        </w:rPr>
        <w:t xml:space="preserve"> </w:t>
      </w:r>
      <w:r w:rsidR="00AA6360">
        <w:rPr>
          <w:rFonts w:ascii="Times New Roman" w:hAnsi="Times New Roman"/>
          <w:color w:val="000000"/>
          <w:sz w:val="24"/>
          <w:szCs w:val="24"/>
          <w:lang w:eastAsia="en-GB"/>
        </w:rPr>
        <w:t>secure</w:t>
      </w:r>
      <w:r>
        <w:rPr>
          <w:rFonts w:ascii="Times New Roman" w:hAnsi="Times New Roman"/>
          <w:color w:val="000000"/>
          <w:sz w:val="24"/>
          <w:szCs w:val="24"/>
          <w:lang w:eastAsia="en-GB"/>
        </w:rPr>
        <w:t xml:space="preserve"> top jobs then the inclusion of networks in the model should diminish the direct effect of family background. If network</w:t>
      </w:r>
      <w:r w:rsidR="00AA6360">
        <w:rPr>
          <w:rFonts w:ascii="Times New Roman" w:hAnsi="Times New Roman"/>
          <w:color w:val="000000"/>
          <w:sz w:val="24"/>
          <w:szCs w:val="24"/>
          <w:lang w:eastAsia="en-GB"/>
        </w:rPr>
        <w:t>s significantly predict entry</w:t>
      </w:r>
      <w:r>
        <w:rPr>
          <w:rFonts w:ascii="Times New Roman" w:hAnsi="Times New Roman"/>
          <w:color w:val="000000"/>
          <w:sz w:val="24"/>
          <w:szCs w:val="24"/>
          <w:lang w:eastAsia="en-GB"/>
        </w:rPr>
        <w:t xml:space="preserve"> to top jobs but the socio-economic gap remains intact</w:t>
      </w:r>
      <w:r w:rsidR="00932224">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then this indicates that </w:t>
      </w:r>
      <w:r w:rsidR="00932224">
        <w:rPr>
          <w:rFonts w:ascii="Times New Roman" w:hAnsi="Times New Roman"/>
          <w:color w:val="000000"/>
          <w:sz w:val="24"/>
          <w:szCs w:val="24"/>
          <w:lang w:eastAsia="en-GB"/>
        </w:rPr>
        <w:t>networks</w:t>
      </w:r>
      <w:r>
        <w:rPr>
          <w:rFonts w:ascii="Times New Roman" w:hAnsi="Times New Roman"/>
          <w:color w:val="000000"/>
          <w:sz w:val="24"/>
          <w:szCs w:val="24"/>
          <w:lang w:eastAsia="en-GB"/>
        </w:rPr>
        <w:t xml:space="preserve"> are being used </w:t>
      </w:r>
      <w:r w:rsidR="00932224">
        <w:rPr>
          <w:rFonts w:ascii="Times New Roman" w:hAnsi="Times New Roman"/>
          <w:color w:val="000000"/>
          <w:sz w:val="24"/>
          <w:szCs w:val="24"/>
          <w:lang w:eastAsia="en-GB"/>
        </w:rPr>
        <w:t>but cannot explain the socio-economic gradient in</w:t>
      </w:r>
      <w:r>
        <w:rPr>
          <w:rFonts w:ascii="Times New Roman" w:hAnsi="Times New Roman"/>
          <w:color w:val="000000"/>
          <w:sz w:val="24"/>
          <w:szCs w:val="24"/>
          <w:lang w:eastAsia="en-GB"/>
        </w:rPr>
        <w:t xml:space="preserve"> access. </w:t>
      </w:r>
    </w:p>
    <w:p w:rsidR="00F766AC" w:rsidRDefault="00F766AC" w:rsidP="00A97EA9">
      <w:pPr>
        <w:spacing w:after="240" w:line="360" w:lineRule="auto"/>
        <w:jc w:val="both"/>
        <w:rPr>
          <w:rFonts w:ascii="Times New Roman" w:hAnsi="Times New Roman"/>
          <w:color w:val="000000"/>
          <w:sz w:val="24"/>
          <w:szCs w:val="24"/>
          <w:lang w:eastAsia="en-GB"/>
        </w:rPr>
      </w:pPr>
    </w:p>
    <w:p w:rsidR="00C219E6" w:rsidRPr="00D87BB8" w:rsidRDefault="00C219E6" w:rsidP="003302DC">
      <w:pPr>
        <w:pStyle w:val="ListParagraph"/>
        <w:numPr>
          <w:ilvl w:val="0"/>
          <w:numId w:val="13"/>
        </w:numPr>
        <w:spacing w:after="240" w:line="360" w:lineRule="auto"/>
        <w:jc w:val="both"/>
        <w:rPr>
          <w:rFonts w:ascii="Times New Roman" w:hAnsi="Times New Roman"/>
          <w:b/>
          <w:szCs w:val="24"/>
          <w:u w:val="single"/>
        </w:rPr>
      </w:pPr>
      <w:r w:rsidRPr="00D87BB8">
        <w:rPr>
          <w:rFonts w:ascii="Times New Roman" w:hAnsi="Times New Roman"/>
          <w:b/>
          <w:szCs w:val="24"/>
        </w:rPr>
        <w:t>Results</w:t>
      </w:r>
    </w:p>
    <w:p w:rsidR="00B416B7" w:rsidRPr="00B44F71" w:rsidRDefault="00B416B7" w:rsidP="00A97EA9">
      <w:pPr>
        <w:pStyle w:val="Default"/>
        <w:spacing w:after="240" w:line="360" w:lineRule="auto"/>
        <w:jc w:val="both"/>
        <w:rPr>
          <w:rFonts w:ascii="Times New Roman" w:hAnsi="Times New Roman" w:cs="Times New Roman"/>
          <w:i/>
          <w:lang w:eastAsia="en-GB"/>
        </w:rPr>
      </w:pPr>
      <w:r>
        <w:rPr>
          <w:rFonts w:ascii="Times New Roman" w:hAnsi="Times New Roman" w:cs="Times New Roman"/>
          <w:i/>
          <w:lang w:eastAsia="en-GB"/>
        </w:rPr>
        <w:t>Family background and accessing the top jobs</w:t>
      </w:r>
    </w:p>
    <w:p w:rsidR="000F028C" w:rsidRDefault="00CD790F"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Column 1 of Table </w:t>
      </w:r>
      <w:r w:rsidR="009518A1">
        <w:rPr>
          <w:rFonts w:ascii="Times New Roman" w:hAnsi="Times New Roman"/>
          <w:szCs w:val="24"/>
        </w:rPr>
        <w:t>3</w:t>
      </w:r>
      <w:r>
        <w:rPr>
          <w:rFonts w:ascii="Times New Roman" w:hAnsi="Times New Roman"/>
          <w:szCs w:val="24"/>
        </w:rPr>
        <w:t xml:space="preserve"> presents the marginal effects </w:t>
      </w:r>
      <w:r w:rsidR="00DA0338">
        <w:rPr>
          <w:rFonts w:ascii="Times New Roman" w:hAnsi="Times New Roman"/>
          <w:szCs w:val="24"/>
        </w:rPr>
        <w:t>from</w:t>
      </w:r>
      <w:r>
        <w:rPr>
          <w:rFonts w:ascii="Times New Roman" w:hAnsi="Times New Roman"/>
          <w:szCs w:val="24"/>
        </w:rPr>
        <w:t xml:space="preserve"> </w:t>
      </w:r>
      <w:r w:rsidR="00DA0338">
        <w:rPr>
          <w:rFonts w:ascii="Times New Roman" w:hAnsi="Times New Roman"/>
          <w:szCs w:val="24"/>
        </w:rPr>
        <w:t>o</w:t>
      </w:r>
      <w:r>
        <w:rPr>
          <w:rFonts w:ascii="Times New Roman" w:hAnsi="Times New Roman"/>
          <w:szCs w:val="24"/>
        </w:rPr>
        <w:t xml:space="preserve">ur baseline </w:t>
      </w:r>
      <w:r w:rsidR="00DA0338">
        <w:rPr>
          <w:rFonts w:ascii="Times New Roman" w:hAnsi="Times New Roman"/>
          <w:szCs w:val="24"/>
        </w:rPr>
        <w:t xml:space="preserve">probit </w:t>
      </w:r>
      <w:r>
        <w:rPr>
          <w:rFonts w:ascii="Times New Roman" w:hAnsi="Times New Roman"/>
          <w:szCs w:val="24"/>
        </w:rPr>
        <w:t>model in equation (1) to show the raw socio-economic gradient in access to top jobs before conditioning on any further characteristics</w:t>
      </w:r>
      <w:r w:rsidR="00856D27">
        <w:rPr>
          <w:rStyle w:val="FootnoteReference"/>
          <w:rFonts w:ascii="Times New Roman" w:hAnsi="Times New Roman"/>
          <w:szCs w:val="24"/>
        </w:rPr>
        <w:footnoteReference w:id="14"/>
      </w:r>
      <w:r>
        <w:rPr>
          <w:rFonts w:ascii="Times New Roman" w:hAnsi="Times New Roman"/>
          <w:szCs w:val="24"/>
        </w:rPr>
        <w:t>. Graduates with parent</w:t>
      </w:r>
      <w:r w:rsidR="00932224">
        <w:rPr>
          <w:rFonts w:ascii="Times New Roman" w:hAnsi="Times New Roman"/>
          <w:szCs w:val="24"/>
        </w:rPr>
        <w:t>s</w:t>
      </w:r>
      <w:r>
        <w:rPr>
          <w:rFonts w:ascii="Times New Roman" w:hAnsi="Times New Roman"/>
          <w:szCs w:val="24"/>
        </w:rPr>
        <w:t xml:space="preserve"> in a </w:t>
      </w:r>
      <w:r w:rsidR="00DA0338">
        <w:rPr>
          <w:rFonts w:ascii="Times New Roman" w:hAnsi="Times New Roman"/>
          <w:szCs w:val="24"/>
        </w:rPr>
        <w:t>top NS-SEC occupation are 4.7</w:t>
      </w:r>
      <w:r>
        <w:rPr>
          <w:rFonts w:ascii="Times New Roman" w:hAnsi="Times New Roman"/>
          <w:szCs w:val="24"/>
        </w:rPr>
        <w:t xml:space="preserve"> percentage points more l</w:t>
      </w:r>
      <w:r w:rsidR="00DA0338">
        <w:rPr>
          <w:rFonts w:ascii="Times New Roman" w:hAnsi="Times New Roman"/>
          <w:szCs w:val="24"/>
        </w:rPr>
        <w:t>ikely to be working in a top NS-SEC occupation</w:t>
      </w:r>
      <w:r w:rsidR="00EA646B">
        <w:rPr>
          <w:rFonts w:ascii="Times New Roman" w:hAnsi="Times New Roman"/>
          <w:szCs w:val="24"/>
        </w:rPr>
        <w:t xml:space="preserve"> (baseline 30%)</w:t>
      </w:r>
      <w:r>
        <w:rPr>
          <w:rFonts w:ascii="Times New Roman" w:hAnsi="Times New Roman"/>
          <w:szCs w:val="24"/>
        </w:rPr>
        <w:t xml:space="preserve"> </w:t>
      </w:r>
      <w:r w:rsidR="00DA0338">
        <w:rPr>
          <w:rFonts w:ascii="Times New Roman" w:hAnsi="Times New Roman"/>
          <w:szCs w:val="24"/>
        </w:rPr>
        <w:t>compared to</w:t>
      </w:r>
      <w:r>
        <w:rPr>
          <w:rFonts w:ascii="Times New Roman" w:hAnsi="Times New Roman"/>
          <w:szCs w:val="24"/>
        </w:rPr>
        <w:t xml:space="preserve"> graduates whose parent</w:t>
      </w:r>
      <w:r w:rsidR="00932224">
        <w:rPr>
          <w:rFonts w:ascii="Times New Roman" w:hAnsi="Times New Roman"/>
          <w:szCs w:val="24"/>
        </w:rPr>
        <w:t>s work</w:t>
      </w:r>
      <w:r>
        <w:rPr>
          <w:rFonts w:ascii="Times New Roman" w:hAnsi="Times New Roman"/>
          <w:szCs w:val="24"/>
        </w:rPr>
        <w:t xml:space="preserve"> in a routine occupation. </w:t>
      </w:r>
      <w:r w:rsidR="00DA0338">
        <w:rPr>
          <w:rFonts w:ascii="Times New Roman" w:hAnsi="Times New Roman"/>
          <w:szCs w:val="24"/>
        </w:rPr>
        <w:t xml:space="preserve">There are no other significant effects by parental NS-SEC although graduates whose parents </w:t>
      </w:r>
      <w:r w:rsidR="00932224">
        <w:rPr>
          <w:rFonts w:ascii="Times New Roman" w:hAnsi="Times New Roman"/>
          <w:szCs w:val="24"/>
        </w:rPr>
        <w:t>a</w:t>
      </w:r>
      <w:r w:rsidR="00DA0338">
        <w:rPr>
          <w:rFonts w:ascii="Times New Roman" w:hAnsi="Times New Roman"/>
          <w:szCs w:val="24"/>
        </w:rPr>
        <w:t>re long-term unemployed are 17.2 percentage points less likely to work in a top NS-SEC occupation compared to graduates with routine occupation parents (note th</w:t>
      </w:r>
      <w:r w:rsidR="00E266A3">
        <w:rPr>
          <w:rFonts w:ascii="Times New Roman" w:hAnsi="Times New Roman"/>
          <w:szCs w:val="24"/>
        </w:rPr>
        <w:t xml:space="preserve">e </w:t>
      </w:r>
      <w:r w:rsidR="00C87681">
        <w:rPr>
          <w:rFonts w:ascii="Times New Roman" w:hAnsi="Times New Roman"/>
          <w:szCs w:val="24"/>
        </w:rPr>
        <w:t>unemployed parent</w:t>
      </w:r>
      <w:r w:rsidR="00DA0338">
        <w:rPr>
          <w:rFonts w:ascii="Times New Roman" w:hAnsi="Times New Roman"/>
          <w:szCs w:val="24"/>
        </w:rPr>
        <w:t xml:space="preserve"> group is very small)</w:t>
      </w:r>
      <w:r>
        <w:rPr>
          <w:rFonts w:ascii="Times New Roman" w:hAnsi="Times New Roman"/>
          <w:szCs w:val="24"/>
        </w:rPr>
        <w:t xml:space="preserve">. </w:t>
      </w:r>
    </w:p>
    <w:p w:rsidR="000F028C" w:rsidRDefault="000F028C" w:rsidP="00A97EA9">
      <w:pPr>
        <w:pStyle w:val="ListParagraph"/>
        <w:spacing w:after="240" w:line="360" w:lineRule="auto"/>
        <w:ind w:left="0"/>
        <w:jc w:val="both"/>
        <w:rPr>
          <w:rFonts w:ascii="Times New Roman" w:hAnsi="Times New Roman"/>
          <w:szCs w:val="24"/>
        </w:rPr>
      </w:pPr>
    </w:p>
    <w:p w:rsidR="00CD790F" w:rsidRDefault="00CD790F"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A socio-economic gradient also exists in terms of </w:t>
      </w:r>
      <w:r w:rsidR="00D1491B">
        <w:rPr>
          <w:rFonts w:ascii="Times New Roman" w:hAnsi="Times New Roman"/>
          <w:szCs w:val="24"/>
        </w:rPr>
        <w:t>the neighbourhood measure of HE</w:t>
      </w:r>
      <w:r>
        <w:rPr>
          <w:rFonts w:ascii="Times New Roman" w:hAnsi="Times New Roman"/>
          <w:szCs w:val="24"/>
        </w:rPr>
        <w:t xml:space="preserve"> participation. A graduate from a low participation area is </w:t>
      </w:r>
      <w:r w:rsidR="00DA0338">
        <w:rPr>
          <w:rFonts w:ascii="Times New Roman" w:hAnsi="Times New Roman"/>
          <w:szCs w:val="24"/>
        </w:rPr>
        <w:t>3.1</w:t>
      </w:r>
      <w:r>
        <w:rPr>
          <w:rFonts w:ascii="Times New Roman" w:hAnsi="Times New Roman"/>
          <w:szCs w:val="24"/>
        </w:rPr>
        <w:t xml:space="preserve"> percentage points less</w:t>
      </w:r>
      <w:r w:rsidR="00A059B3">
        <w:rPr>
          <w:rFonts w:ascii="Times New Roman" w:hAnsi="Times New Roman"/>
          <w:szCs w:val="24"/>
        </w:rPr>
        <w:t xml:space="preserve"> likely to enter a top job while a graduate from a high participation area is </w:t>
      </w:r>
      <w:r w:rsidR="00DA0338">
        <w:rPr>
          <w:rFonts w:ascii="Times New Roman" w:hAnsi="Times New Roman"/>
          <w:szCs w:val="24"/>
        </w:rPr>
        <w:t>3.9</w:t>
      </w:r>
      <w:r w:rsidR="00A059B3">
        <w:rPr>
          <w:rFonts w:ascii="Times New Roman" w:hAnsi="Times New Roman"/>
          <w:szCs w:val="24"/>
        </w:rPr>
        <w:t xml:space="preserve"> percentage points more likely to enter a top job than a graduate from an average participation area. The strongest gradient is observed </w:t>
      </w:r>
      <w:r w:rsidR="00D1491B">
        <w:rPr>
          <w:rFonts w:ascii="Times New Roman" w:hAnsi="Times New Roman"/>
          <w:szCs w:val="24"/>
        </w:rPr>
        <w:t>for</w:t>
      </w:r>
      <w:r w:rsidR="00A059B3">
        <w:rPr>
          <w:rFonts w:ascii="Times New Roman" w:hAnsi="Times New Roman"/>
          <w:szCs w:val="24"/>
        </w:rPr>
        <w:t xml:space="preserve"> those who attend</w:t>
      </w:r>
      <w:r w:rsidR="00932224">
        <w:rPr>
          <w:rFonts w:ascii="Times New Roman" w:hAnsi="Times New Roman"/>
          <w:szCs w:val="24"/>
        </w:rPr>
        <w:t>ed</w:t>
      </w:r>
      <w:r w:rsidR="00A059B3">
        <w:rPr>
          <w:rFonts w:ascii="Times New Roman" w:hAnsi="Times New Roman"/>
          <w:szCs w:val="24"/>
        </w:rPr>
        <w:t xml:space="preserve"> state schools compared to privately educated graduates. </w:t>
      </w:r>
      <w:r w:rsidR="00723E1E">
        <w:rPr>
          <w:rFonts w:ascii="Times New Roman" w:hAnsi="Times New Roman"/>
          <w:szCs w:val="24"/>
        </w:rPr>
        <w:t xml:space="preserve">Figure 1 plots the private school advantage for each of the five models. As seen in </w:t>
      </w:r>
      <w:r w:rsidR="00723E1E">
        <w:rPr>
          <w:rFonts w:ascii="Times New Roman" w:hAnsi="Times New Roman"/>
          <w:szCs w:val="24"/>
        </w:rPr>
        <w:lastRenderedPageBreak/>
        <w:t>the first bar, b</w:t>
      </w:r>
      <w:r w:rsidR="00A059B3">
        <w:rPr>
          <w:rFonts w:ascii="Times New Roman" w:hAnsi="Times New Roman"/>
          <w:szCs w:val="24"/>
        </w:rPr>
        <w:t xml:space="preserve">efore conditioning on any other characteristics, </w:t>
      </w:r>
      <w:r w:rsidR="000F028C">
        <w:rPr>
          <w:rFonts w:ascii="Times New Roman" w:hAnsi="Times New Roman"/>
          <w:szCs w:val="24"/>
        </w:rPr>
        <w:t>graduates</w:t>
      </w:r>
      <w:r w:rsidR="00A059B3">
        <w:rPr>
          <w:rFonts w:ascii="Times New Roman" w:hAnsi="Times New Roman"/>
          <w:szCs w:val="24"/>
        </w:rPr>
        <w:t xml:space="preserve"> who attend</w:t>
      </w:r>
      <w:r w:rsidR="00932224">
        <w:rPr>
          <w:rFonts w:ascii="Times New Roman" w:hAnsi="Times New Roman"/>
          <w:szCs w:val="24"/>
        </w:rPr>
        <w:t>ed</w:t>
      </w:r>
      <w:r w:rsidR="00A059B3">
        <w:rPr>
          <w:rFonts w:ascii="Times New Roman" w:hAnsi="Times New Roman"/>
          <w:szCs w:val="24"/>
        </w:rPr>
        <w:t xml:space="preserve"> a </w:t>
      </w:r>
      <w:r w:rsidR="00723E1E">
        <w:rPr>
          <w:rFonts w:ascii="Times New Roman" w:hAnsi="Times New Roman"/>
          <w:szCs w:val="24"/>
        </w:rPr>
        <w:t>private</w:t>
      </w:r>
      <w:r w:rsidR="00A059B3">
        <w:rPr>
          <w:rFonts w:ascii="Times New Roman" w:hAnsi="Times New Roman"/>
          <w:szCs w:val="24"/>
        </w:rPr>
        <w:t xml:space="preserve"> school are </w:t>
      </w:r>
      <w:r w:rsidR="00DA0338">
        <w:rPr>
          <w:rFonts w:ascii="Times New Roman" w:hAnsi="Times New Roman"/>
          <w:szCs w:val="24"/>
        </w:rPr>
        <w:t>9.5</w:t>
      </w:r>
      <w:r w:rsidR="00A059B3">
        <w:rPr>
          <w:rFonts w:ascii="Times New Roman" w:hAnsi="Times New Roman"/>
          <w:szCs w:val="24"/>
        </w:rPr>
        <w:t xml:space="preserve"> percentage points </w:t>
      </w:r>
      <w:r w:rsidR="00723E1E">
        <w:rPr>
          <w:rFonts w:ascii="Times New Roman" w:hAnsi="Times New Roman"/>
          <w:szCs w:val="24"/>
        </w:rPr>
        <w:t>more</w:t>
      </w:r>
      <w:r w:rsidR="00A059B3">
        <w:rPr>
          <w:rFonts w:ascii="Times New Roman" w:hAnsi="Times New Roman"/>
          <w:szCs w:val="24"/>
        </w:rPr>
        <w:t xml:space="preserve"> likely to enter a top job 3</w:t>
      </w:r>
      <w:r w:rsidR="00DA0338">
        <w:rPr>
          <w:rFonts w:ascii="Times New Roman" w:hAnsi="Times New Roman"/>
          <w:szCs w:val="24"/>
        </w:rPr>
        <w:t>.5</w:t>
      </w:r>
      <w:r w:rsidR="00A059B3">
        <w:rPr>
          <w:rFonts w:ascii="Times New Roman" w:hAnsi="Times New Roman"/>
          <w:szCs w:val="24"/>
        </w:rPr>
        <w:t xml:space="preserve"> years after graduation than a </w:t>
      </w:r>
      <w:r w:rsidR="00723E1E">
        <w:rPr>
          <w:rFonts w:ascii="Times New Roman" w:hAnsi="Times New Roman"/>
          <w:szCs w:val="24"/>
        </w:rPr>
        <w:t>state</w:t>
      </w:r>
      <w:r w:rsidR="00A059B3">
        <w:rPr>
          <w:rFonts w:ascii="Times New Roman" w:hAnsi="Times New Roman"/>
          <w:szCs w:val="24"/>
        </w:rPr>
        <w:t xml:space="preserve"> educated graduate. </w:t>
      </w:r>
    </w:p>
    <w:p w:rsidR="00D1491B" w:rsidRDefault="00D1491B" w:rsidP="00A97EA9">
      <w:pPr>
        <w:pStyle w:val="ListParagraph"/>
        <w:spacing w:after="240" w:line="360" w:lineRule="auto"/>
        <w:ind w:left="0"/>
        <w:jc w:val="both"/>
        <w:rPr>
          <w:rFonts w:ascii="Times New Roman" w:hAnsi="Times New Roman"/>
          <w:szCs w:val="24"/>
        </w:rPr>
      </w:pPr>
    </w:p>
    <w:p w:rsidR="0044136C" w:rsidRDefault="00DA0338" w:rsidP="00A97EA9">
      <w:pPr>
        <w:pStyle w:val="ListParagraph"/>
        <w:spacing w:after="240" w:line="360" w:lineRule="auto"/>
        <w:ind w:left="0"/>
        <w:jc w:val="both"/>
        <w:rPr>
          <w:rFonts w:ascii="Times New Roman" w:hAnsi="Times New Roman"/>
          <w:szCs w:val="24"/>
        </w:rPr>
      </w:pPr>
      <w:r>
        <w:rPr>
          <w:rFonts w:ascii="Times New Roman" w:hAnsi="Times New Roman"/>
          <w:szCs w:val="24"/>
        </w:rPr>
        <w:t>Columns 2 to 5</w:t>
      </w:r>
      <w:r w:rsidR="00A059B3">
        <w:rPr>
          <w:rFonts w:ascii="Times New Roman" w:hAnsi="Times New Roman"/>
          <w:szCs w:val="24"/>
        </w:rPr>
        <w:t xml:space="preserve"> </w:t>
      </w:r>
      <w:r w:rsidR="00932224">
        <w:rPr>
          <w:rFonts w:ascii="Times New Roman" w:hAnsi="Times New Roman"/>
          <w:szCs w:val="24"/>
        </w:rPr>
        <w:t>add</w:t>
      </w:r>
      <w:r w:rsidR="00A059B3">
        <w:rPr>
          <w:rFonts w:ascii="Times New Roman" w:hAnsi="Times New Roman"/>
          <w:szCs w:val="24"/>
        </w:rPr>
        <w:t xml:space="preserve"> controls as discussed in the previous section. Adding in</w:t>
      </w:r>
      <w:r w:rsidR="00932224">
        <w:rPr>
          <w:rFonts w:ascii="Times New Roman" w:hAnsi="Times New Roman"/>
          <w:szCs w:val="24"/>
        </w:rPr>
        <w:t xml:space="preserve"> demographic controls does </w:t>
      </w:r>
      <w:r w:rsidR="00A059B3">
        <w:rPr>
          <w:rFonts w:ascii="Times New Roman" w:hAnsi="Times New Roman"/>
          <w:szCs w:val="24"/>
        </w:rPr>
        <w:t>little to the estimate</w:t>
      </w:r>
      <w:r w:rsidR="00D1491B">
        <w:rPr>
          <w:rFonts w:ascii="Times New Roman" w:hAnsi="Times New Roman"/>
          <w:szCs w:val="24"/>
        </w:rPr>
        <w:t>d</w:t>
      </w:r>
      <w:r w:rsidR="00A059B3">
        <w:rPr>
          <w:rFonts w:ascii="Times New Roman" w:hAnsi="Times New Roman"/>
          <w:szCs w:val="24"/>
        </w:rPr>
        <w:t xml:space="preserve"> socio-economic gradients across the measures and in some cases accentuates the findings from the raw model. </w:t>
      </w:r>
      <w:r w:rsidR="00E266A3">
        <w:rPr>
          <w:rFonts w:ascii="Times New Roman" w:hAnsi="Times New Roman"/>
          <w:szCs w:val="24"/>
        </w:rPr>
        <w:t>However, w</w:t>
      </w:r>
      <w:r w:rsidR="00A059B3">
        <w:rPr>
          <w:rFonts w:ascii="Times New Roman" w:hAnsi="Times New Roman"/>
          <w:szCs w:val="24"/>
        </w:rPr>
        <w:t xml:space="preserve">hen conditioning on prior attainment, </w:t>
      </w:r>
      <w:r w:rsidR="00932224">
        <w:rPr>
          <w:rFonts w:ascii="Times New Roman" w:hAnsi="Times New Roman"/>
          <w:szCs w:val="24"/>
        </w:rPr>
        <w:t xml:space="preserve">degree </w:t>
      </w:r>
      <w:r w:rsidR="00A059B3">
        <w:rPr>
          <w:rFonts w:ascii="Times New Roman" w:hAnsi="Times New Roman"/>
          <w:szCs w:val="24"/>
        </w:rPr>
        <w:t>subject</w:t>
      </w:r>
      <w:r w:rsidR="00932224">
        <w:rPr>
          <w:rFonts w:ascii="Times New Roman" w:hAnsi="Times New Roman"/>
          <w:szCs w:val="24"/>
        </w:rPr>
        <w:t>,</w:t>
      </w:r>
      <w:r w:rsidR="00A059B3">
        <w:rPr>
          <w:rFonts w:ascii="Times New Roman" w:hAnsi="Times New Roman"/>
          <w:szCs w:val="24"/>
        </w:rPr>
        <w:t xml:space="preserve"> degree </w:t>
      </w:r>
      <w:r w:rsidR="00667D40">
        <w:rPr>
          <w:rFonts w:ascii="Times New Roman" w:hAnsi="Times New Roman"/>
          <w:szCs w:val="24"/>
        </w:rPr>
        <w:t>c</w:t>
      </w:r>
      <w:r w:rsidR="00A059B3">
        <w:rPr>
          <w:rFonts w:ascii="Times New Roman" w:hAnsi="Times New Roman"/>
          <w:szCs w:val="24"/>
        </w:rPr>
        <w:t>l</w:t>
      </w:r>
      <w:r w:rsidR="00667D40">
        <w:rPr>
          <w:rFonts w:ascii="Times New Roman" w:hAnsi="Times New Roman"/>
          <w:szCs w:val="24"/>
        </w:rPr>
        <w:t>assification</w:t>
      </w:r>
      <w:r w:rsidR="00932224">
        <w:rPr>
          <w:rFonts w:ascii="Times New Roman" w:hAnsi="Times New Roman"/>
          <w:szCs w:val="24"/>
        </w:rPr>
        <w:t xml:space="preserve"> and</w:t>
      </w:r>
      <w:r w:rsidR="00A059B3">
        <w:rPr>
          <w:rFonts w:ascii="Times New Roman" w:hAnsi="Times New Roman"/>
          <w:szCs w:val="24"/>
        </w:rPr>
        <w:t xml:space="preserve"> UCAS tariff point score, the socio-economic gradient is reduced </w:t>
      </w:r>
      <w:r w:rsidR="00E266A3">
        <w:rPr>
          <w:rFonts w:ascii="Times New Roman" w:hAnsi="Times New Roman"/>
          <w:szCs w:val="24"/>
        </w:rPr>
        <w:t>substantially</w:t>
      </w:r>
      <w:r w:rsidR="003302DC">
        <w:rPr>
          <w:rStyle w:val="FootnoteReference"/>
          <w:rFonts w:ascii="Times New Roman" w:hAnsi="Times New Roman"/>
          <w:szCs w:val="24"/>
        </w:rPr>
        <w:footnoteReference w:id="15"/>
      </w:r>
      <w:r w:rsidR="00A059B3">
        <w:rPr>
          <w:rFonts w:ascii="Times New Roman" w:hAnsi="Times New Roman"/>
          <w:szCs w:val="24"/>
        </w:rPr>
        <w:t xml:space="preserve">. </w:t>
      </w:r>
      <w:r w:rsidR="00D30FC2">
        <w:rPr>
          <w:rFonts w:ascii="Times New Roman" w:hAnsi="Times New Roman"/>
          <w:szCs w:val="24"/>
        </w:rPr>
        <w:t xml:space="preserve">This implies that a main mechanism by which socio-economic background impacts on access to a high status profession is via enhancing educational achievement (human capital). </w:t>
      </w:r>
      <w:r w:rsidR="00A059B3">
        <w:rPr>
          <w:rFonts w:ascii="Times New Roman" w:hAnsi="Times New Roman"/>
          <w:szCs w:val="24"/>
        </w:rPr>
        <w:t xml:space="preserve">There is little difference now in the probability of accessing a top job by </w:t>
      </w:r>
      <w:r w:rsidR="00932224">
        <w:rPr>
          <w:rFonts w:ascii="Times New Roman" w:hAnsi="Times New Roman"/>
          <w:szCs w:val="24"/>
        </w:rPr>
        <w:t>parental</w:t>
      </w:r>
      <w:r w:rsidR="00A059B3">
        <w:rPr>
          <w:rFonts w:ascii="Times New Roman" w:hAnsi="Times New Roman"/>
          <w:szCs w:val="24"/>
        </w:rPr>
        <w:t xml:space="preserve"> occupation. </w:t>
      </w:r>
      <w:r w:rsidR="0047365C">
        <w:rPr>
          <w:rFonts w:ascii="Times New Roman" w:hAnsi="Times New Roman"/>
          <w:szCs w:val="24"/>
        </w:rPr>
        <w:t xml:space="preserve">Living in a high participation neighbourhood is associated with an additional 2.2 percentage point advantage in accessing </w:t>
      </w:r>
      <w:r w:rsidR="00932224">
        <w:rPr>
          <w:rFonts w:ascii="Times New Roman" w:hAnsi="Times New Roman"/>
          <w:szCs w:val="24"/>
        </w:rPr>
        <w:t>a top job</w:t>
      </w:r>
      <w:r w:rsidR="0047365C">
        <w:rPr>
          <w:rFonts w:ascii="Times New Roman" w:hAnsi="Times New Roman"/>
          <w:szCs w:val="24"/>
        </w:rPr>
        <w:t xml:space="preserve">. </w:t>
      </w:r>
      <w:r w:rsidR="00932224">
        <w:rPr>
          <w:rFonts w:ascii="Times New Roman" w:hAnsi="Times New Roman"/>
          <w:szCs w:val="24"/>
        </w:rPr>
        <w:t>However,</w:t>
      </w:r>
      <w:r w:rsidR="0047365C">
        <w:rPr>
          <w:rFonts w:ascii="Times New Roman" w:hAnsi="Times New Roman"/>
          <w:szCs w:val="24"/>
        </w:rPr>
        <w:t xml:space="preserve"> </w:t>
      </w:r>
      <w:r w:rsidR="00E266A3">
        <w:rPr>
          <w:rFonts w:ascii="Times New Roman" w:hAnsi="Times New Roman"/>
          <w:szCs w:val="24"/>
        </w:rPr>
        <w:t xml:space="preserve">even </w:t>
      </w:r>
      <w:r w:rsidR="0047365C">
        <w:rPr>
          <w:rFonts w:ascii="Times New Roman" w:hAnsi="Times New Roman"/>
          <w:szCs w:val="24"/>
        </w:rPr>
        <w:t>when conditioning on prior attainment</w:t>
      </w:r>
      <w:r w:rsidR="00E266A3">
        <w:rPr>
          <w:rFonts w:ascii="Times New Roman" w:hAnsi="Times New Roman"/>
          <w:szCs w:val="24"/>
        </w:rPr>
        <w:t xml:space="preserve"> </w:t>
      </w:r>
      <w:r w:rsidR="0047365C">
        <w:rPr>
          <w:rFonts w:ascii="Times New Roman" w:hAnsi="Times New Roman"/>
          <w:szCs w:val="24"/>
        </w:rPr>
        <w:t xml:space="preserve">state school educated graduates </w:t>
      </w:r>
      <w:r w:rsidR="00E266A3">
        <w:rPr>
          <w:rFonts w:ascii="Times New Roman" w:hAnsi="Times New Roman"/>
          <w:szCs w:val="24"/>
        </w:rPr>
        <w:t xml:space="preserve">are </w:t>
      </w:r>
      <w:r w:rsidR="0047365C">
        <w:rPr>
          <w:rFonts w:ascii="Times New Roman" w:hAnsi="Times New Roman"/>
          <w:szCs w:val="24"/>
        </w:rPr>
        <w:t xml:space="preserve">still 6 </w:t>
      </w:r>
      <w:r w:rsidR="00A059B3">
        <w:rPr>
          <w:rFonts w:ascii="Times New Roman" w:hAnsi="Times New Roman"/>
          <w:szCs w:val="24"/>
        </w:rPr>
        <w:t>percentage points less likely to enter into a top job tha</w:t>
      </w:r>
      <w:r w:rsidR="00F5190C">
        <w:rPr>
          <w:rFonts w:ascii="Times New Roman" w:hAnsi="Times New Roman"/>
          <w:szCs w:val="24"/>
        </w:rPr>
        <w:t>n</w:t>
      </w:r>
      <w:r w:rsidR="00A059B3">
        <w:rPr>
          <w:rFonts w:ascii="Times New Roman" w:hAnsi="Times New Roman"/>
          <w:szCs w:val="24"/>
        </w:rPr>
        <w:t xml:space="preserve"> a comparable privately educated graduate, who took the same subject and achieved the same grade </w:t>
      </w:r>
      <w:r w:rsidR="00CD5CDF">
        <w:rPr>
          <w:rFonts w:ascii="Times New Roman" w:hAnsi="Times New Roman"/>
          <w:szCs w:val="24"/>
        </w:rPr>
        <w:t xml:space="preserve">in their degree (and A-levels). </w:t>
      </w:r>
    </w:p>
    <w:p w:rsidR="0044136C" w:rsidRDefault="0044136C" w:rsidP="00A97EA9">
      <w:pPr>
        <w:pStyle w:val="ListParagraph"/>
        <w:spacing w:after="240" w:line="360" w:lineRule="auto"/>
        <w:ind w:left="0"/>
        <w:jc w:val="both"/>
        <w:rPr>
          <w:rFonts w:ascii="Times New Roman" w:hAnsi="Times New Roman"/>
          <w:szCs w:val="24"/>
        </w:rPr>
      </w:pPr>
    </w:p>
    <w:p w:rsidR="00A059B3" w:rsidRDefault="0047365C"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Conditioning on </w:t>
      </w:r>
      <w:r w:rsidR="00E266A3">
        <w:rPr>
          <w:rFonts w:ascii="Times New Roman" w:hAnsi="Times New Roman"/>
          <w:szCs w:val="24"/>
        </w:rPr>
        <w:t xml:space="preserve">the higher education </w:t>
      </w:r>
      <w:r>
        <w:rPr>
          <w:rFonts w:ascii="Times New Roman" w:hAnsi="Times New Roman"/>
          <w:szCs w:val="24"/>
        </w:rPr>
        <w:t xml:space="preserve">institution </w:t>
      </w:r>
      <w:r w:rsidR="00E266A3">
        <w:rPr>
          <w:rFonts w:ascii="Times New Roman" w:hAnsi="Times New Roman"/>
          <w:szCs w:val="24"/>
        </w:rPr>
        <w:t xml:space="preserve">attended further </w:t>
      </w:r>
      <w:r>
        <w:rPr>
          <w:rFonts w:ascii="Times New Roman" w:hAnsi="Times New Roman"/>
          <w:szCs w:val="24"/>
        </w:rPr>
        <w:t xml:space="preserve">reduces this </w:t>
      </w:r>
      <w:r w:rsidR="00D30FC2">
        <w:rPr>
          <w:rFonts w:ascii="Times New Roman" w:hAnsi="Times New Roman"/>
          <w:szCs w:val="24"/>
        </w:rPr>
        <w:t xml:space="preserve">negative </w:t>
      </w:r>
      <w:r>
        <w:rPr>
          <w:rFonts w:ascii="Times New Roman" w:hAnsi="Times New Roman"/>
          <w:szCs w:val="24"/>
        </w:rPr>
        <w:t xml:space="preserve">state school gradient by 45%: </w:t>
      </w:r>
      <w:r w:rsidR="0044136C">
        <w:rPr>
          <w:rFonts w:ascii="Times New Roman" w:hAnsi="Times New Roman"/>
          <w:szCs w:val="24"/>
        </w:rPr>
        <w:t>o</w:t>
      </w:r>
      <w:r w:rsidR="00D30FC2">
        <w:rPr>
          <w:rFonts w:ascii="Times New Roman" w:hAnsi="Times New Roman"/>
          <w:szCs w:val="24"/>
        </w:rPr>
        <w:t xml:space="preserve">ne mechanism through which attending a private school increases a graduate’s chances of entering a high status occupation is therefore by increasing the chances that the student attends a high status university. It is less clear whether this is because private schools are better able to help their students secure places in high status universities or whether their students just have a stronger preference for attending such </w:t>
      </w:r>
      <w:r>
        <w:rPr>
          <w:rFonts w:ascii="Times New Roman" w:hAnsi="Times New Roman"/>
          <w:szCs w:val="24"/>
        </w:rPr>
        <w:t>institution</w:t>
      </w:r>
      <w:r w:rsidR="00D30FC2">
        <w:rPr>
          <w:rFonts w:ascii="Times New Roman" w:hAnsi="Times New Roman"/>
          <w:szCs w:val="24"/>
        </w:rPr>
        <w:t>s</w:t>
      </w:r>
      <w:r>
        <w:rPr>
          <w:rFonts w:ascii="Times New Roman" w:hAnsi="Times New Roman"/>
          <w:szCs w:val="24"/>
        </w:rPr>
        <w:t>. However, even when accounting for these different choices and</w:t>
      </w:r>
      <w:r w:rsidR="00A059B3">
        <w:rPr>
          <w:rFonts w:ascii="Times New Roman" w:hAnsi="Times New Roman"/>
          <w:szCs w:val="24"/>
        </w:rPr>
        <w:t xml:space="preserve"> condition</w:t>
      </w:r>
      <w:r>
        <w:rPr>
          <w:rFonts w:ascii="Times New Roman" w:hAnsi="Times New Roman"/>
          <w:szCs w:val="24"/>
        </w:rPr>
        <w:t>ing</w:t>
      </w:r>
      <w:r w:rsidR="00A059B3">
        <w:rPr>
          <w:rFonts w:ascii="Times New Roman" w:hAnsi="Times New Roman"/>
          <w:szCs w:val="24"/>
        </w:rPr>
        <w:t xml:space="preserve"> on post-graduate qualifications</w:t>
      </w:r>
      <w:r w:rsidR="003C4B87">
        <w:rPr>
          <w:rFonts w:ascii="Times New Roman" w:hAnsi="Times New Roman"/>
          <w:szCs w:val="24"/>
        </w:rPr>
        <w:t>, the final column of Figure 1 shows that</w:t>
      </w:r>
      <w:r w:rsidR="00723E1E">
        <w:rPr>
          <w:rFonts w:ascii="Times New Roman" w:hAnsi="Times New Roman"/>
          <w:szCs w:val="24"/>
        </w:rPr>
        <w:t xml:space="preserve"> p</w:t>
      </w:r>
      <w:r w:rsidR="00B45EBC">
        <w:rPr>
          <w:rFonts w:ascii="Times New Roman" w:hAnsi="Times New Roman"/>
          <w:szCs w:val="24"/>
        </w:rPr>
        <w:t>r</w:t>
      </w:r>
      <w:r>
        <w:rPr>
          <w:rFonts w:ascii="Times New Roman" w:hAnsi="Times New Roman"/>
          <w:szCs w:val="24"/>
        </w:rPr>
        <w:t xml:space="preserve">ivate school graduates are still 2.5 percentage points </w:t>
      </w:r>
      <w:r w:rsidR="001C791D">
        <w:rPr>
          <w:rFonts w:ascii="Times New Roman" w:hAnsi="Times New Roman"/>
          <w:szCs w:val="24"/>
        </w:rPr>
        <w:t xml:space="preserve">(baseline 30%) </w:t>
      </w:r>
      <w:r>
        <w:rPr>
          <w:rFonts w:ascii="Times New Roman" w:hAnsi="Times New Roman"/>
          <w:szCs w:val="24"/>
        </w:rPr>
        <w:t xml:space="preserve">more likely to access a top NS-SEC occupation than a comparable state school graduate who has parents from a similar NS-SEC group, is from the same type of neighbourhood, got similar A-levels, </w:t>
      </w:r>
      <w:r w:rsidR="00B45EBC">
        <w:rPr>
          <w:rFonts w:ascii="Times New Roman" w:hAnsi="Times New Roman"/>
          <w:szCs w:val="24"/>
        </w:rPr>
        <w:t>and has</w:t>
      </w:r>
      <w:r>
        <w:rPr>
          <w:rFonts w:ascii="Times New Roman" w:hAnsi="Times New Roman"/>
          <w:szCs w:val="24"/>
        </w:rPr>
        <w:t xml:space="preserve"> the same degree classification in the same subject from the same institution and </w:t>
      </w:r>
      <w:r w:rsidR="00E266A3">
        <w:rPr>
          <w:rFonts w:ascii="Times New Roman" w:hAnsi="Times New Roman"/>
          <w:szCs w:val="24"/>
        </w:rPr>
        <w:t xml:space="preserve">has obtained </w:t>
      </w:r>
      <w:r>
        <w:rPr>
          <w:rFonts w:ascii="Times New Roman" w:hAnsi="Times New Roman"/>
          <w:szCs w:val="24"/>
        </w:rPr>
        <w:t xml:space="preserve">similar post-graduate qualifications. </w:t>
      </w:r>
    </w:p>
    <w:p w:rsidR="00A97EA9" w:rsidRDefault="00A97EA9" w:rsidP="00A97EA9">
      <w:pPr>
        <w:pStyle w:val="ListParagraph"/>
        <w:spacing w:after="240" w:line="360" w:lineRule="auto"/>
        <w:ind w:left="0"/>
        <w:jc w:val="both"/>
        <w:rPr>
          <w:rFonts w:ascii="Times New Roman" w:hAnsi="Times New Roman"/>
          <w:szCs w:val="24"/>
        </w:rPr>
      </w:pPr>
    </w:p>
    <w:p w:rsidR="001E116E" w:rsidRDefault="00B45EBC" w:rsidP="00A97EA9">
      <w:pPr>
        <w:pStyle w:val="ListParagraph"/>
        <w:spacing w:after="240" w:line="360" w:lineRule="auto"/>
        <w:ind w:left="0"/>
        <w:jc w:val="both"/>
        <w:rPr>
          <w:rFonts w:ascii="Times New Roman" w:hAnsi="Times New Roman"/>
          <w:szCs w:val="24"/>
        </w:rPr>
      </w:pPr>
      <w:r>
        <w:rPr>
          <w:rFonts w:ascii="Times New Roman" w:hAnsi="Times New Roman"/>
          <w:szCs w:val="24"/>
        </w:rPr>
        <w:lastRenderedPageBreak/>
        <w:t xml:space="preserve">Interesting differences in access to high status occupations also exist within the top NS-SEC occupations. Table 4 presents the marginal effects from a multinomial logit model comparing access to </w:t>
      </w:r>
      <w:r w:rsidR="001E116E">
        <w:rPr>
          <w:rFonts w:ascii="Times New Roman" w:hAnsi="Times New Roman"/>
          <w:szCs w:val="24"/>
        </w:rPr>
        <w:t xml:space="preserve">a) </w:t>
      </w:r>
      <w:r>
        <w:rPr>
          <w:rFonts w:ascii="Times New Roman" w:hAnsi="Times New Roman"/>
          <w:szCs w:val="24"/>
        </w:rPr>
        <w:t xml:space="preserve">higher managerial, </w:t>
      </w:r>
      <w:r w:rsidR="001E116E">
        <w:rPr>
          <w:rFonts w:ascii="Times New Roman" w:hAnsi="Times New Roman"/>
          <w:szCs w:val="24"/>
        </w:rPr>
        <w:t xml:space="preserve">b) </w:t>
      </w:r>
      <w:r>
        <w:rPr>
          <w:rFonts w:ascii="Times New Roman" w:hAnsi="Times New Roman"/>
          <w:szCs w:val="24"/>
        </w:rPr>
        <w:t xml:space="preserve">business, </w:t>
      </w:r>
      <w:r w:rsidR="00124C46">
        <w:rPr>
          <w:rFonts w:ascii="Times New Roman" w:hAnsi="Times New Roman"/>
          <w:szCs w:val="24"/>
        </w:rPr>
        <w:t>medical and law professions</w:t>
      </w:r>
      <w:r>
        <w:rPr>
          <w:rFonts w:ascii="Times New Roman" w:hAnsi="Times New Roman"/>
          <w:szCs w:val="24"/>
        </w:rPr>
        <w:t xml:space="preserve"> and </w:t>
      </w:r>
      <w:r w:rsidR="001E116E">
        <w:rPr>
          <w:rFonts w:ascii="Times New Roman" w:hAnsi="Times New Roman"/>
          <w:szCs w:val="24"/>
        </w:rPr>
        <w:t xml:space="preserve">c) </w:t>
      </w:r>
      <w:r w:rsidR="00124C46">
        <w:rPr>
          <w:rFonts w:ascii="Times New Roman" w:hAnsi="Times New Roman"/>
          <w:szCs w:val="24"/>
        </w:rPr>
        <w:t>other professions</w:t>
      </w:r>
      <w:r w:rsidR="001E116E">
        <w:rPr>
          <w:rFonts w:ascii="Times New Roman" w:hAnsi="Times New Roman"/>
          <w:szCs w:val="24"/>
        </w:rPr>
        <w:t xml:space="preserve"> as compared</w:t>
      </w:r>
      <w:r>
        <w:rPr>
          <w:rFonts w:ascii="Times New Roman" w:hAnsi="Times New Roman"/>
          <w:szCs w:val="24"/>
        </w:rPr>
        <w:t xml:space="preserve"> to NS-SEC 2-7 jobs. </w:t>
      </w:r>
    </w:p>
    <w:p w:rsidR="001E116E" w:rsidRDefault="001E116E" w:rsidP="00A97EA9">
      <w:pPr>
        <w:pStyle w:val="ListParagraph"/>
        <w:spacing w:after="240" w:line="360" w:lineRule="auto"/>
        <w:ind w:left="0"/>
        <w:jc w:val="both"/>
        <w:rPr>
          <w:rFonts w:ascii="Times New Roman" w:hAnsi="Times New Roman"/>
          <w:szCs w:val="24"/>
        </w:rPr>
      </w:pPr>
    </w:p>
    <w:p w:rsidR="0044136C" w:rsidRDefault="00EA646B" w:rsidP="00A97EA9">
      <w:pPr>
        <w:pStyle w:val="ListParagraph"/>
        <w:spacing w:after="240" w:line="360" w:lineRule="auto"/>
        <w:ind w:left="0"/>
        <w:jc w:val="both"/>
        <w:rPr>
          <w:rFonts w:ascii="Times New Roman" w:hAnsi="Times New Roman"/>
          <w:szCs w:val="24"/>
        </w:rPr>
      </w:pPr>
      <w:r>
        <w:rPr>
          <w:rFonts w:ascii="Times New Roman" w:hAnsi="Times New Roman"/>
          <w:szCs w:val="24"/>
        </w:rPr>
        <w:t>Graduates with lower managerial parents are 1.8 percentage points more likely to work in a higher managerial occupation at 3.5 years after graduation than graduates with a parent working in a routine occupation</w:t>
      </w:r>
      <w:r w:rsidR="00E266A3">
        <w:rPr>
          <w:rFonts w:ascii="Times New Roman" w:hAnsi="Times New Roman"/>
          <w:szCs w:val="24"/>
        </w:rPr>
        <w:t xml:space="preserve"> (baseline 6.1% compared to NS-SEC 2-7 occupations)</w:t>
      </w:r>
      <w:r>
        <w:rPr>
          <w:rFonts w:ascii="Times New Roman" w:hAnsi="Times New Roman"/>
          <w:szCs w:val="24"/>
        </w:rPr>
        <w:t xml:space="preserve">. Those </w:t>
      </w:r>
      <w:r w:rsidR="00E266A3">
        <w:rPr>
          <w:rFonts w:ascii="Times New Roman" w:hAnsi="Times New Roman"/>
          <w:szCs w:val="24"/>
        </w:rPr>
        <w:t xml:space="preserve">living </w:t>
      </w:r>
      <w:r>
        <w:rPr>
          <w:rFonts w:ascii="Times New Roman" w:hAnsi="Times New Roman"/>
          <w:szCs w:val="24"/>
        </w:rPr>
        <w:t xml:space="preserve">in high participation neighbourhoods are 0.8 percentage points more likely to work in these top occupations </w:t>
      </w:r>
      <w:r w:rsidR="00E266A3">
        <w:rPr>
          <w:rFonts w:ascii="Times New Roman" w:hAnsi="Times New Roman"/>
          <w:szCs w:val="24"/>
        </w:rPr>
        <w:t xml:space="preserve">as compared to </w:t>
      </w:r>
      <w:r>
        <w:rPr>
          <w:rFonts w:ascii="Times New Roman" w:hAnsi="Times New Roman"/>
          <w:szCs w:val="24"/>
        </w:rPr>
        <w:t xml:space="preserve">graduates from an average participation neighbourhood. </w:t>
      </w:r>
      <w:r w:rsidR="00723E1E">
        <w:rPr>
          <w:rFonts w:ascii="Times New Roman" w:hAnsi="Times New Roman"/>
          <w:szCs w:val="24"/>
        </w:rPr>
        <w:t>Figure 2 illustrates that t</w:t>
      </w:r>
      <w:r>
        <w:rPr>
          <w:rFonts w:ascii="Times New Roman" w:hAnsi="Times New Roman"/>
          <w:szCs w:val="24"/>
        </w:rPr>
        <w:t>he private school advantage is large</w:t>
      </w:r>
      <w:r w:rsidR="00723E1E">
        <w:rPr>
          <w:rFonts w:ascii="Times New Roman" w:hAnsi="Times New Roman"/>
          <w:szCs w:val="24"/>
        </w:rPr>
        <w:t xml:space="preserve"> (blue bars)</w:t>
      </w:r>
      <w:r w:rsidR="00E266A3">
        <w:rPr>
          <w:rFonts w:ascii="Times New Roman" w:hAnsi="Times New Roman"/>
          <w:szCs w:val="24"/>
        </w:rPr>
        <w:t>,</w:t>
      </w:r>
      <w:r>
        <w:rPr>
          <w:rFonts w:ascii="Times New Roman" w:hAnsi="Times New Roman"/>
          <w:szCs w:val="24"/>
        </w:rPr>
        <w:t xml:space="preserve"> with privately educated graduates 3.4 percentage points more likely to work in a higher managerial position than state educated graduates from a baseline of 6.1%. When we condition on demographics and prior attainment the SES gradients remain intact suggest</w:t>
      </w:r>
      <w:r w:rsidR="00E266A3">
        <w:rPr>
          <w:rFonts w:ascii="Times New Roman" w:hAnsi="Times New Roman"/>
          <w:szCs w:val="24"/>
        </w:rPr>
        <w:t>ing</w:t>
      </w:r>
      <w:r>
        <w:rPr>
          <w:rFonts w:ascii="Times New Roman" w:hAnsi="Times New Roman"/>
          <w:szCs w:val="24"/>
        </w:rPr>
        <w:t xml:space="preserve"> that access to </w:t>
      </w:r>
      <w:r w:rsidR="00704E78">
        <w:rPr>
          <w:rFonts w:ascii="Times New Roman" w:hAnsi="Times New Roman"/>
          <w:szCs w:val="24"/>
        </w:rPr>
        <w:t>these particular occupations is</w:t>
      </w:r>
      <w:r>
        <w:rPr>
          <w:rFonts w:ascii="Times New Roman" w:hAnsi="Times New Roman"/>
          <w:szCs w:val="24"/>
        </w:rPr>
        <w:t xml:space="preserve"> not related to gender, ethnicity, age or </w:t>
      </w:r>
      <w:r w:rsidR="00E266A3">
        <w:rPr>
          <w:rFonts w:ascii="Times New Roman" w:hAnsi="Times New Roman"/>
          <w:szCs w:val="24"/>
        </w:rPr>
        <w:t xml:space="preserve">indeed </w:t>
      </w:r>
      <w:r>
        <w:rPr>
          <w:rFonts w:ascii="Times New Roman" w:hAnsi="Times New Roman"/>
          <w:szCs w:val="24"/>
        </w:rPr>
        <w:t xml:space="preserve">prior attainment. </w:t>
      </w:r>
    </w:p>
    <w:p w:rsidR="0044136C" w:rsidRDefault="0044136C" w:rsidP="00A97EA9">
      <w:pPr>
        <w:pStyle w:val="ListParagraph"/>
        <w:spacing w:after="240" w:line="360" w:lineRule="auto"/>
        <w:ind w:left="0"/>
        <w:jc w:val="both"/>
        <w:rPr>
          <w:rFonts w:ascii="Times New Roman" w:hAnsi="Times New Roman"/>
          <w:szCs w:val="24"/>
        </w:rPr>
      </w:pPr>
    </w:p>
    <w:p w:rsidR="00B45EBC" w:rsidRDefault="00EA646B"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Controlling for </w:t>
      </w:r>
      <w:r w:rsidR="00E266A3">
        <w:rPr>
          <w:rFonts w:ascii="Times New Roman" w:hAnsi="Times New Roman"/>
          <w:szCs w:val="24"/>
        </w:rPr>
        <w:t xml:space="preserve">HE </w:t>
      </w:r>
      <w:r>
        <w:rPr>
          <w:rFonts w:ascii="Times New Roman" w:hAnsi="Times New Roman"/>
          <w:szCs w:val="24"/>
        </w:rPr>
        <w:t xml:space="preserve">institution removes any differences by parental NS-SEC although an effect remains for neighbourhood participation and type of school attended. </w:t>
      </w:r>
      <w:r w:rsidR="001E116E">
        <w:rPr>
          <w:rFonts w:ascii="Times New Roman" w:hAnsi="Times New Roman"/>
          <w:szCs w:val="24"/>
        </w:rPr>
        <w:t xml:space="preserve">Controlling for postgraduate qualifications further reduces the </w:t>
      </w:r>
      <w:r w:rsidR="00704E78">
        <w:rPr>
          <w:rFonts w:ascii="Times New Roman" w:hAnsi="Times New Roman"/>
          <w:szCs w:val="24"/>
        </w:rPr>
        <w:t>socio-economic gradient</w:t>
      </w:r>
      <w:r w:rsidR="001E116E">
        <w:rPr>
          <w:rFonts w:ascii="Times New Roman" w:hAnsi="Times New Roman"/>
          <w:szCs w:val="24"/>
        </w:rPr>
        <w:t>. Comparing a privately educated and state educated graduate from the same type o</w:t>
      </w:r>
      <w:r>
        <w:rPr>
          <w:rFonts w:ascii="Times New Roman" w:hAnsi="Times New Roman"/>
          <w:szCs w:val="24"/>
        </w:rPr>
        <w:t>f family and neighbourhood</w:t>
      </w:r>
      <w:r w:rsidR="00E266A3">
        <w:rPr>
          <w:rFonts w:ascii="Times New Roman" w:hAnsi="Times New Roman"/>
          <w:szCs w:val="24"/>
        </w:rPr>
        <w:t>,</w:t>
      </w:r>
      <w:r>
        <w:rPr>
          <w:rFonts w:ascii="Times New Roman" w:hAnsi="Times New Roman"/>
          <w:szCs w:val="24"/>
        </w:rPr>
        <w:t xml:space="preserve"> with the same prior attainment</w:t>
      </w:r>
      <w:r w:rsidR="00E266A3">
        <w:rPr>
          <w:rFonts w:ascii="Times New Roman" w:hAnsi="Times New Roman"/>
          <w:szCs w:val="24"/>
        </w:rPr>
        <w:t>,</w:t>
      </w:r>
      <w:r>
        <w:rPr>
          <w:rFonts w:ascii="Times New Roman" w:hAnsi="Times New Roman"/>
          <w:szCs w:val="24"/>
        </w:rPr>
        <w:t xml:space="preserve"> from the same institution</w:t>
      </w:r>
      <w:r w:rsidR="00927CD9">
        <w:rPr>
          <w:rFonts w:ascii="Times New Roman" w:hAnsi="Times New Roman"/>
          <w:szCs w:val="24"/>
        </w:rPr>
        <w:t>,</w:t>
      </w:r>
      <w:r>
        <w:rPr>
          <w:rFonts w:ascii="Times New Roman" w:hAnsi="Times New Roman"/>
          <w:szCs w:val="24"/>
        </w:rPr>
        <w:t xml:space="preserve"> with the same post-graduate qualifications, the privately educated graduate has a</w:t>
      </w:r>
      <w:r w:rsidR="00C87681">
        <w:rPr>
          <w:rFonts w:ascii="Times New Roman" w:hAnsi="Times New Roman"/>
          <w:szCs w:val="24"/>
        </w:rPr>
        <w:t xml:space="preserve"> </w:t>
      </w:r>
      <w:r w:rsidR="00D30FC2">
        <w:rPr>
          <w:rFonts w:ascii="Times New Roman" w:hAnsi="Times New Roman"/>
          <w:szCs w:val="24"/>
        </w:rPr>
        <w:t>small</w:t>
      </w:r>
      <w:r w:rsidR="00124C46">
        <w:rPr>
          <w:rFonts w:ascii="Times New Roman" w:hAnsi="Times New Roman"/>
          <w:szCs w:val="24"/>
        </w:rPr>
        <w:t xml:space="preserve"> (1 percentage point from a baseline 6.1%) but statistically significant </w:t>
      </w:r>
      <w:r>
        <w:rPr>
          <w:rFonts w:ascii="Times New Roman" w:hAnsi="Times New Roman"/>
          <w:szCs w:val="24"/>
        </w:rPr>
        <w:t xml:space="preserve">advantage over the state school graduate. </w:t>
      </w:r>
      <w:r w:rsidR="001E116E">
        <w:rPr>
          <w:rFonts w:ascii="Times New Roman" w:hAnsi="Times New Roman"/>
          <w:szCs w:val="24"/>
        </w:rPr>
        <w:t>The neighbourhood HE participation rate and parental SES measures are statistically insignificant.</w:t>
      </w:r>
    </w:p>
    <w:p w:rsidR="00EA646B" w:rsidRDefault="00EA646B" w:rsidP="00A97EA9">
      <w:pPr>
        <w:pStyle w:val="ListParagraph"/>
        <w:spacing w:after="240" w:line="360" w:lineRule="auto"/>
        <w:ind w:left="0"/>
        <w:jc w:val="both"/>
        <w:rPr>
          <w:rFonts w:ascii="Times New Roman" w:hAnsi="Times New Roman"/>
          <w:szCs w:val="24"/>
        </w:rPr>
      </w:pPr>
    </w:p>
    <w:p w:rsidR="00EA646B" w:rsidRDefault="00EA646B"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A similar picture emerges when considering access to </w:t>
      </w:r>
      <w:r w:rsidR="00124C46">
        <w:rPr>
          <w:rFonts w:ascii="Times New Roman" w:hAnsi="Times New Roman"/>
          <w:szCs w:val="24"/>
        </w:rPr>
        <w:t>business, medical and law professions</w:t>
      </w:r>
      <w:r>
        <w:rPr>
          <w:rFonts w:ascii="Times New Roman" w:hAnsi="Times New Roman"/>
          <w:szCs w:val="24"/>
        </w:rPr>
        <w:t xml:space="preserve"> although </w:t>
      </w:r>
      <w:r w:rsidR="00DD2775">
        <w:rPr>
          <w:rFonts w:ascii="Times New Roman" w:hAnsi="Times New Roman"/>
          <w:szCs w:val="24"/>
        </w:rPr>
        <w:t>for this grouping the raw private school association is slightly larger (6.2 percentage point advantage on a baseline of 10.5%) and more of the background effect can be accounted for by prior attainment</w:t>
      </w:r>
      <w:r w:rsidR="00723E1E">
        <w:rPr>
          <w:rFonts w:ascii="Times New Roman" w:hAnsi="Times New Roman"/>
          <w:szCs w:val="24"/>
        </w:rPr>
        <w:t xml:space="preserve"> (Figure 2 – red bars)</w:t>
      </w:r>
      <w:r w:rsidR="00DD2775">
        <w:rPr>
          <w:rFonts w:ascii="Times New Roman" w:hAnsi="Times New Roman"/>
          <w:szCs w:val="24"/>
        </w:rPr>
        <w:t>. The</w:t>
      </w:r>
      <w:r w:rsidR="001E116E">
        <w:rPr>
          <w:rFonts w:ascii="Times New Roman" w:hAnsi="Times New Roman"/>
          <w:szCs w:val="24"/>
        </w:rPr>
        <w:t xml:space="preserve"> </w:t>
      </w:r>
      <w:r w:rsidR="00DD2775">
        <w:rPr>
          <w:rFonts w:ascii="Times New Roman" w:hAnsi="Times New Roman"/>
          <w:szCs w:val="24"/>
        </w:rPr>
        <w:t xml:space="preserve">significant association between </w:t>
      </w:r>
      <w:r w:rsidR="00927CD9">
        <w:rPr>
          <w:rFonts w:ascii="Times New Roman" w:hAnsi="Times New Roman"/>
          <w:szCs w:val="24"/>
        </w:rPr>
        <w:t>having</w:t>
      </w:r>
      <w:r w:rsidR="00DD2775">
        <w:rPr>
          <w:rFonts w:ascii="Times New Roman" w:hAnsi="Times New Roman"/>
          <w:szCs w:val="24"/>
        </w:rPr>
        <w:t xml:space="preserve"> parents in the top NS-SEC and entering a business, legal or life-science profession</w:t>
      </w:r>
      <w:r w:rsidR="00927CD9">
        <w:rPr>
          <w:rFonts w:ascii="Times New Roman" w:hAnsi="Times New Roman"/>
          <w:szCs w:val="24"/>
        </w:rPr>
        <w:t xml:space="preserve"> disappears once we control for </w:t>
      </w:r>
      <w:r w:rsidR="00DD2775">
        <w:rPr>
          <w:rFonts w:ascii="Times New Roman" w:hAnsi="Times New Roman"/>
          <w:szCs w:val="24"/>
        </w:rPr>
        <w:t xml:space="preserve">prior attainment. </w:t>
      </w:r>
      <w:r w:rsidR="00704E78">
        <w:rPr>
          <w:rFonts w:ascii="Times New Roman" w:hAnsi="Times New Roman"/>
          <w:szCs w:val="24"/>
        </w:rPr>
        <w:t>E</w:t>
      </w:r>
      <w:r w:rsidR="00DD2775">
        <w:rPr>
          <w:rFonts w:ascii="Times New Roman" w:hAnsi="Times New Roman"/>
          <w:szCs w:val="24"/>
        </w:rPr>
        <w:t>ven when conditioning on</w:t>
      </w:r>
      <w:r w:rsidR="00927CD9">
        <w:rPr>
          <w:rFonts w:ascii="Times New Roman" w:hAnsi="Times New Roman"/>
          <w:szCs w:val="24"/>
        </w:rPr>
        <w:t xml:space="preserve"> all of these variables, including prior attainment, </w:t>
      </w:r>
      <w:r w:rsidR="00704E78">
        <w:rPr>
          <w:rFonts w:ascii="Times New Roman" w:hAnsi="Times New Roman"/>
          <w:szCs w:val="24"/>
        </w:rPr>
        <w:t xml:space="preserve">degree subject and </w:t>
      </w:r>
      <w:r w:rsidR="00927CD9">
        <w:rPr>
          <w:rFonts w:ascii="Times New Roman" w:hAnsi="Times New Roman"/>
          <w:szCs w:val="24"/>
        </w:rPr>
        <w:t>institution and</w:t>
      </w:r>
      <w:r w:rsidR="00DD2775">
        <w:rPr>
          <w:rFonts w:ascii="Times New Roman" w:hAnsi="Times New Roman"/>
          <w:szCs w:val="24"/>
        </w:rPr>
        <w:t xml:space="preserve"> </w:t>
      </w:r>
      <w:r w:rsidR="00704E78">
        <w:rPr>
          <w:rFonts w:ascii="Times New Roman" w:hAnsi="Times New Roman"/>
          <w:szCs w:val="24"/>
        </w:rPr>
        <w:t>postgraduate</w:t>
      </w:r>
      <w:r w:rsidR="00DD2775">
        <w:rPr>
          <w:rFonts w:ascii="Times New Roman" w:hAnsi="Times New Roman"/>
          <w:szCs w:val="24"/>
        </w:rPr>
        <w:t xml:space="preserve"> qualifications, there is still </w:t>
      </w:r>
      <w:r w:rsidR="00D30FC2">
        <w:rPr>
          <w:rFonts w:ascii="Times New Roman" w:hAnsi="Times New Roman"/>
          <w:szCs w:val="24"/>
        </w:rPr>
        <w:t>small</w:t>
      </w:r>
      <w:r w:rsidR="00124C46">
        <w:rPr>
          <w:rFonts w:ascii="Times New Roman" w:hAnsi="Times New Roman"/>
          <w:szCs w:val="24"/>
        </w:rPr>
        <w:t xml:space="preserve"> but significant</w:t>
      </w:r>
      <w:r w:rsidR="00DD2775">
        <w:rPr>
          <w:rFonts w:ascii="Times New Roman" w:hAnsi="Times New Roman"/>
          <w:szCs w:val="24"/>
        </w:rPr>
        <w:t xml:space="preserve"> advantage </w:t>
      </w:r>
      <w:r w:rsidR="00927CD9">
        <w:rPr>
          <w:rFonts w:ascii="Times New Roman" w:hAnsi="Times New Roman"/>
          <w:szCs w:val="24"/>
        </w:rPr>
        <w:t>from a</w:t>
      </w:r>
      <w:r w:rsidR="00DD2775">
        <w:rPr>
          <w:rFonts w:ascii="Times New Roman" w:hAnsi="Times New Roman"/>
          <w:szCs w:val="24"/>
        </w:rPr>
        <w:t xml:space="preserve"> private school education</w:t>
      </w:r>
      <w:r w:rsidR="00927CD9">
        <w:rPr>
          <w:rFonts w:ascii="Times New Roman" w:hAnsi="Times New Roman"/>
          <w:szCs w:val="24"/>
        </w:rPr>
        <w:t xml:space="preserve">: </w:t>
      </w:r>
      <w:r w:rsidR="00DD2775">
        <w:rPr>
          <w:rFonts w:ascii="Times New Roman" w:hAnsi="Times New Roman"/>
          <w:szCs w:val="24"/>
        </w:rPr>
        <w:t xml:space="preserve">privately </w:t>
      </w:r>
      <w:r w:rsidR="00DD2775">
        <w:rPr>
          <w:rFonts w:ascii="Times New Roman" w:hAnsi="Times New Roman"/>
          <w:szCs w:val="24"/>
        </w:rPr>
        <w:lastRenderedPageBreak/>
        <w:t xml:space="preserve">educated graduates </w:t>
      </w:r>
      <w:r w:rsidR="00927CD9">
        <w:rPr>
          <w:rFonts w:ascii="Times New Roman" w:hAnsi="Times New Roman"/>
          <w:szCs w:val="24"/>
        </w:rPr>
        <w:t xml:space="preserve">are </w:t>
      </w:r>
      <w:r w:rsidR="00DD2775">
        <w:rPr>
          <w:rFonts w:ascii="Times New Roman" w:hAnsi="Times New Roman"/>
          <w:szCs w:val="24"/>
        </w:rPr>
        <w:t xml:space="preserve">0.3 percentage points more likely to work in these occupations than a comparable state educated graduate. </w:t>
      </w:r>
    </w:p>
    <w:p w:rsidR="00DD2775" w:rsidRDefault="00DD2775" w:rsidP="00A97EA9">
      <w:pPr>
        <w:pStyle w:val="ListParagraph"/>
        <w:spacing w:after="240" w:line="360" w:lineRule="auto"/>
        <w:ind w:left="0"/>
        <w:jc w:val="both"/>
        <w:rPr>
          <w:rFonts w:ascii="Times New Roman" w:hAnsi="Times New Roman"/>
          <w:szCs w:val="24"/>
        </w:rPr>
      </w:pPr>
    </w:p>
    <w:p w:rsidR="0077737A" w:rsidRPr="00CD790F" w:rsidRDefault="00341904" w:rsidP="00A97EA9">
      <w:pPr>
        <w:pStyle w:val="ListParagraph"/>
        <w:spacing w:after="240" w:line="360" w:lineRule="auto"/>
        <w:ind w:left="0"/>
        <w:jc w:val="both"/>
        <w:rPr>
          <w:rFonts w:ascii="Times New Roman" w:hAnsi="Times New Roman"/>
          <w:szCs w:val="24"/>
        </w:rPr>
      </w:pPr>
      <w:r>
        <w:rPr>
          <w:rFonts w:ascii="Times New Roman" w:hAnsi="Times New Roman"/>
          <w:szCs w:val="24"/>
        </w:rPr>
        <w:t>I</w:t>
      </w:r>
      <w:r w:rsidR="00302603">
        <w:rPr>
          <w:rFonts w:ascii="Times New Roman" w:hAnsi="Times New Roman"/>
          <w:szCs w:val="24"/>
        </w:rPr>
        <w:t xml:space="preserve">f we focus on </w:t>
      </w:r>
      <w:r w:rsidR="00124C46">
        <w:rPr>
          <w:rFonts w:ascii="Times New Roman" w:hAnsi="Times New Roman"/>
          <w:szCs w:val="24"/>
        </w:rPr>
        <w:t>other professions</w:t>
      </w:r>
      <w:r w:rsidR="00302603">
        <w:rPr>
          <w:rFonts w:ascii="Times New Roman" w:hAnsi="Times New Roman"/>
          <w:szCs w:val="24"/>
        </w:rPr>
        <w:t>,</w:t>
      </w:r>
      <w:r w:rsidR="00121334">
        <w:rPr>
          <w:rFonts w:ascii="Times New Roman" w:hAnsi="Times New Roman"/>
          <w:szCs w:val="24"/>
        </w:rPr>
        <w:t xml:space="preserve"> the private school advantage is reversed</w:t>
      </w:r>
      <w:r w:rsidR="00723E1E">
        <w:rPr>
          <w:rFonts w:ascii="Times New Roman" w:hAnsi="Times New Roman"/>
          <w:szCs w:val="24"/>
        </w:rPr>
        <w:t xml:space="preserve"> as seen in Figure 2 (green bars)</w:t>
      </w:r>
      <w:r w:rsidR="00121334">
        <w:rPr>
          <w:rFonts w:ascii="Times New Roman" w:hAnsi="Times New Roman"/>
          <w:szCs w:val="24"/>
        </w:rPr>
        <w:t xml:space="preserve">. Privately educated graduates are 1.7 percentage points </w:t>
      </w:r>
      <w:r w:rsidR="00927CD9">
        <w:rPr>
          <w:rFonts w:ascii="Times New Roman" w:hAnsi="Times New Roman"/>
          <w:szCs w:val="24"/>
        </w:rPr>
        <w:t xml:space="preserve">less likely than state educated graduates to work in these occupations </w:t>
      </w:r>
      <w:r w:rsidR="00121334">
        <w:rPr>
          <w:rFonts w:ascii="Times New Roman" w:hAnsi="Times New Roman"/>
          <w:szCs w:val="24"/>
        </w:rPr>
        <w:t xml:space="preserve">in the raw model and 1.1 percentage points </w:t>
      </w:r>
      <w:r w:rsidR="00927CD9">
        <w:rPr>
          <w:rFonts w:ascii="Times New Roman" w:hAnsi="Times New Roman"/>
          <w:szCs w:val="24"/>
        </w:rPr>
        <w:t xml:space="preserve">less likely </w:t>
      </w:r>
      <w:r w:rsidR="00121334">
        <w:rPr>
          <w:rFonts w:ascii="Times New Roman" w:hAnsi="Times New Roman"/>
          <w:szCs w:val="24"/>
        </w:rPr>
        <w:t xml:space="preserve">in the full model (baseline 13.3%). This finding is perhaps surprising although it could indicate </w:t>
      </w:r>
      <w:r w:rsidR="00D30FC2">
        <w:rPr>
          <w:rFonts w:ascii="Times New Roman" w:hAnsi="Times New Roman"/>
          <w:szCs w:val="24"/>
        </w:rPr>
        <w:t>different preferences between state and privately educated students. T</w:t>
      </w:r>
      <w:r w:rsidR="00121334">
        <w:rPr>
          <w:rFonts w:ascii="Times New Roman" w:hAnsi="Times New Roman"/>
          <w:szCs w:val="24"/>
        </w:rPr>
        <w:t xml:space="preserve">op state school graduates </w:t>
      </w:r>
      <w:r w:rsidR="00D30FC2">
        <w:rPr>
          <w:rFonts w:ascii="Times New Roman" w:hAnsi="Times New Roman"/>
          <w:szCs w:val="24"/>
        </w:rPr>
        <w:t xml:space="preserve">may choose to </w:t>
      </w:r>
      <w:r w:rsidR="00121334">
        <w:rPr>
          <w:rFonts w:ascii="Times New Roman" w:hAnsi="Times New Roman"/>
          <w:szCs w:val="24"/>
        </w:rPr>
        <w:t>select into alternative types of careers compared to privately educated graduates or</w:t>
      </w:r>
      <w:r w:rsidR="00927CD9">
        <w:rPr>
          <w:rFonts w:ascii="Times New Roman" w:hAnsi="Times New Roman"/>
          <w:szCs w:val="24"/>
        </w:rPr>
        <w:t>,</w:t>
      </w:r>
      <w:r w:rsidR="00121334">
        <w:rPr>
          <w:rFonts w:ascii="Times New Roman" w:hAnsi="Times New Roman"/>
          <w:szCs w:val="24"/>
        </w:rPr>
        <w:t xml:space="preserve"> given the increased likelihood of private school graduates accessing top managerial and </w:t>
      </w:r>
      <w:r w:rsidR="00124C46">
        <w:rPr>
          <w:rFonts w:ascii="Times New Roman" w:hAnsi="Times New Roman"/>
          <w:szCs w:val="24"/>
        </w:rPr>
        <w:t>business, medical and law professions,</w:t>
      </w:r>
      <w:r w:rsidR="00121334">
        <w:rPr>
          <w:rFonts w:ascii="Times New Roman" w:hAnsi="Times New Roman"/>
          <w:szCs w:val="24"/>
        </w:rPr>
        <w:t xml:space="preserve"> state school graduates </w:t>
      </w:r>
      <w:r w:rsidR="00124C46">
        <w:rPr>
          <w:rFonts w:ascii="Times New Roman" w:hAnsi="Times New Roman"/>
          <w:szCs w:val="24"/>
        </w:rPr>
        <w:t>may be</w:t>
      </w:r>
      <w:r w:rsidR="00121334">
        <w:rPr>
          <w:rFonts w:ascii="Times New Roman" w:hAnsi="Times New Roman"/>
          <w:szCs w:val="24"/>
        </w:rPr>
        <w:t xml:space="preserve"> sorted into these other professions.</w:t>
      </w:r>
    </w:p>
    <w:p w:rsidR="00B416B7" w:rsidRPr="00B44F71" w:rsidRDefault="00B416B7" w:rsidP="00A97EA9">
      <w:pPr>
        <w:spacing w:after="240" w:line="360" w:lineRule="auto"/>
        <w:jc w:val="both"/>
        <w:rPr>
          <w:rFonts w:ascii="Times New Roman" w:eastAsia="Times New Roman" w:hAnsi="Times New Roman"/>
          <w:i/>
          <w:sz w:val="24"/>
          <w:szCs w:val="24"/>
        </w:rPr>
      </w:pPr>
      <w:r>
        <w:rPr>
          <w:rFonts w:ascii="Times New Roman" w:eastAsia="Times New Roman" w:hAnsi="Times New Roman"/>
          <w:i/>
          <w:sz w:val="24"/>
          <w:szCs w:val="24"/>
        </w:rPr>
        <w:t>The role of networks in accessing top jobs</w:t>
      </w:r>
    </w:p>
    <w:p w:rsidR="004849EA" w:rsidRDefault="004849EA" w:rsidP="004849EA">
      <w:pPr>
        <w:pStyle w:val="ListParagraph"/>
        <w:spacing w:after="240" w:line="360" w:lineRule="auto"/>
        <w:ind w:left="0"/>
        <w:jc w:val="both"/>
        <w:rPr>
          <w:rFonts w:ascii="Times New Roman" w:hAnsi="Times New Roman"/>
          <w:szCs w:val="24"/>
        </w:rPr>
      </w:pPr>
      <w:r>
        <w:rPr>
          <w:rFonts w:ascii="Times New Roman" w:hAnsi="Times New Roman"/>
          <w:szCs w:val="24"/>
        </w:rPr>
        <w:t>We explore one potential channel through which graduates from higher status families may gain preferential access to these occupations, namely the use of networks. Column 1 of Table 5 presents the relationship between socio-economic status and entering a top NS-SEC job before controlling for the use of networks (reproducing the last column of Table 3) whilst column 2 conditions on the use of networks (equation 3), both conditioning on the full range of controls. It is clear that the residual socio-economic gap in accessing top jobs remains unchanged whether or not the use of networks is controlled for. Columns 3-8 repeat this analysis from multinomial logit models of the more detailed occupation groupings from Table 4. The inclusion of the network variable has very little impact on the residual relationship between family background and entering a top occupation. This suggests that, when conditioning on the full range of controls, the use of networks is orthogonal to socio-economic status and not the main driver of these large residual socio-economic gaps in accessing top jobs</w:t>
      </w:r>
      <w:r>
        <w:rPr>
          <w:rStyle w:val="FootnoteReference"/>
          <w:rFonts w:ascii="Times New Roman" w:hAnsi="Times New Roman"/>
          <w:szCs w:val="24"/>
        </w:rPr>
        <w:footnoteReference w:id="16"/>
      </w:r>
      <w:r>
        <w:rPr>
          <w:rFonts w:ascii="Times New Roman" w:hAnsi="Times New Roman"/>
          <w:szCs w:val="24"/>
        </w:rPr>
        <w:t xml:space="preserve">. </w:t>
      </w:r>
    </w:p>
    <w:p w:rsidR="004849EA" w:rsidRDefault="004849EA" w:rsidP="004849EA">
      <w:pPr>
        <w:pStyle w:val="ListParagraph"/>
        <w:spacing w:after="240" w:line="360" w:lineRule="auto"/>
        <w:ind w:left="0"/>
        <w:jc w:val="both"/>
        <w:rPr>
          <w:rFonts w:ascii="Times New Roman" w:hAnsi="Times New Roman"/>
          <w:szCs w:val="24"/>
        </w:rPr>
      </w:pPr>
    </w:p>
    <w:p w:rsidR="004849EA" w:rsidRDefault="004849EA" w:rsidP="004849EA">
      <w:pPr>
        <w:pStyle w:val="ListParagraph"/>
        <w:spacing w:after="240" w:line="360" w:lineRule="auto"/>
        <w:ind w:left="0"/>
        <w:jc w:val="both"/>
        <w:rPr>
          <w:rFonts w:ascii="Times New Roman" w:hAnsi="Times New Roman"/>
          <w:szCs w:val="24"/>
        </w:rPr>
      </w:pPr>
      <w:r>
        <w:rPr>
          <w:rFonts w:ascii="Times New Roman" w:hAnsi="Times New Roman"/>
          <w:szCs w:val="24"/>
        </w:rPr>
        <w:t xml:space="preserve">The use of networks has a significant independent effect on the likelihood of accessing top jobs. However, these effects are likely to be understated due to network usage being underreported as it may be regarded as non-meritocratic. Using a professional network to find </w:t>
      </w:r>
      <w:r>
        <w:rPr>
          <w:rFonts w:ascii="Times New Roman" w:hAnsi="Times New Roman"/>
          <w:szCs w:val="24"/>
        </w:rPr>
        <w:lastRenderedPageBreak/>
        <w:t xml:space="preserve">a job, rather than some other method, increases the probability of working in a top NS-SEC job by 5.3 percentage points. Figure 3 plots the association between using networks and access to higher managerial, </w:t>
      </w:r>
      <w:r w:rsidR="000F113B">
        <w:rPr>
          <w:rFonts w:ascii="Times New Roman" w:hAnsi="Times New Roman"/>
          <w:szCs w:val="24"/>
        </w:rPr>
        <w:t>business, medical and law professions</w:t>
      </w:r>
      <w:r>
        <w:rPr>
          <w:rFonts w:ascii="Times New Roman" w:hAnsi="Times New Roman"/>
          <w:szCs w:val="24"/>
        </w:rPr>
        <w:t xml:space="preserve"> and other professions. Use of professional networks is more strongly associated with accessing other profess</w:t>
      </w:r>
      <w:r w:rsidR="000F113B">
        <w:rPr>
          <w:rFonts w:ascii="Times New Roman" w:hAnsi="Times New Roman"/>
          <w:szCs w:val="24"/>
        </w:rPr>
        <w:t>ions</w:t>
      </w:r>
      <w:r>
        <w:rPr>
          <w:rFonts w:ascii="Times New Roman" w:hAnsi="Times New Roman"/>
          <w:szCs w:val="24"/>
        </w:rPr>
        <w:t xml:space="preserve"> (green bars). Access to higher managerial occupations (blue bars) is marginally improved by the use of personal networks and previous work experience. </w:t>
      </w:r>
    </w:p>
    <w:p w:rsidR="004849EA" w:rsidRDefault="004849EA" w:rsidP="00A97EA9">
      <w:pPr>
        <w:pStyle w:val="ListParagraph"/>
        <w:spacing w:after="240" w:line="360" w:lineRule="auto"/>
        <w:ind w:left="0"/>
        <w:jc w:val="both"/>
        <w:rPr>
          <w:rFonts w:ascii="Times New Roman" w:hAnsi="Times New Roman"/>
          <w:szCs w:val="24"/>
        </w:rPr>
      </w:pPr>
    </w:p>
    <w:p w:rsidR="00C219E6" w:rsidRPr="00D87BB8" w:rsidRDefault="00C219E6" w:rsidP="00A97EA9">
      <w:pPr>
        <w:pStyle w:val="ListParagraph"/>
        <w:spacing w:after="240" w:line="360" w:lineRule="auto"/>
        <w:ind w:left="0"/>
        <w:jc w:val="both"/>
        <w:rPr>
          <w:rFonts w:ascii="Times New Roman" w:hAnsi="Times New Roman"/>
          <w:b/>
          <w:szCs w:val="24"/>
          <w:u w:val="single"/>
        </w:rPr>
      </w:pPr>
    </w:p>
    <w:p w:rsidR="00C219E6" w:rsidRPr="00D87BB8" w:rsidRDefault="00C219E6" w:rsidP="003302DC">
      <w:pPr>
        <w:pStyle w:val="ListParagraph"/>
        <w:numPr>
          <w:ilvl w:val="0"/>
          <w:numId w:val="13"/>
        </w:numPr>
        <w:spacing w:after="240" w:line="360" w:lineRule="auto"/>
        <w:jc w:val="both"/>
        <w:rPr>
          <w:rFonts w:ascii="Times New Roman" w:hAnsi="Times New Roman"/>
          <w:b/>
          <w:szCs w:val="24"/>
          <w:u w:val="single"/>
        </w:rPr>
      </w:pPr>
      <w:r w:rsidRPr="00D87BB8">
        <w:rPr>
          <w:rFonts w:ascii="Times New Roman" w:hAnsi="Times New Roman"/>
          <w:b/>
          <w:szCs w:val="24"/>
        </w:rPr>
        <w:t>Conclusion</w:t>
      </w:r>
      <w:r w:rsidR="00C87681">
        <w:rPr>
          <w:rFonts w:ascii="Times New Roman" w:hAnsi="Times New Roman"/>
          <w:b/>
          <w:szCs w:val="24"/>
        </w:rPr>
        <w:t>s</w:t>
      </w:r>
    </w:p>
    <w:p w:rsidR="00667D40" w:rsidRDefault="00667D40" w:rsidP="00A97EA9">
      <w:pPr>
        <w:pStyle w:val="ListParagraph"/>
        <w:spacing w:after="240" w:line="360" w:lineRule="auto"/>
        <w:ind w:left="0"/>
        <w:jc w:val="both"/>
        <w:rPr>
          <w:rFonts w:ascii="Times New Roman" w:hAnsi="Times New Roman"/>
          <w:szCs w:val="24"/>
        </w:rPr>
      </w:pPr>
    </w:p>
    <w:p w:rsidR="00A03987" w:rsidRDefault="00F5190C" w:rsidP="00A97EA9">
      <w:pPr>
        <w:pStyle w:val="ListParagraph"/>
        <w:spacing w:after="240" w:line="360" w:lineRule="auto"/>
        <w:ind w:left="0"/>
        <w:jc w:val="both"/>
        <w:rPr>
          <w:rFonts w:ascii="Times New Roman" w:hAnsi="Times New Roman"/>
          <w:szCs w:val="24"/>
        </w:rPr>
      </w:pPr>
      <w:r>
        <w:rPr>
          <w:rFonts w:ascii="Times New Roman" w:hAnsi="Times New Roman"/>
          <w:szCs w:val="24"/>
        </w:rPr>
        <w:t>Our findings are stark. There is a large socio-economic gradient in the likelihood of a recent graduate accessing a top job</w:t>
      </w:r>
      <w:r w:rsidR="00493635">
        <w:rPr>
          <w:rFonts w:ascii="Times New Roman" w:hAnsi="Times New Roman"/>
          <w:szCs w:val="24"/>
        </w:rPr>
        <w:t xml:space="preserve"> and differences across socio-economic groups are statistically significant</w:t>
      </w:r>
      <w:r>
        <w:rPr>
          <w:rFonts w:ascii="Times New Roman" w:hAnsi="Times New Roman"/>
          <w:szCs w:val="24"/>
        </w:rPr>
        <w:t>.</w:t>
      </w:r>
      <w:r w:rsidR="00B062F7">
        <w:rPr>
          <w:rFonts w:ascii="Times New Roman" w:hAnsi="Times New Roman"/>
          <w:szCs w:val="24"/>
        </w:rPr>
        <w:t xml:space="preserve"> </w:t>
      </w:r>
      <w:r w:rsidR="0044136C">
        <w:rPr>
          <w:rFonts w:ascii="Times New Roman" w:hAnsi="Times New Roman"/>
          <w:szCs w:val="24"/>
        </w:rPr>
        <w:t xml:space="preserve">Our </w:t>
      </w:r>
      <w:r w:rsidR="009D23D1">
        <w:rPr>
          <w:rFonts w:ascii="Times New Roman" w:hAnsi="Times New Roman"/>
          <w:szCs w:val="24"/>
        </w:rPr>
        <w:t xml:space="preserve">baseline </w:t>
      </w:r>
      <w:r w:rsidR="0044136C">
        <w:rPr>
          <w:rFonts w:ascii="Times New Roman" w:hAnsi="Times New Roman"/>
          <w:szCs w:val="24"/>
        </w:rPr>
        <w:t xml:space="preserve">model predicts that </w:t>
      </w:r>
      <w:r w:rsidR="004533AF">
        <w:rPr>
          <w:rFonts w:ascii="Times New Roman" w:hAnsi="Times New Roman"/>
          <w:szCs w:val="24"/>
        </w:rPr>
        <w:t>40% of graduates who attended a private school secured a higher status occupation, compared to just 28% of students from state school backgrounds. In addition, 3</w:t>
      </w:r>
      <w:r w:rsidR="009D23D1">
        <w:rPr>
          <w:rFonts w:ascii="Times New Roman" w:hAnsi="Times New Roman"/>
          <w:szCs w:val="24"/>
        </w:rPr>
        <w:t>2</w:t>
      </w:r>
      <w:r w:rsidR="004533AF">
        <w:rPr>
          <w:rFonts w:ascii="Times New Roman" w:hAnsi="Times New Roman"/>
          <w:szCs w:val="24"/>
        </w:rPr>
        <w:t xml:space="preserve">% of </w:t>
      </w:r>
      <w:r w:rsidR="00584994">
        <w:rPr>
          <w:rFonts w:ascii="Times New Roman" w:hAnsi="Times New Roman"/>
          <w:szCs w:val="24"/>
        </w:rPr>
        <w:t>graduates</w:t>
      </w:r>
      <w:r w:rsidR="00B062F7">
        <w:rPr>
          <w:rFonts w:ascii="Times New Roman" w:hAnsi="Times New Roman"/>
          <w:szCs w:val="24"/>
        </w:rPr>
        <w:t xml:space="preserve"> who come from higher SES family backgrounds (NS-SEC Group 1 or 2) enter </w:t>
      </w:r>
      <w:r w:rsidR="00273FA3">
        <w:rPr>
          <w:rFonts w:ascii="Times New Roman" w:hAnsi="Times New Roman"/>
          <w:szCs w:val="24"/>
        </w:rPr>
        <w:t>top jobs</w:t>
      </w:r>
      <w:r w:rsidR="00B062F7">
        <w:rPr>
          <w:rFonts w:ascii="Times New Roman" w:hAnsi="Times New Roman"/>
          <w:szCs w:val="24"/>
        </w:rPr>
        <w:t xml:space="preserve"> compared to </w:t>
      </w:r>
      <w:r w:rsidR="004533AF">
        <w:rPr>
          <w:rFonts w:ascii="Times New Roman" w:hAnsi="Times New Roman"/>
          <w:szCs w:val="24"/>
        </w:rPr>
        <w:t>27%</w:t>
      </w:r>
      <w:r w:rsidR="00B062F7">
        <w:rPr>
          <w:rFonts w:ascii="Times New Roman" w:hAnsi="Times New Roman"/>
          <w:szCs w:val="24"/>
        </w:rPr>
        <w:t xml:space="preserve"> from lower SES backgrounds</w:t>
      </w:r>
      <w:r w:rsidR="00584994">
        <w:rPr>
          <w:rFonts w:ascii="Times New Roman" w:hAnsi="Times New Roman"/>
          <w:szCs w:val="24"/>
        </w:rPr>
        <w:t xml:space="preserve"> (NS-SEC groups </w:t>
      </w:r>
      <w:r w:rsidR="009D23D1">
        <w:rPr>
          <w:rFonts w:ascii="Times New Roman" w:hAnsi="Times New Roman"/>
          <w:szCs w:val="24"/>
        </w:rPr>
        <w:t>3</w:t>
      </w:r>
      <w:r w:rsidR="00584994">
        <w:rPr>
          <w:rFonts w:ascii="Times New Roman" w:hAnsi="Times New Roman"/>
          <w:szCs w:val="24"/>
        </w:rPr>
        <w:t>-7)</w:t>
      </w:r>
      <w:r w:rsidR="00B062F7">
        <w:rPr>
          <w:rFonts w:ascii="Times New Roman" w:hAnsi="Times New Roman"/>
          <w:szCs w:val="24"/>
        </w:rPr>
        <w:t xml:space="preserve">. </w:t>
      </w:r>
      <w:r w:rsidR="00CF16EE">
        <w:rPr>
          <w:rFonts w:ascii="Times New Roman" w:hAnsi="Times New Roman"/>
          <w:szCs w:val="24"/>
        </w:rPr>
        <w:t xml:space="preserve">Much of this socio-economic gradient is </w:t>
      </w:r>
      <w:r w:rsidR="00273FA3">
        <w:rPr>
          <w:rFonts w:ascii="Times New Roman" w:hAnsi="Times New Roman"/>
          <w:szCs w:val="24"/>
        </w:rPr>
        <w:t>because</w:t>
      </w:r>
      <w:r w:rsidR="00CF16EE">
        <w:rPr>
          <w:rFonts w:ascii="Times New Roman" w:hAnsi="Times New Roman"/>
          <w:szCs w:val="24"/>
        </w:rPr>
        <w:t xml:space="preserve"> socio-economically advantaged graduates have higher levels of human capital. </w:t>
      </w:r>
      <w:r w:rsidR="00273FA3">
        <w:rPr>
          <w:rFonts w:ascii="Times New Roman" w:hAnsi="Times New Roman"/>
          <w:szCs w:val="24"/>
        </w:rPr>
        <w:t>T</w:t>
      </w:r>
      <w:r w:rsidR="00CF16EE">
        <w:rPr>
          <w:rFonts w:ascii="Times New Roman" w:hAnsi="Times New Roman"/>
          <w:szCs w:val="24"/>
        </w:rPr>
        <w:t>h</w:t>
      </w:r>
      <w:r w:rsidR="009D23D1">
        <w:rPr>
          <w:rFonts w:ascii="Times New Roman" w:hAnsi="Times New Roman"/>
          <w:szCs w:val="24"/>
        </w:rPr>
        <w:t>ey have higher achievement at Key Stage 5</w:t>
      </w:r>
      <w:r w:rsidR="00CF16EE">
        <w:rPr>
          <w:rFonts w:ascii="Times New Roman" w:hAnsi="Times New Roman"/>
          <w:szCs w:val="24"/>
        </w:rPr>
        <w:t xml:space="preserve">, are more likely to attend an elite university and take subjects that have greater economic value in the labour market. </w:t>
      </w:r>
      <w:r w:rsidR="00273FA3">
        <w:rPr>
          <w:rFonts w:ascii="Times New Roman" w:hAnsi="Times New Roman"/>
          <w:szCs w:val="24"/>
        </w:rPr>
        <w:t>E</w:t>
      </w:r>
      <w:r w:rsidR="00CF16EE">
        <w:rPr>
          <w:rFonts w:ascii="Times New Roman" w:hAnsi="Times New Roman"/>
          <w:szCs w:val="24"/>
        </w:rPr>
        <w:t>ven controlling for these differences in human capital, we still find a</w:t>
      </w:r>
      <w:r w:rsidR="00C87681">
        <w:rPr>
          <w:rFonts w:ascii="Times New Roman" w:hAnsi="Times New Roman"/>
          <w:szCs w:val="24"/>
        </w:rPr>
        <w:t xml:space="preserve"> modest</w:t>
      </w:r>
      <w:r w:rsidR="00CF16EE">
        <w:rPr>
          <w:rFonts w:ascii="Times New Roman" w:hAnsi="Times New Roman"/>
          <w:szCs w:val="24"/>
        </w:rPr>
        <w:t xml:space="preserve"> socio-economic gradient in access to top jobs. </w:t>
      </w:r>
      <w:r w:rsidR="00273FA3">
        <w:rPr>
          <w:rFonts w:ascii="Times New Roman" w:hAnsi="Times New Roman"/>
          <w:szCs w:val="24"/>
        </w:rPr>
        <w:t>W</w:t>
      </w:r>
      <w:r w:rsidR="00CF16EE">
        <w:rPr>
          <w:rFonts w:ascii="Times New Roman" w:hAnsi="Times New Roman"/>
          <w:szCs w:val="24"/>
        </w:rPr>
        <w:t xml:space="preserve">hen we include a measure of social capital, </w:t>
      </w:r>
      <w:r w:rsidR="00CC1F52">
        <w:rPr>
          <w:rFonts w:ascii="Times New Roman" w:hAnsi="Times New Roman"/>
          <w:szCs w:val="24"/>
        </w:rPr>
        <w:t xml:space="preserve">namely use of networks, </w:t>
      </w:r>
      <w:r w:rsidR="00CF16EE">
        <w:rPr>
          <w:rFonts w:ascii="Times New Roman" w:hAnsi="Times New Roman"/>
          <w:szCs w:val="24"/>
        </w:rPr>
        <w:t xml:space="preserve">the socio-economic gradient remains. </w:t>
      </w:r>
      <w:r w:rsidR="00584994">
        <w:rPr>
          <w:rFonts w:ascii="Times New Roman" w:hAnsi="Times New Roman"/>
          <w:szCs w:val="24"/>
        </w:rPr>
        <w:t>H</w:t>
      </w:r>
      <w:r w:rsidR="00A03987">
        <w:rPr>
          <w:rFonts w:ascii="Times New Roman" w:hAnsi="Times New Roman"/>
          <w:szCs w:val="24"/>
        </w:rPr>
        <w:t xml:space="preserve">igher SES students are more likely to say they have used a network to secure their job but this does not explain </w:t>
      </w:r>
      <w:r w:rsidR="00CC1F52">
        <w:rPr>
          <w:rFonts w:ascii="Times New Roman" w:hAnsi="Times New Roman"/>
          <w:szCs w:val="24"/>
        </w:rPr>
        <w:t xml:space="preserve">the </w:t>
      </w:r>
      <w:r w:rsidR="00A03987">
        <w:rPr>
          <w:rFonts w:ascii="Times New Roman" w:hAnsi="Times New Roman"/>
          <w:szCs w:val="24"/>
        </w:rPr>
        <w:t xml:space="preserve">strong link between socio-economic background and getting a top job. </w:t>
      </w:r>
    </w:p>
    <w:p w:rsidR="008543B8" w:rsidRDefault="008543B8" w:rsidP="00A97EA9">
      <w:pPr>
        <w:pStyle w:val="ListParagraph"/>
        <w:spacing w:after="240" w:line="360" w:lineRule="auto"/>
        <w:ind w:left="0"/>
        <w:jc w:val="both"/>
        <w:rPr>
          <w:rFonts w:ascii="Times New Roman" w:hAnsi="Times New Roman"/>
          <w:szCs w:val="24"/>
        </w:rPr>
      </w:pPr>
    </w:p>
    <w:p w:rsidR="008543B8" w:rsidRDefault="008543B8"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It is worth noting that our models compare the likelihood of equally qualified graduates from more and less advantaged backgrounds securing access to a top job. This may understate the true socio-economic gap in access to the professions. This is because we are comparing disadvantaged state school pupils who have achieved very highly in the system, despite their background, against those from more privileged backgrounds. The former group of students may not be fully representative of disadvantaged students as a whole. They are likely to be more motivated in ways we may not fully observe, and indeed they may achieve more highly </w:t>
      </w:r>
      <w:r>
        <w:rPr>
          <w:rFonts w:ascii="Times New Roman" w:hAnsi="Times New Roman"/>
          <w:szCs w:val="24"/>
        </w:rPr>
        <w:lastRenderedPageBreak/>
        <w:t>precisely because they intend to go on to a professional job. We would therefore view our estimates as downward biased in this re</w:t>
      </w:r>
      <w:r w:rsidR="00623F92">
        <w:rPr>
          <w:rFonts w:ascii="Times New Roman" w:hAnsi="Times New Roman"/>
          <w:szCs w:val="24"/>
        </w:rPr>
        <w:t>spect</w:t>
      </w:r>
      <w:r>
        <w:rPr>
          <w:rFonts w:ascii="Times New Roman" w:hAnsi="Times New Roman"/>
          <w:szCs w:val="24"/>
        </w:rPr>
        <w:t xml:space="preserve">. </w:t>
      </w:r>
    </w:p>
    <w:p w:rsidR="00A03987" w:rsidRDefault="00A03987" w:rsidP="00A97EA9">
      <w:pPr>
        <w:pStyle w:val="ListParagraph"/>
        <w:spacing w:after="240" w:line="360" w:lineRule="auto"/>
        <w:ind w:left="0"/>
        <w:jc w:val="both"/>
        <w:rPr>
          <w:rFonts w:ascii="Times New Roman" w:hAnsi="Times New Roman"/>
          <w:szCs w:val="24"/>
        </w:rPr>
      </w:pPr>
    </w:p>
    <w:p w:rsidR="0044136C" w:rsidRDefault="00273FA3" w:rsidP="00A97EA9">
      <w:pPr>
        <w:pStyle w:val="ListParagraph"/>
        <w:spacing w:after="240" w:line="360" w:lineRule="auto"/>
        <w:ind w:left="0"/>
        <w:jc w:val="both"/>
        <w:rPr>
          <w:rFonts w:ascii="Times New Roman" w:hAnsi="Times New Roman"/>
          <w:szCs w:val="24"/>
        </w:rPr>
      </w:pPr>
      <w:r>
        <w:rPr>
          <w:rFonts w:ascii="Times New Roman" w:hAnsi="Times New Roman"/>
          <w:szCs w:val="24"/>
        </w:rPr>
        <w:t>We have shown</w:t>
      </w:r>
      <w:r w:rsidR="00584994">
        <w:rPr>
          <w:rFonts w:ascii="Times New Roman" w:hAnsi="Times New Roman"/>
          <w:szCs w:val="24"/>
        </w:rPr>
        <w:t xml:space="preserve"> that </w:t>
      </w:r>
      <w:r w:rsidR="00A03987">
        <w:rPr>
          <w:rFonts w:ascii="Times New Roman" w:hAnsi="Times New Roman"/>
          <w:szCs w:val="24"/>
        </w:rPr>
        <w:t xml:space="preserve">it is not simply the case that </w:t>
      </w:r>
      <w:r w:rsidR="00CF16EE">
        <w:rPr>
          <w:rFonts w:ascii="Times New Roman" w:hAnsi="Times New Roman"/>
          <w:szCs w:val="24"/>
        </w:rPr>
        <w:t xml:space="preserve">socio-economically advantaged students are </w:t>
      </w:r>
      <w:r w:rsidR="00A03987">
        <w:rPr>
          <w:rFonts w:ascii="Times New Roman" w:hAnsi="Times New Roman"/>
          <w:szCs w:val="24"/>
        </w:rPr>
        <w:t xml:space="preserve">better qualified or use their networks in order to </w:t>
      </w:r>
      <w:r w:rsidR="00CF16EE">
        <w:rPr>
          <w:rFonts w:ascii="Times New Roman" w:hAnsi="Times New Roman"/>
          <w:szCs w:val="24"/>
        </w:rPr>
        <w:t>access top job</w:t>
      </w:r>
      <w:r w:rsidR="00A03987">
        <w:rPr>
          <w:rFonts w:ascii="Times New Roman" w:hAnsi="Times New Roman"/>
          <w:szCs w:val="24"/>
        </w:rPr>
        <w:t xml:space="preserve">s. </w:t>
      </w:r>
      <w:r w:rsidR="00584994">
        <w:rPr>
          <w:rFonts w:ascii="Times New Roman" w:hAnsi="Times New Roman"/>
          <w:szCs w:val="24"/>
        </w:rPr>
        <w:t xml:space="preserve">Our work discounts the notion that higher education </w:t>
      </w:r>
      <w:r w:rsidR="00493635">
        <w:rPr>
          <w:rFonts w:ascii="Times New Roman" w:hAnsi="Times New Roman"/>
          <w:szCs w:val="24"/>
        </w:rPr>
        <w:t xml:space="preserve">completely </w:t>
      </w:r>
      <w:r w:rsidR="00584994">
        <w:rPr>
          <w:rFonts w:ascii="Times New Roman" w:hAnsi="Times New Roman"/>
          <w:szCs w:val="24"/>
        </w:rPr>
        <w:t xml:space="preserve">levels the playing field between students of differing socio-economic backgrounds. Beyond academic achievement, our analysis suggests there </w:t>
      </w:r>
      <w:r w:rsidR="00A03987">
        <w:rPr>
          <w:rFonts w:ascii="Times New Roman" w:hAnsi="Times New Roman"/>
          <w:szCs w:val="24"/>
        </w:rPr>
        <w:t>are other reasons why more advantaged students, and particularly those</w:t>
      </w:r>
      <w:r w:rsidR="00C928F8">
        <w:rPr>
          <w:rFonts w:ascii="Times New Roman" w:hAnsi="Times New Roman"/>
          <w:szCs w:val="24"/>
        </w:rPr>
        <w:t xml:space="preserve"> who attend</w:t>
      </w:r>
      <w:r>
        <w:rPr>
          <w:rFonts w:ascii="Times New Roman" w:hAnsi="Times New Roman"/>
          <w:szCs w:val="24"/>
        </w:rPr>
        <w:t>ed</w:t>
      </w:r>
      <w:r w:rsidR="00CF16EE">
        <w:rPr>
          <w:rFonts w:ascii="Times New Roman" w:hAnsi="Times New Roman"/>
          <w:szCs w:val="24"/>
        </w:rPr>
        <w:t xml:space="preserve"> a private school</w:t>
      </w:r>
      <w:r w:rsidR="00A03987">
        <w:rPr>
          <w:rFonts w:ascii="Times New Roman" w:hAnsi="Times New Roman"/>
          <w:szCs w:val="24"/>
        </w:rPr>
        <w:t>,</w:t>
      </w:r>
      <w:r w:rsidR="00CF16EE">
        <w:rPr>
          <w:rFonts w:ascii="Times New Roman" w:hAnsi="Times New Roman"/>
          <w:szCs w:val="24"/>
        </w:rPr>
        <w:t xml:space="preserve"> are </w:t>
      </w:r>
      <w:r w:rsidR="00493635">
        <w:rPr>
          <w:rFonts w:ascii="Times New Roman" w:hAnsi="Times New Roman"/>
          <w:szCs w:val="24"/>
        </w:rPr>
        <w:t xml:space="preserve">somewhat </w:t>
      </w:r>
      <w:r w:rsidR="00CF16EE">
        <w:rPr>
          <w:rFonts w:ascii="Times New Roman" w:hAnsi="Times New Roman"/>
          <w:szCs w:val="24"/>
        </w:rPr>
        <w:t>more likely to secure a top job.</w:t>
      </w:r>
      <w:r w:rsidR="00A03987">
        <w:rPr>
          <w:rFonts w:ascii="Times New Roman" w:hAnsi="Times New Roman"/>
          <w:szCs w:val="24"/>
        </w:rPr>
        <w:t xml:space="preserve"> </w:t>
      </w:r>
    </w:p>
    <w:p w:rsidR="0044136C" w:rsidRDefault="0044136C" w:rsidP="00A97EA9">
      <w:pPr>
        <w:pStyle w:val="ListParagraph"/>
        <w:spacing w:after="240" w:line="360" w:lineRule="auto"/>
        <w:ind w:left="0"/>
        <w:jc w:val="both"/>
        <w:rPr>
          <w:rFonts w:ascii="Times New Roman" w:hAnsi="Times New Roman"/>
          <w:szCs w:val="24"/>
        </w:rPr>
      </w:pPr>
    </w:p>
    <w:p w:rsidR="0044136C" w:rsidRDefault="00493635"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More socio-economically advantaged graduates may </w:t>
      </w:r>
      <w:r w:rsidR="00CF16EE">
        <w:rPr>
          <w:rFonts w:ascii="Times New Roman" w:hAnsi="Times New Roman"/>
          <w:szCs w:val="24"/>
        </w:rPr>
        <w:t>have other forms of capital that are important for accessing top jobs. These could include non-cognitive skills</w:t>
      </w:r>
      <w:r w:rsidR="00A03987">
        <w:rPr>
          <w:rFonts w:ascii="Times New Roman" w:hAnsi="Times New Roman"/>
          <w:szCs w:val="24"/>
        </w:rPr>
        <w:t>,</w:t>
      </w:r>
      <w:r w:rsidR="00CF16EE">
        <w:rPr>
          <w:rFonts w:ascii="Times New Roman" w:hAnsi="Times New Roman"/>
          <w:szCs w:val="24"/>
        </w:rPr>
        <w:t xml:space="preserve"> including confidence and self-esteem that help individuals in interviews. Alternatively these graduates could have </w:t>
      </w:r>
      <w:r w:rsidR="00273FA3">
        <w:rPr>
          <w:rFonts w:ascii="Times New Roman" w:hAnsi="Times New Roman"/>
          <w:szCs w:val="24"/>
        </w:rPr>
        <w:t>greater</w:t>
      </w:r>
      <w:r w:rsidR="00CF16EE">
        <w:rPr>
          <w:rFonts w:ascii="Times New Roman" w:hAnsi="Times New Roman"/>
          <w:szCs w:val="24"/>
        </w:rPr>
        <w:t xml:space="preserve"> cultural capital that enables them to exhibit desirable behaviours and conversations in the interview setting. </w:t>
      </w:r>
      <w:r>
        <w:rPr>
          <w:rFonts w:ascii="Times New Roman" w:hAnsi="Times New Roman"/>
          <w:szCs w:val="24"/>
        </w:rPr>
        <w:t>T</w:t>
      </w:r>
      <w:r w:rsidR="00CF16EE">
        <w:rPr>
          <w:rFonts w:ascii="Times New Roman" w:hAnsi="Times New Roman"/>
          <w:szCs w:val="24"/>
        </w:rPr>
        <w:t xml:space="preserve">hey may have access to greater financial capital that enables </w:t>
      </w:r>
      <w:r w:rsidR="00CC1F52">
        <w:rPr>
          <w:rFonts w:ascii="Times New Roman" w:hAnsi="Times New Roman"/>
          <w:szCs w:val="24"/>
        </w:rPr>
        <w:t>them</w:t>
      </w:r>
      <w:r w:rsidR="00CF16EE">
        <w:rPr>
          <w:rFonts w:ascii="Times New Roman" w:hAnsi="Times New Roman"/>
          <w:szCs w:val="24"/>
        </w:rPr>
        <w:t xml:space="preserve"> to increase the period of their job search or take unpaid internships </w:t>
      </w:r>
      <w:r w:rsidR="00CC1F52">
        <w:rPr>
          <w:rFonts w:ascii="Times New Roman" w:hAnsi="Times New Roman"/>
          <w:szCs w:val="24"/>
        </w:rPr>
        <w:t xml:space="preserve">and hence </w:t>
      </w:r>
      <w:r w:rsidR="00CF16EE">
        <w:rPr>
          <w:rFonts w:ascii="Times New Roman" w:hAnsi="Times New Roman"/>
          <w:szCs w:val="24"/>
        </w:rPr>
        <w:t>increase their likelihood of accessing a top job</w:t>
      </w:r>
      <w:r w:rsidR="003302DC">
        <w:rPr>
          <w:rStyle w:val="FootnoteReference"/>
          <w:rFonts w:ascii="Times New Roman" w:hAnsi="Times New Roman"/>
          <w:szCs w:val="24"/>
        </w:rPr>
        <w:footnoteReference w:id="17"/>
      </w:r>
      <w:r w:rsidR="00CF16EE">
        <w:rPr>
          <w:rFonts w:ascii="Times New Roman" w:hAnsi="Times New Roman"/>
          <w:szCs w:val="24"/>
        </w:rPr>
        <w:t>.</w:t>
      </w:r>
      <w:r w:rsidR="00A03987">
        <w:rPr>
          <w:rFonts w:ascii="Times New Roman" w:hAnsi="Times New Roman"/>
          <w:szCs w:val="24"/>
        </w:rPr>
        <w:t xml:space="preserve"> </w:t>
      </w:r>
      <w:r>
        <w:rPr>
          <w:rFonts w:ascii="Times New Roman" w:hAnsi="Times New Roman"/>
          <w:szCs w:val="24"/>
        </w:rPr>
        <w:t xml:space="preserve">Lastly, it may be the case that more advantaged graduates </w:t>
      </w:r>
      <w:r w:rsidR="00D80D75">
        <w:rPr>
          <w:rFonts w:ascii="Times New Roman" w:hAnsi="Times New Roman"/>
          <w:szCs w:val="24"/>
        </w:rPr>
        <w:t>have different preferences and motivations</w:t>
      </w:r>
      <w:r>
        <w:rPr>
          <w:rFonts w:ascii="Times New Roman" w:hAnsi="Times New Roman"/>
          <w:szCs w:val="24"/>
        </w:rPr>
        <w:t xml:space="preserve">, opting </w:t>
      </w:r>
      <w:r w:rsidR="00D80D75">
        <w:rPr>
          <w:rFonts w:ascii="Times New Roman" w:hAnsi="Times New Roman"/>
          <w:szCs w:val="24"/>
        </w:rPr>
        <w:t>into</w:t>
      </w:r>
      <w:r>
        <w:rPr>
          <w:rFonts w:ascii="Times New Roman" w:hAnsi="Times New Roman"/>
          <w:szCs w:val="24"/>
        </w:rPr>
        <w:t xml:space="preserve"> higher status occupations</w:t>
      </w:r>
      <w:r w:rsidR="00D80D75">
        <w:rPr>
          <w:rFonts w:ascii="Times New Roman" w:hAnsi="Times New Roman"/>
          <w:szCs w:val="24"/>
        </w:rPr>
        <w:t xml:space="preserve">. Our results comparing different occupation groupings within the top NS-SEC indicate some degree of sorting of individuals from different backgrounds into different career choices, which could represent different motivations. </w:t>
      </w:r>
      <w:r w:rsidR="002A0197">
        <w:rPr>
          <w:rFonts w:ascii="Times New Roman" w:hAnsi="Times New Roman"/>
          <w:szCs w:val="24"/>
        </w:rPr>
        <w:t xml:space="preserve">Note that even if this is the case, this is likely to be linked to differences in graduates’ social and cultural capital. </w:t>
      </w:r>
      <w:r w:rsidR="00BA7167">
        <w:rPr>
          <w:rFonts w:ascii="Times New Roman" w:hAnsi="Times New Roman"/>
          <w:szCs w:val="24"/>
        </w:rPr>
        <w:t xml:space="preserve">To the extent that we cannot measure all these factors, our identification strategy does not entirely eliminate the possibility that graduates are sorted into top jobs on the basis of characteristics unobserved by the researcher. </w:t>
      </w:r>
    </w:p>
    <w:p w:rsidR="000F113B" w:rsidRDefault="000F113B" w:rsidP="00A97EA9">
      <w:pPr>
        <w:pStyle w:val="ListParagraph"/>
        <w:spacing w:after="240" w:line="360" w:lineRule="auto"/>
        <w:ind w:left="0"/>
        <w:jc w:val="both"/>
        <w:rPr>
          <w:rFonts w:ascii="Times New Roman" w:hAnsi="Times New Roman"/>
          <w:szCs w:val="24"/>
        </w:rPr>
      </w:pPr>
    </w:p>
    <w:p w:rsidR="000F113B" w:rsidRDefault="000F113B" w:rsidP="00A97EA9">
      <w:pPr>
        <w:pStyle w:val="ListParagraph"/>
        <w:spacing w:after="240" w:line="360" w:lineRule="auto"/>
        <w:ind w:left="0"/>
        <w:jc w:val="both"/>
        <w:rPr>
          <w:rFonts w:ascii="Times New Roman" w:hAnsi="Times New Roman"/>
          <w:szCs w:val="24"/>
        </w:rPr>
      </w:pPr>
      <w:r>
        <w:rPr>
          <w:rFonts w:ascii="Times New Roman" w:hAnsi="Times New Roman"/>
          <w:szCs w:val="24"/>
        </w:rPr>
        <w:t>This research contributes to the literature by eliminating differences in education achievement and use of social networks as the sole reasons for the differences we observe in graduates’ access to top professions, though the former is clearly very important. Further research is needed to establish which alternative explanations are most important.</w:t>
      </w:r>
    </w:p>
    <w:p w:rsidR="0044136C" w:rsidRDefault="0044136C" w:rsidP="00A97EA9">
      <w:pPr>
        <w:pStyle w:val="ListParagraph"/>
        <w:spacing w:after="240" w:line="360" w:lineRule="auto"/>
        <w:ind w:left="0"/>
        <w:jc w:val="both"/>
        <w:rPr>
          <w:rFonts w:ascii="Times New Roman" w:hAnsi="Times New Roman"/>
          <w:szCs w:val="24"/>
        </w:rPr>
      </w:pPr>
    </w:p>
    <w:p w:rsidR="00C928F8" w:rsidRDefault="00C928F8" w:rsidP="00A97EA9">
      <w:pPr>
        <w:pStyle w:val="ListParagraph"/>
        <w:spacing w:after="240" w:line="360" w:lineRule="auto"/>
        <w:ind w:left="0"/>
        <w:jc w:val="both"/>
        <w:rPr>
          <w:rFonts w:ascii="Times New Roman" w:hAnsi="Times New Roman"/>
          <w:szCs w:val="24"/>
        </w:rPr>
      </w:pPr>
      <w:r>
        <w:rPr>
          <w:rFonts w:ascii="Times New Roman" w:hAnsi="Times New Roman"/>
          <w:szCs w:val="24"/>
        </w:rPr>
        <w:t xml:space="preserve">The policy implications are important. </w:t>
      </w:r>
      <w:r w:rsidR="005E1428">
        <w:rPr>
          <w:rFonts w:ascii="Times New Roman" w:hAnsi="Times New Roman"/>
          <w:szCs w:val="24"/>
        </w:rPr>
        <w:t>T</w:t>
      </w:r>
      <w:r>
        <w:rPr>
          <w:rFonts w:ascii="Times New Roman" w:hAnsi="Times New Roman"/>
          <w:szCs w:val="24"/>
        </w:rPr>
        <w:t>he research tells us that amongst recent UK graduates</w:t>
      </w:r>
      <w:r w:rsidR="00287372">
        <w:rPr>
          <w:rFonts w:ascii="Times New Roman" w:hAnsi="Times New Roman"/>
          <w:szCs w:val="24"/>
        </w:rPr>
        <w:t>,</w:t>
      </w:r>
      <w:r>
        <w:rPr>
          <w:rFonts w:ascii="Times New Roman" w:hAnsi="Times New Roman"/>
          <w:szCs w:val="24"/>
        </w:rPr>
        <w:t xml:space="preserve"> socio-economic background </w:t>
      </w:r>
      <w:r w:rsidR="00A03987">
        <w:rPr>
          <w:rFonts w:ascii="Times New Roman" w:hAnsi="Times New Roman"/>
          <w:szCs w:val="24"/>
        </w:rPr>
        <w:t>remains</w:t>
      </w:r>
      <w:r>
        <w:rPr>
          <w:rFonts w:ascii="Times New Roman" w:hAnsi="Times New Roman"/>
          <w:szCs w:val="24"/>
        </w:rPr>
        <w:t xml:space="preserve"> a </w:t>
      </w:r>
      <w:r w:rsidR="00465B98">
        <w:rPr>
          <w:rFonts w:ascii="Times New Roman" w:hAnsi="Times New Roman"/>
          <w:szCs w:val="24"/>
        </w:rPr>
        <w:t xml:space="preserve">significant </w:t>
      </w:r>
      <w:r>
        <w:rPr>
          <w:rFonts w:ascii="Times New Roman" w:hAnsi="Times New Roman"/>
          <w:szCs w:val="24"/>
        </w:rPr>
        <w:t xml:space="preserve">factor in explaining why some students secure top jobs. </w:t>
      </w:r>
      <w:r w:rsidR="00A03987">
        <w:rPr>
          <w:rFonts w:ascii="Times New Roman" w:hAnsi="Times New Roman"/>
          <w:szCs w:val="24"/>
        </w:rPr>
        <w:t xml:space="preserve">After many decades of policies </w:t>
      </w:r>
      <w:r w:rsidR="005E1428">
        <w:rPr>
          <w:rFonts w:ascii="Times New Roman" w:hAnsi="Times New Roman"/>
          <w:szCs w:val="24"/>
        </w:rPr>
        <w:t>to improve social mobility</w:t>
      </w:r>
      <w:r w:rsidR="00A03987">
        <w:rPr>
          <w:rFonts w:ascii="Times New Roman" w:hAnsi="Times New Roman"/>
          <w:szCs w:val="24"/>
        </w:rPr>
        <w:t xml:space="preserve"> and to widen participation in higher education, it remains the case that a student’s </w:t>
      </w:r>
      <w:r w:rsidR="00465B98">
        <w:rPr>
          <w:rFonts w:ascii="Times New Roman" w:hAnsi="Times New Roman"/>
          <w:szCs w:val="24"/>
        </w:rPr>
        <w:t xml:space="preserve">family </w:t>
      </w:r>
      <w:r w:rsidR="00A03987">
        <w:rPr>
          <w:rFonts w:ascii="Times New Roman" w:hAnsi="Times New Roman"/>
          <w:szCs w:val="24"/>
        </w:rPr>
        <w:t xml:space="preserve">background has a major influence on their job and their life chances. </w:t>
      </w:r>
      <w:r>
        <w:rPr>
          <w:rFonts w:ascii="Times New Roman" w:hAnsi="Times New Roman"/>
          <w:szCs w:val="24"/>
        </w:rPr>
        <w:t xml:space="preserve">The fact that this relationship </w:t>
      </w:r>
      <w:r w:rsidR="00287372">
        <w:rPr>
          <w:rFonts w:ascii="Times New Roman" w:hAnsi="Times New Roman"/>
          <w:szCs w:val="24"/>
        </w:rPr>
        <w:t xml:space="preserve">is largely but not entirely </w:t>
      </w:r>
      <w:r>
        <w:rPr>
          <w:rFonts w:ascii="Times New Roman" w:hAnsi="Times New Roman"/>
          <w:szCs w:val="24"/>
        </w:rPr>
        <w:t>explained by more advantaged students having demonstrably higher levels of human capital would imply that</w:t>
      </w:r>
      <w:r w:rsidR="00A03987">
        <w:rPr>
          <w:rFonts w:ascii="Times New Roman" w:hAnsi="Times New Roman"/>
          <w:szCs w:val="24"/>
        </w:rPr>
        <w:t xml:space="preserve"> we must strive to achieve greater transparency in hiring practices so we fully understand why socio-economically disadvantaged students are </w:t>
      </w:r>
      <w:r w:rsidR="00493635">
        <w:rPr>
          <w:rFonts w:ascii="Times New Roman" w:hAnsi="Times New Roman"/>
          <w:szCs w:val="24"/>
        </w:rPr>
        <w:t xml:space="preserve">somewhat </w:t>
      </w:r>
      <w:r w:rsidR="00A03987">
        <w:rPr>
          <w:rFonts w:ascii="Times New Roman" w:hAnsi="Times New Roman"/>
          <w:szCs w:val="24"/>
        </w:rPr>
        <w:t>less likely to get a top job</w:t>
      </w:r>
      <w:r w:rsidR="00493635">
        <w:rPr>
          <w:rFonts w:ascii="Times New Roman" w:hAnsi="Times New Roman"/>
          <w:szCs w:val="24"/>
        </w:rPr>
        <w:t xml:space="preserve"> even when they have the necessary human capital</w:t>
      </w:r>
      <w:r w:rsidR="00A03987">
        <w:rPr>
          <w:rFonts w:ascii="Times New Roman" w:hAnsi="Times New Roman"/>
          <w:szCs w:val="24"/>
        </w:rPr>
        <w:t>. Only when we understand this can we develop policies to address this.</w:t>
      </w:r>
      <w:r>
        <w:rPr>
          <w:rFonts w:ascii="Times New Roman" w:hAnsi="Times New Roman"/>
          <w:szCs w:val="24"/>
        </w:rPr>
        <w:t xml:space="preserve">  </w:t>
      </w:r>
    </w:p>
    <w:p w:rsidR="005E1428" w:rsidRDefault="005E1428" w:rsidP="00A97EA9">
      <w:pPr>
        <w:pStyle w:val="ListParagraph"/>
        <w:spacing w:after="240" w:line="360" w:lineRule="auto"/>
        <w:ind w:left="0"/>
        <w:jc w:val="both"/>
        <w:rPr>
          <w:rFonts w:ascii="Times New Roman" w:hAnsi="Times New Roman"/>
          <w:b/>
          <w:szCs w:val="24"/>
        </w:rPr>
      </w:pPr>
    </w:p>
    <w:p w:rsidR="00936629" w:rsidRPr="001F3EFF" w:rsidRDefault="0077737A" w:rsidP="00A97EA9">
      <w:pPr>
        <w:pStyle w:val="ListParagraph"/>
        <w:spacing w:after="240" w:line="360" w:lineRule="auto"/>
        <w:ind w:left="0"/>
        <w:jc w:val="both"/>
        <w:rPr>
          <w:rFonts w:ascii="Times New Roman" w:hAnsi="Times New Roman"/>
          <w:b/>
          <w:szCs w:val="24"/>
        </w:rPr>
      </w:pPr>
      <w:r>
        <w:rPr>
          <w:rFonts w:ascii="Times New Roman" w:hAnsi="Times New Roman"/>
          <w:b/>
          <w:szCs w:val="24"/>
        </w:rPr>
        <w:br w:type="page"/>
      </w:r>
      <w:r w:rsidR="00936629" w:rsidRPr="001F3EFF">
        <w:rPr>
          <w:rFonts w:ascii="Times New Roman" w:hAnsi="Times New Roman"/>
          <w:b/>
          <w:szCs w:val="24"/>
        </w:rPr>
        <w:lastRenderedPageBreak/>
        <w:t>References</w:t>
      </w:r>
    </w:p>
    <w:p w:rsidR="004849EA" w:rsidRPr="000E0103" w:rsidRDefault="004849EA" w:rsidP="004849EA">
      <w:pPr>
        <w:tabs>
          <w:tab w:val="left" w:pos="709"/>
        </w:tabs>
        <w:autoSpaceDE w:val="0"/>
        <w:autoSpaceDN w:val="0"/>
        <w:adjustRightInd w:val="0"/>
        <w:spacing w:after="120" w:line="240" w:lineRule="auto"/>
        <w:ind w:left="709" w:right="-1" w:hanging="709"/>
        <w:rPr>
          <w:rFonts w:ascii="Times New Roman" w:hAnsi="Times New Roman"/>
          <w:sz w:val="24"/>
          <w:szCs w:val="24"/>
          <w:lang w:eastAsia="en-GB"/>
        </w:rPr>
      </w:pPr>
      <w:r>
        <w:rPr>
          <w:rFonts w:ascii="Times New Roman" w:hAnsi="Times New Roman"/>
          <w:sz w:val="24"/>
          <w:szCs w:val="24"/>
          <w:lang w:eastAsia="en-GB"/>
        </w:rPr>
        <w:t>AIR UK (2008).</w:t>
      </w:r>
      <w:r w:rsidRPr="000E0103">
        <w:rPr>
          <w:rFonts w:ascii="Times New Roman" w:hAnsi="Times New Roman"/>
          <w:sz w:val="24"/>
          <w:szCs w:val="24"/>
          <w:lang w:eastAsia="en-GB"/>
        </w:rPr>
        <w:t xml:space="preserve"> </w:t>
      </w:r>
      <w:r w:rsidRPr="000E0103">
        <w:rPr>
          <w:rFonts w:ascii="Times New Roman" w:hAnsi="Times New Roman"/>
          <w:i/>
          <w:sz w:val="24"/>
          <w:szCs w:val="24"/>
          <w:lang w:eastAsia="en-GB"/>
        </w:rPr>
        <w:t>The involvement of Business in Education: A rapid evidence assessment of measurable impacts</w:t>
      </w:r>
      <w:r w:rsidRPr="000E0103">
        <w:rPr>
          <w:rFonts w:ascii="Times New Roman" w:hAnsi="Times New Roman"/>
          <w:sz w:val="24"/>
          <w:szCs w:val="24"/>
          <w:lang w:eastAsia="en-GB"/>
        </w:rPr>
        <w:t xml:space="preserve">. Department for Children, Schools and Families.  </w:t>
      </w:r>
    </w:p>
    <w:p w:rsidR="004849EA" w:rsidRPr="007E3EB6" w:rsidRDefault="004849EA" w:rsidP="004849EA">
      <w:pPr>
        <w:tabs>
          <w:tab w:val="left" w:pos="709"/>
        </w:tabs>
        <w:autoSpaceDE w:val="0"/>
        <w:autoSpaceDN w:val="0"/>
        <w:adjustRightInd w:val="0"/>
        <w:spacing w:after="120" w:line="240" w:lineRule="auto"/>
        <w:ind w:left="709" w:right="-1" w:hanging="709"/>
        <w:rPr>
          <w:rFonts w:ascii="Times New Roman" w:hAnsi="Times New Roman"/>
          <w:i/>
          <w:iCs/>
          <w:sz w:val="24"/>
          <w:szCs w:val="24"/>
          <w:lang w:eastAsia="en-GB"/>
        </w:rPr>
      </w:pPr>
      <w:r w:rsidRPr="00CB367B">
        <w:rPr>
          <w:rFonts w:ascii="Times New Roman" w:hAnsi="Times New Roman"/>
          <w:sz w:val="24"/>
          <w:szCs w:val="24"/>
          <w:lang w:eastAsia="en-GB"/>
        </w:rPr>
        <w:t xml:space="preserve">Association of Graduate Recruiters (2012). </w:t>
      </w:r>
      <w:r w:rsidRPr="000E0103">
        <w:rPr>
          <w:rFonts w:ascii="Times New Roman" w:hAnsi="Times New Roman"/>
          <w:sz w:val="24"/>
          <w:szCs w:val="24"/>
          <w:lang w:eastAsia="en-GB"/>
        </w:rPr>
        <w:t>Graduate Recruitment Survey 2012, Winter</w:t>
      </w:r>
      <w:r w:rsidRPr="00CB367B">
        <w:rPr>
          <w:rFonts w:ascii="Times New Roman" w:hAnsi="Times New Roman"/>
          <w:i/>
          <w:iCs/>
          <w:sz w:val="24"/>
          <w:szCs w:val="24"/>
          <w:lang w:eastAsia="en-GB"/>
        </w:rPr>
        <w:t xml:space="preserve"> Review.</w:t>
      </w:r>
    </w:p>
    <w:p w:rsidR="004849EA" w:rsidRPr="0014164B" w:rsidRDefault="004849EA" w:rsidP="004849EA">
      <w:pPr>
        <w:tabs>
          <w:tab w:val="left" w:pos="709"/>
        </w:tabs>
        <w:spacing w:after="120" w:line="240" w:lineRule="auto"/>
        <w:ind w:left="709" w:hanging="709"/>
        <w:rPr>
          <w:rFonts w:ascii="Times New Roman" w:hAnsi="Times New Roman"/>
          <w:sz w:val="24"/>
          <w:szCs w:val="24"/>
        </w:rPr>
      </w:pPr>
      <w:r w:rsidRPr="003B3F8D">
        <w:rPr>
          <w:rFonts w:ascii="Times New Roman" w:hAnsi="Times New Roman"/>
          <w:sz w:val="24"/>
          <w:szCs w:val="24"/>
        </w:rPr>
        <w:t xml:space="preserve">Bentolila, S., Michelacci, C. and Suarez, J. (2010) </w:t>
      </w:r>
      <w:r>
        <w:rPr>
          <w:rFonts w:ascii="Times New Roman" w:hAnsi="Times New Roman"/>
          <w:sz w:val="24"/>
          <w:szCs w:val="24"/>
        </w:rPr>
        <w:t>‘</w:t>
      </w:r>
      <w:r w:rsidRPr="003B3F8D">
        <w:rPr>
          <w:rFonts w:ascii="Times New Roman" w:hAnsi="Times New Roman"/>
          <w:sz w:val="24"/>
          <w:szCs w:val="24"/>
        </w:rPr>
        <w:t>Social Contacts and Occupational Choice</w:t>
      </w:r>
      <w:r>
        <w:rPr>
          <w:rFonts w:ascii="Times New Roman" w:hAnsi="Times New Roman"/>
          <w:sz w:val="24"/>
          <w:szCs w:val="24"/>
        </w:rPr>
        <w:t>’,</w:t>
      </w:r>
      <w:r w:rsidRPr="003B3F8D">
        <w:rPr>
          <w:rFonts w:ascii="Times New Roman" w:hAnsi="Times New Roman"/>
          <w:sz w:val="24"/>
          <w:szCs w:val="24"/>
        </w:rPr>
        <w:t xml:space="preserve"> </w:t>
      </w:r>
      <w:r w:rsidRPr="0014164B">
        <w:rPr>
          <w:rFonts w:ascii="Times New Roman" w:hAnsi="Times New Roman"/>
          <w:i/>
          <w:sz w:val="24"/>
          <w:szCs w:val="24"/>
        </w:rPr>
        <w:t>Economica</w:t>
      </w:r>
      <w:r>
        <w:rPr>
          <w:rFonts w:ascii="Times New Roman" w:hAnsi="Times New Roman"/>
          <w:i/>
          <w:sz w:val="24"/>
          <w:szCs w:val="24"/>
        </w:rPr>
        <w:t>,</w:t>
      </w:r>
      <w:r w:rsidRPr="003B3F8D">
        <w:rPr>
          <w:rFonts w:ascii="Times New Roman" w:hAnsi="Times New Roman"/>
          <w:sz w:val="24"/>
          <w:szCs w:val="24"/>
        </w:rPr>
        <w:t xml:space="preserve"> 77, 20</w:t>
      </w:r>
      <w:r w:rsidRPr="003B3F8D">
        <w:rPr>
          <w:rFonts w:ascii="Times New Roman" w:hAnsi="Times New Roman" w:hint="eastAsia"/>
          <w:sz w:val="24"/>
          <w:szCs w:val="24"/>
        </w:rPr>
        <w:t>–</w:t>
      </w:r>
      <w:r w:rsidRPr="003B3F8D">
        <w:rPr>
          <w:rFonts w:ascii="Times New Roman" w:hAnsi="Times New Roman"/>
          <w:sz w:val="24"/>
          <w:szCs w:val="24"/>
        </w:rPr>
        <w:t>45</w:t>
      </w:r>
      <w:r>
        <w:rPr>
          <w:rFonts w:ascii="Times New Roman" w:hAnsi="Times New Roman"/>
          <w:sz w:val="24"/>
          <w:szCs w:val="24"/>
        </w:rPr>
        <w:t>.</w:t>
      </w:r>
    </w:p>
    <w:p w:rsidR="004849EA" w:rsidRPr="00CB367B" w:rsidRDefault="004849EA" w:rsidP="004849EA">
      <w:pPr>
        <w:tabs>
          <w:tab w:val="left" w:pos="709"/>
        </w:tabs>
        <w:autoSpaceDE w:val="0"/>
        <w:autoSpaceDN w:val="0"/>
        <w:adjustRightInd w:val="0"/>
        <w:spacing w:after="120" w:line="240" w:lineRule="auto"/>
        <w:ind w:left="709" w:hanging="709"/>
        <w:rPr>
          <w:rFonts w:ascii="Times New Roman" w:hAnsi="Times New Roman"/>
          <w:i/>
          <w:sz w:val="24"/>
          <w:szCs w:val="24"/>
        </w:rPr>
      </w:pPr>
      <w:r w:rsidRPr="00CB367B">
        <w:rPr>
          <w:rFonts w:ascii="Times New Roman" w:hAnsi="Times New Roman"/>
          <w:sz w:val="24"/>
          <w:szCs w:val="24"/>
        </w:rPr>
        <w:t xml:space="preserve">Bingley, P., Corak, M. and Westergård-Nielsen, N. (2011). </w:t>
      </w:r>
      <w:r w:rsidRPr="00CB367B">
        <w:rPr>
          <w:rFonts w:ascii="Times New Roman" w:hAnsi="Times New Roman"/>
          <w:i/>
          <w:sz w:val="24"/>
          <w:szCs w:val="24"/>
        </w:rPr>
        <w:t xml:space="preserve"> The Intergenerational Transmission of Employers in Canada and Denmark</w:t>
      </w:r>
      <w:r w:rsidRPr="00CB367B">
        <w:rPr>
          <w:rFonts w:ascii="Times New Roman" w:hAnsi="Times New Roman"/>
          <w:sz w:val="24"/>
          <w:szCs w:val="24"/>
        </w:rPr>
        <w:t>. IZA Discussion Paper No. 5593</w:t>
      </w:r>
    </w:p>
    <w:p w:rsidR="001B7E3B" w:rsidRPr="0029114A" w:rsidRDefault="001B7E3B" w:rsidP="001B7E3B">
      <w:pPr>
        <w:tabs>
          <w:tab w:val="left" w:pos="709"/>
        </w:tabs>
        <w:spacing w:after="120" w:line="240" w:lineRule="auto"/>
        <w:ind w:left="709" w:hanging="709"/>
        <w:rPr>
          <w:rFonts w:ascii="Times New Roman" w:hAnsi="Times New Roman"/>
          <w:sz w:val="24"/>
          <w:szCs w:val="24"/>
        </w:rPr>
      </w:pPr>
      <w:r w:rsidRPr="0029114A">
        <w:rPr>
          <w:rStyle w:val="author"/>
          <w:rFonts w:ascii="Times New Roman" w:hAnsi="Times New Roman"/>
          <w:sz w:val="24"/>
          <w:szCs w:val="24"/>
        </w:rPr>
        <w:t>Blanden J, Gregg P, Macmillan L</w:t>
      </w:r>
      <w:r>
        <w:rPr>
          <w:rFonts w:ascii="Times New Roman" w:hAnsi="Times New Roman"/>
          <w:sz w:val="24"/>
          <w:szCs w:val="24"/>
        </w:rPr>
        <w:t>. (2013</w:t>
      </w:r>
      <w:r w:rsidRPr="0029114A">
        <w:rPr>
          <w:rFonts w:ascii="Times New Roman" w:hAnsi="Times New Roman"/>
          <w:sz w:val="24"/>
          <w:szCs w:val="24"/>
        </w:rPr>
        <w:t xml:space="preserve">) </w:t>
      </w:r>
      <w:r w:rsidRPr="0029114A">
        <w:rPr>
          <w:rStyle w:val="title"/>
          <w:rFonts w:ascii="Times New Roman" w:hAnsi="Times New Roman"/>
          <w:sz w:val="24"/>
          <w:szCs w:val="24"/>
        </w:rPr>
        <w:t>'Intergenerational Persistence in Income and Social Class: The Impact of Within-Group Inequality'</w:t>
      </w:r>
      <w:r w:rsidRPr="0029114A">
        <w:rPr>
          <w:rFonts w:ascii="Times New Roman" w:hAnsi="Times New Roman"/>
          <w:sz w:val="24"/>
          <w:szCs w:val="24"/>
        </w:rPr>
        <w:t xml:space="preserve">. John Wiley and Sons </w:t>
      </w:r>
      <w:r w:rsidRPr="0029114A">
        <w:rPr>
          <w:rStyle w:val="HTMLCite"/>
          <w:rFonts w:ascii="Times New Roman" w:hAnsi="Times New Roman"/>
          <w:sz w:val="24"/>
          <w:szCs w:val="24"/>
        </w:rPr>
        <w:t>Journal of Royal Statistical Society Series A: Statistics in Society</w:t>
      </w:r>
      <w:r w:rsidRPr="0029114A">
        <w:rPr>
          <w:rFonts w:ascii="Times New Roman" w:hAnsi="Times New Roman"/>
          <w:sz w:val="24"/>
          <w:szCs w:val="24"/>
        </w:rPr>
        <w:t>, 176 (2), pp. 541-563.</w:t>
      </w:r>
    </w:p>
    <w:p w:rsidR="004849EA" w:rsidRDefault="004849EA" w:rsidP="004849EA">
      <w:pPr>
        <w:tabs>
          <w:tab w:val="left" w:pos="709"/>
        </w:tabs>
        <w:spacing w:after="120" w:line="240" w:lineRule="auto"/>
        <w:ind w:left="709" w:hanging="709"/>
        <w:rPr>
          <w:rFonts w:ascii="Times New Roman" w:hAnsi="Times New Roman"/>
          <w:sz w:val="24"/>
          <w:szCs w:val="24"/>
        </w:rPr>
      </w:pPr>
      <w:r w:rsidRPr="0029114A">
        <w:rPr>
          <w:rStyle w:val="author"/>
          <w:rFonts w:ascii="Times New Roman" w:hAnsi="Times New Roman"/>
          <w:sz w:val="24"/>
          <w:szCs w:val="24"/>
        </w:rPr>
        <w:t>Blanden J, Gregg P, Macmillan L</w:t>
      </w:r>
      <w:r w:rsidRPr="0029114A">
        <w:rPr>
          <w:rFonts w:ascii="Times New Roman" w:hAnsi="Times New Roman"/>
          <w:sz w:val="24"/>
          <w:szCs w:val="24"/>
        </w:rPr>
        <w:t>. (20</w:t>
      </w:r>
      <w:r w:rsidR="001B7E3B">
        <w:rPr>
          <w:rFonts w:ascii="Times New Roman" w:hAnsi="Times New Roman"/>
          <w:sz w:val="24"/>
          <w:szCs w:val="24"/>
        </w:rPr>
        <w:t>07</w:t>
      </w:r>
      <w:r w:rsidRPr="0029114A">
        <w:rPr>
          <w:rFonts w:ascii="Times New Roman" w:hAnsi="Times New Roman"/>
          <w:sz w:val="24"/>
          <w:szCs w:val="24"/>
        </w:rPr>
        <w:t xml:space="preserve">) </w:t>
      </w:r>
      <w:r w:rsidR="001B7E3B">
        <w:rPr>
          <w:rStyle w:val="title"/>
          <w:rFonts w:ascii="Times New Roman" w:hAnsi="Times New Roman"/>
          <w:sz w:val="24"/>
          <w:szCs w:val="24"/>
        </w:rPr>
        <w:t>Accounting for Intergenerational Income Persistence: Noncognitive Skills, Ability and Education’</w:t>
      </w:r>
      <w:r w:rsidRPr="0029114A">
        <w:rPr>
          <w:rFonts w:ascii="Times New Roman" w:hAnsi="Times New Roman"/>
          <w:sz w:val="24"/>
          <w:szCs w:val="24"/>
        </w:rPr>
        <w:t xml:space="preserve">. </w:t>
      </w:r>
      <w:r w:rsidR="001B7E3B">
        <w:rPr>
          <w:rFonts w:ascii="Times New Roman" w:hAnsi="Times New Roman"/>
          <w:i/>
          <w:sz w:val="24"/>
          <w:szCs w:val="24"/>
        </w:rPr>
        <w:t>Economic Journal</w:t>
      </w:r>
      <w:r w:rsidR="001B7E3B">
        <w:rPr>
          <w:rFonts w:ascii="Times New Roman" w:hAnsi="Times New Roman"/>
          <w:sz w:val="24"/>
          <w:szCs w:val="24"/>
        </w:rPr>
        <w:t>, 117 pp. C43-C60</w:t>
      </w:r>
      <w:r w:rsidRPr="0029114A">
        <w:rPr>
          <w:rFonts w:ascii="Times New Roman" w:hAnsi="Times New Roman"/>
          <w:sz w:val="24"/>
          <w:szCs w:val="24"/>
        </w:rPr>
        <w:t>.</w:t>
      </w:r>
    </w:p>
    <w:p w:rsidR="004849EA" w:rsidRPr="0029114A" w:rsidRDefault="004849EA" w:rsidP="004849EA">
      <w:pPr>
        <w:tabs>
          <w:tab w:val="left" w:pos="709"/>
        </w:tabs>
        <w:spacing w:after="120" w:line="240" w:lineRule="auto"/>
        <w:ind w:left="709" w:hanging="709"/>
        <w:rPr>
          <w:rStyle w:val="author"/>
          <w:rFonts w:ascii="Times New Roman" w:hAnsi="Times New Roman"/>
          <w:sz w:val="24"/>
          <w:szCs w:val="24"/>
        </w:rPr>
      </w:pPr>
      <w:r w:rsidRPr="0029114A">
        <w:rPr>
          <w:rStyle w:val="author"/>
          <w:rFonts w:ascii="Times New Roman" w:hAnsi="Times New Roman"/>
          <w:sz w:val="24"/>
          <w:szCs w:val="24"/>
        </w:rPr>
        <w:t>Blanden, J., Goodman, A., Gregg, P. and Machin, S. (2004) “Changes in intergenerational mobility in Britain” in Corak, M. (ed) Generational Income Mobility in North America and Europe</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Pr>
          <w:rFonts w:ascii="Times New Roman" w:hAnsi="Times New Roman"/>
          <w:sz w:val="24"/>
          <w:szCs w:val="24"/>
          <w:lang w:val="it-IT"/>
        </w:rPr>
        <w:t>Bratti, M. and Manc</w:t>
      </w:r>
      <w:r w:rsidRPr="00043074">
        <w:rPr>
          <w:rFonts w:ascii="Times New Roman" w:hAnsi="Times New Roman"/>
          <w:sz w:val="24"/>
          <w:szCs w:val="24"/>
          <w:lang w:val="it-IT"/>
        </w:rPr>
        <w:t xml:space="preserve">ini, L. (2003). </w:t>
      </w:r>
      <w:r w:rsidRPr="0029114A">
        <w:rPr>
          <w:rFonts w:ascii="Times New Roman" w:hAnsi="Times New Roman"/>
          <w:sz w:val="24"/>
          <w:szCs w:val="24"/>
        </w:rPr>
        <w:t>Differences in early occupational earnings of UK male graduates by degree subject: Evidence from 1980-1993 USR. IZA, DP 890.</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Bratti, M., Naylor, R., &amp; Smith, J. (2005). Variations in the wage returns to a first degree: Evidence from the British Cohort Study 1970. IZA, DP 1631.</w:t>
      </w:r>
    </w:p>
    <w:p w:rsidR="004849EA" w:rsidRPr="0029114A" w:rsidRDefault="004849EA" w:rsidP="004849EA">
      <w:pPr>
        <w:tabs>
          <w:tab w:val="left" w:pos="709"/>
        </w:tabs>
        <w:spacing w:after="120" w:line="240" w:lineRule="auto"/>
        <w:ind w:left="709" w:hanging="709"/>
        <w:rPr>
          <w:rStyle w:val="author"/>
          <w:rFonts w:ascii="Times New Roman" w:hAnsi="Times New Roman"/>
          <w:sz w:val="24"/>
          <w:szCs w:val="24"/>
        </w:rPr>
      </w:pPr>
      <w:r w:rsidRPr="0029114A">
        <w:rPr>
          <w:rStyle w:val="author"/>
          <w:rFonts w:ascii="Times New Roman" w:hAnsi="Times New Roman"/>
          <w:sz w:val="24"/>
          <w:szCs w:val="24"/>
        </w:rPr>
        <w:t xml:space="preserve">Brewer, M., Dickerson, A., Gambin, L., Green, A., Joyce, R., and Wilson, R. (2012) </w:t>
      </w:r>
      <w:r w:rsidRPr="0029114A">
        <w:rPr>
          <w:rStyle w:val="author"/>
          <w:rFonts w:ascii="Times New Roman" w:hAnsi="Times New Roman"/>
          <w:i/>
          <w:sz w:val="24"/>
          <w:szCs w:val="24"/>
        </w:rPr>
        <w:t>Poverty and Inequality in 2020: Impact of Changes in the Structure of Employment,</w:t>
      </w:r>
      <w:r w:rsidRPr="0029114A">
        <w:rPr>
          <w:rStyle w:val="author"/>
          <w:rFonts w:ascii="Times New Roman" w:hAnsi="Times New Roman"/>
          <w:sz w:val="24"/>
          <w:szCs w:val="24"/>
        </w:rPr>
        <w:t xml:space="preserve"> UKCES Joseph Rowntree Foundation.  </w:t>
      </w:r>
    </w:p>
    <w:p w:rsidR="004849EA" w:rsidRPr="0029114A" w:rsidRDefault="004849EA" w:rsidP="004849EA">
      <w:pPr>
        <w:autoSpaceDE w:val="0"/>
        <w:autoSpaceDN w:val="0"/>
        <w:adjustRightInd w:val="0"/>
        <w:spacing w:after="0" w:line="240" w:lineRule="auto"/>
        <w:ind w:left="709" w:hanging="709"/>
        <w:jc w:val="both"/>
        <w:rPr>
          <w:rStyle w:val="author"/>
          <w:rFonts w:ascii="Times New Roman" w:hAnsi="Times New Roman"/>
          <w:sz w:val="24"/>
          <w:szCs w:val="24"/>
        </w:rPr>
      </w:pPr>
      <w:r w:rsidRPr="0029114A">
        <w:rPr>
          <w:rStyle w:val="author"/>
          <w:rFonts w:ascii="Times New Roman" w:hAnsi="Times New Roman"/>
          <w:sz w:val="24"/>
          <w:szCs w:val="24"/>
        </w:rPr>
        <w:t xml:space="preserve">Bukodi, E., and J. H. Goldthorpe. </w:t>
      </w:r>
      <w:r>
        <w:rPr>
          <w:rStyle w:val="author"/>
          <w:rFonts w:ascii="Times New Roman" w:hAnsi="Times New Roman"/>
          <w:sz w:val="24"/>
          <w:szCs w:val="24"/>
        </w:rPr>
        <w:t>(</w:t>
      </w:r>
      <w:r w:rsidRPr="0029114A">
        <w:rPr>
          <w:rStyle w:val="author"/>
          <w:rFonts w:ascii="Times New Roman" w:hAnsi="Times New Roman"/>
          <w:sz w:val="24"/>
          <w:szCs w:val="24"/>
        </w:rPr>
        <w:t>2011a</w:t>
      </w:r>
      <w:r>
        <w:rPr>
          <w:rStyle w:val="author"/>
          <w:rFonts w:ascii="Times New Roman" w:hAnsi="Times New Roman"/>
          <w:sz w:val="24"/>
          <w:szCs w:val="24"/>
        </w:rPr>
        <w:t>)</w:t>
      </w:r>
      <w:r w:rsidRPr="0029114A">
        <w:rPr>
          <w:rStyle w:val="author"/>
          <w:rFonts w:ascii="Times New Roman" w:hAnsi="Times New Roman"/>
          <w:sz w:val="24"/>
          <w:szCs w:val="24"/>
        </w:rPr>
        <w:t xml:space="preserve">. “Class Origins, Education and Occupational Attainment in Britain.” </w:t>
      </w:r>
      <w:r w:rsidRPr="0029114A">
        <w:rPr>
          <w:rStyle w:val="author"/>
          <w:rFonts w:ascii="Times New Roman" w:hAnsi="Times New Roman"/>
          <w:i/>
          <w:sz w:val="24"/>
          <w:szCs w:val="24"/>
        </w:rPr>
        <w:t>European Societies</w:t>
      </w:r>
      <w:r w:rsidRPr="0029114A">
        <w:rPr>
          <w:rStyle w:val="author"/>
          <w:rFonts w:ascii="Times New Roman" w:hAnsi="Times New Roman"/>
          <w:sz w:val="24"/>
          <w:szCs w:val="24"/>
        </w:rPr>
        <w:t xml:space="preserve"> 13 (3): 347–375.</w:t>
      </w:r>
    </w:p>
    <w:p w:rsidR="004849EA" w:rsidRPr="0029114A" w:rsidRDefault="004849EA" w:rsidP="004849EA">
      <w:pPr>
        <w:autoSpaceDE w:val="0"/>
        <w:autoSpaceDN w:val="0"/>
        <w:adjustRightInd w:val="0"/>
        <w:spacing w:after="0" w:line="240" w:lineRule="auto"/>
        <w:ind w:left="709" w:hanging="709"/>
        <w:jc w:val="both"/>
        <w:rPr>
          <w:rStyle w:val="author"/>
          <w:rFonts w:ascii="Times New Roman" w:hAnsi="Times New Roman"/>
          <w:sz w:val="24"/>
          <w:szCs w:val="24"/>
        </w:rPr>
      </w:pPr>
    </w:p>
    <w:p w:rsidR="004849EA" w:rsidRPr="0029114A" w:rsidRDefault="004849EA" w:rsidP="004849EA">
      <w:pPr>
        <w:autoSpaceDE w:val="0"/>
        <w:autoSpaceDN w:val="0"/>
        <w:adjustRightInd w:val="0"/>
        <w:spacing w:after="0" w:line="240" w:lineRule="auto"/>
        <w:ind w:left="709" w:hanging="709"/>
        <w:jc w:val="both"/>
        <w:rPr>
          <w:rStyle w:val="author"/>
          <w:rFonts w:ascii="Times New Roman" w:hAnsi="Times New Roman"/>
          <w:sz w:val="24"/>
          <w:szCs w:val="24"/>
        </w:rPr>
      </w:pPr>
      <w:r w:rsidRPr="0029114A">
        <w:rPr>
          <w:rFonts w:ascii="Times New Roman" w:hAnsi="Times New Roman"/>
          <w:sz w:val="24"/>
          <w:szCs w:val="24"/>
        </w:rPr>
        <w:t xml:space="preserve">Bukodi, E. and Goldthorpe, J.H. (2011b)  'Social Class Returns to Higher Education: Chances of Access to the Professional and Managerial Salariat for Men in Three British Birth Cohorts', Longitudinal and Life Course Studies, vol 2, pp1-71. </w:t>
      </w:r>
      <w:r w:rsidRPr="0029114A">
        <w:rPr>
          <w:rFonts w:ascii="Times New Roman" w:eastAsia="Times New Roman" w:hAnsi="Times New Roman"/>
          <w:i/>
          <w:iCs/>
          <w:sz w:val="24"/>
          <w:szCs w:val="24"/>
          <w:lang w:eastAsia="en-GB"/>
        </w:rPr>
        <w:t>Longitudinal and Life Course Studies</w:t>
      </w:r>
      <w:r w:rsidRPr="0029114A">
        <w:rPr>
          <w:rFonts w:ascii="Times New Roman" w:eastAsia="Times New Roman" w:hAnsi="Times New Roman"/>
          <w:sz w:val="24"/>
          <w:szCs w:val="24"/>
          <w:lang w:eastAsia="en-GB"/>
        </w:rPr>
        <w:t>, vol 2, pp1-71.</w:t>
      </w:r>
    </w:p>
    <w:p w:rsidR="004849EA" w:rsidRPr="0029114A" w:rsidRDefault="004849EA" w:rsidP="004849EA">
      <w:pPr>
        <w:autoSpaceDE w:val="0"/>
        <w:autoSpaceDN w:val="0"/>
        <w:adjustRightInd w:val="0"/>
        <w:spacing w:after="0" w:line="240" w:lineRule="auto"/>
        <w:ind w:left="709" w:hanging="709"/>
        <w:jc w:val="both"/>
        <w:rPr>
          <w:rFonts w:ascii="Times New Roman" w:hAnsi="Times New Roman"/>
        </w:rPr>
      </w:pPr>
    </w:p>
    <w:p w:rsidR="004849EA" w:rsidRPr="0029114A" w:rsidRDefault="004849EA" w:rsidP="004849EA">
      <w:pPr>
        <w:autoSpaceDE w:val="0"/>
        <w:autoSpaceDN w:val="0"/>
        <w:adjustRightInd w:val="0"/>
        <w:spacing w:after="0" w:line="240" w:lineRule="auto"/>
        <w:ind w:left="709" w:hanging="709"/>
        <w:jc w:val="both"/>
        <w:rPr>
          <w:rFonts w:ascii="Times New Roman" w:hAnsi="Times New Roman"/>
          <w:sz w:val="24"/>
          <w:szCs w:val="24"/>
        </w:rPr>
      </w:pPr>
      <w:r w:rsidRPr="0029114A">
        <w:rPr>
          <w:rFonts w:ascii="Times New Roman" w:hAnsi="Times New Roman"/>
          <w:sz w:val="24"/>
          <w:szCs w:val="24"/>
        </w:rPr>
        <w:t>Bukodi, E., Dex, S. and Goldthorpe, J.H. (2011) 'The Conceptualisation and Measurement of Occupational Hierarchies: A Review, a Proposal and some Illustrative Analyses', Quality and Quantity, vol. 45, pp623-39.</w:t>
      </w:r>
    </w:p>
    <w:p w:rsidR="004849EA" w:rsidRPr="0029114A" w:rsidRDefault="004849EA" w:rsidP="004849EA">
      <w:pPr>
        <w:autoSpaceDE w:val="0"/>
        <w:autoSpaceDN w:val="0"/>
        <w:adjustRightInd w:val="0"/>
        <w:spacing w:after="0" w:line="240" w:lineRule="auto"/>
        <w:ind w:left="709" w:hanging="709"/>
        <w:jc w:val="both"/>
        <w:rPr>
          <w:rFonts w:ascii="Times New Roman" w:hAnsi="Times New Roman"/>
          <w:sz w:val="24"/>
          <w:szCs w:val="24"/>
        </w:rPr>
      </w:pP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Cabinet Office (2009). </w:t>
      </w:r>
      <w:r w:rsidRPr="0029114A">
        <w:rPr>
          <w:rFonts w:ascii="Times New Roman" w:hAnsi="Times New Roman"/>
          <w:i/>
          <w:sz w:val="24"/>
          <w:szCs w:val="24"/>
        </w:rPr>
        <w:t>Unleashing Aspirations: The Final Report of the Panel on Fair Access to the Professions</w:t>
      </w:r>
      <w:r w:rsidRPr="0029114A">
        <w:rPr>
          <w:rFonts w:ascii="Times New Roman" w:hAnsi="Times New Roman"/>
          <w:sz w:val="24"/>
          <w:szCs w:val="24"/>
        </w:rPr>
        <w:t>. London: Information Policy Team.</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Cabinet Office (2011). </w:t>
      </w:r>
      <w:r w:rsidRPr="0029114A">
        <w:rPr>
          <w:rFonts w:ascii="Times New Roman" w:hAnsi="Times New Roman"/>
          <w:i/>
          <w:sz w:val="24"/>
          <w:szCs w:val="24"/>
        </w:rPr>
        <w:t xml:space="preserve">Opening Doors, Breaking Barriers: A Strategy for Social Mobility. </w:t>
      </w:r>
      <w:r w:rsidRPr="0029114A">
        <w:rPr>
          <w:rFonts w:ascii="Times New Roman" w:hAnsi="Times New Roman"/>
          <w:sz w:val="24"/>
          <w:szCs w:val="24"/>
        </w:rPr>
        <w:t>London: Information Policy Team.</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lastRenderedPageBreak/>
        <w:t>Cabinet Office (2012</w:t>
      </w:r>
      <w:r w:rsidRPr="0029114A">
        <w:rPr>
          <w:rFonts w:ascii="Times New Roman" w:hAnsi="Times New Roman"/>
          <w:i/>
          <w:sz w:val="24"/>
          <w:szCs w:val="24"/>
        </w:rPr>
        <w:t>). Fair Access to Professional Careers: A Progress Report by the Independent Reviewer on Social Mobility and Child Poverty</w:t>
      </w:r>
      <w:r w:rsidRPr="0029114A">
        <w:rPr>
          <w:rFonts w:ascii="Times New Roman" w:hAnsi="Times New Roman"/>
          <w:sz w:val="24"/>
          <w:szCs w:val="24"/>
        </w:rPr>
        <w:t xml:space="preserve">. London: Information Policy Team. </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Cabinet Office (2013). </w:t>
      </w:r>
      <w:r w:rsidRPr="0029114A">
        <w:rPr>
          <w:rFonts w:ascii="Times New Roman" w:hAnsi="Times New Roman"/>
          <w:i/>
          <w:sz w:val="24"/>
          <w:szCs w:val="24"/>
        </w:rPr>
        <w:t>Social Mobility Indicators.</w:t>
      </w:r>
      <w:r w:rsidRPr="0029114A">
        <w:rPr>
          <w:rFonts w:ascii="Times New Roman" w:hAnsi="Times New Roman"/>
          <w:sz w:val="24"/>
          <w:szCs w:val="24"/>
        </w:rPr>
        <w:t xml:space="preserve"> [Online]. Available at: </w:t>
      </w:r>
      <w:hyperlink r:id="rId8" w:history="1">
        <w:r w:rsidRPr="0029114A">
          <w:rPr>
            <w:rFonts w:ascii="Times New Roman" w:hAnsi="Times New Roman"/>
            <w:sz w:val="24"/>
            <w:szCs w:val="24"/>
          </w:rPr>
          <w:t>http://www.dpm.cabinetoffice.gov.uk/content/social-mobility-indicators</w:t>
        </w:r>
      </w:hyperlink>
      <w:r w:rsidRPr="0029114A">
        <w:rPr>
          <w:rFonts w:ascii="Times New Roman" w:hAnsi="Times New Roman"/>
          <w:sz w:val="24"/>
          <w:szCs w:val="24"/>
        </w:rPr>
        <w:t>. Last accessed 25th August 2013.</w:t>
      </w:r>
    </w:p>
    <w:p w:rsidR="004849EA" w:rsidRPr="0029114A" w:rsidRDefault="004849EA" w:rsidP="004849EA">
      <w:pPr>
        <w:pStyle w:val="Default"/>
        <w:tabs>
          <w:tab w:val="left" w:pos="709"/>
        </w:tabs>
        <w:spacing w:after="120"/>
        <w:ind w:left="709" w:hanging="709"/>
        <w:rPr>
          <w:rFonts w:ascii="Times New Roman" w:hAnsi="Times New Roman" w:cs="Times New Roman"/>
          <w:color w:val="auto"/>
          <w:lang w:eastAsia="en-GB"/>
        </w:rPr>
      </w:pPr>
      <w:r w:rsidRPr="0029114A">
        <w:rPr>
          <w:rFonts w:ascii="Times New Roman" w:hAnsi="Times New Roman" w:cs="Times New Roman"/>
          <w:color w:val="auto"/>
          <w:lang w:eastAsia="en-GB"/>
        </w:rPr>
        <w:t xml:space="preserve">Calvó-Armengol A. (2004), “Job Contact Networks” </w:t>
      </w:r>
      <w:r w:rsidRPr="0029114A">
        <w:rPr>
          <w:rFonts w:ascii="Times New Roman" w:hAnsi="Times New Roman" w:cs="Times New Roman"/>
          <w:i/>
          <w:iCs/>
          <w:color w:val="auto"/>
          <w:lang w:eastAsia="en-GB"/>
        </w:rPr>
        <w:t xml:space="preserve">Journal of Economic Theory, </w:t>
      </w:r>
      <w:r w:rsidRPr="0029114A">
        <w:rPr>
          <w:rFonts w:ascii="Times New Roman" w:hAnsi="Times New Roman" w:cs="Times New Roman"/>
          <w:color w:val="auto"/>
          <w:lang w:eastAsia="en-GB"/>
        </w:rPr>
        <w:t xml:space="preserve">Vol 115, pp 191-206. </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lang w:eastAsia="en-GB"/>
        </w:rPr>
        <w:t xml:space="preserve">Calvó-Armengol A. (2007), “Networks in Labor Markets: Wage and employment dynamics and inequality” </w:t>
      </w:r>
      <w:r w:rsidRPr="0029114A">
        <w:rPr>
          <w:rFonts w:ascii="Times New Roman" w:hAnsi="Times New Roman"/>
          <w:i/>
          <w:iCs/>
          <w:sz w:val="24"/>
          <w:szCs w:val="24"/>
          <w:lang w:eastAsia="en-GB"/>
        </w:rPr>
        <w:t xml:space="preserve">Journal of Economic Theory, </w:t>
      </w:r>
      <w:r w:rsidRPr="0029114A">
        <w:rPr>
          <w:rFonts w:ascii="Times New Roman" w:hAnsi="Times New Roman"/>
          <w:sz w:val="24"/>
          <w:szCs w:val="24"/>
          <w:lang w:eastAsia="en-GB"/>
        </w:rPr>
        <w:t>Vol 132, Issue 1, pp 27-46.</w:t>
      </w:r>
    </w:p>
    <w:p w:rsidR="004849EA" w:rsidRPr="0029114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lang w:eastAsia="en-GB"/>
        </w:rPr>
      </w:pPr>
      <w:r w:rsidRPr="0029114A">
        <w:rPr>
          <w:rFonts w:ascii="Times New Roman" w:hAnsi="Times New Roman"/>
          <w:sz w:val="24"/>
          <w:szCs w:val="24"/>
          <w:lang w:eastAsia="en-GB"/>
        </w:rPr>
        <w:t xml:space="preserve">Casella A. and T. Hanaki (2005) “Information Transmission in Labor Markets. On the Resilience of Personal Referrals” CEPR Discussion Paper, No 4969. </w:t>
      </w:r>
    </w:p>
    <w:p w:rsidR="004849EA" w:rsidRPr="0029114A" w:rsidRDefault="004849EA" w:rsidP="004849EA">
      <w:pPr>
        <w:ind w:left="567" w:hanging="567"/>
        <w:rPr>
          <w:rFonts w:ascii="Times New Roman" w:hAnsi="Times New Roman"/>
          <w:sz w:val="24"/>
          <w:szCs w:val="24"/>
          <w:lang w:eastAsia="en-GB"/>
        </w:rPr>
      </w:pPr>
      <w:r w:rsidRPr="0029114A">
        <w:rPr>
          <w:rFonts w:ascii="Times New Roman" w:hAnsi="Times New Roman"/>
          <w:sz w:val="24"/>
          <w:szCs w:val="24"/>
          <w:lang w:eastAsia="en-GB"/>
        </w:rPr>
        <w:t>Chan and Goldthorpe, 2007“Class and Status: The conceptual distinction and its empirical relevance”, American Sociological Review 2007, Vol. 72, August, 521-532.</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Chevalier, A. (2010). </w:t>
      </w:r>
      <w:r w:rsidRPr="0029114A">
        <w:rPr>
          <w:rFonts w:ascii="Times New Roman" w:hAnsi="Times New Roman"/>
          <w:i/>
          <w:sz w:val="24"/>
          <w:szCs w:val="24"/>
        </w:rPr>
        <w:t>Does higher education quality matter in the UK</w:t>
      </w:r>
      <w:r w:rsidRPr="0029114A">
        <w:rPr>
          <w:rFonts w:ascii="Times New Roman" w:hAnsi="Times New Roman"/>
          <w:sz w:val="24"/>
          <w:szCs w:val="24"/>
        </w:rPr>
        <w:t>. Mimeo: Royal Holloway, University of London.</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Chevalier, A. (2011). ‘Subject choice and earnings of UK graduates’. </w:t>
      </w:r>
      <w:r w:rsidRPr="0029114A">
        <w:rPr>
          <w:rFonts w:ascii="Times New Roman" w:hAnsi="Times New Roman"/>
          <w:i/>
          <w:sz w:val="24"/>
          <w:szCs w:val="24"/>
        </w:rPr>
        <w:t>Economics of Education Review</w:t>
      </w:r>
      <w:r w:rsidRPr="0029114A">
        <w:rPr>
          <w:rFonts w:ascii="Times New Roman" w:hAnsi="Times New Roman"/>
          <w:sz w:val="24"/>
          <w:szCs w:val="24"/>
        </w:rPr>
        <w:t>, pp. 1187-1201.</w:t>
      </w:r>
    </w:p>
    <w:p w:rsidR="004849EA" w:rsidRPr="0029114A" w:rsidRDefault="004849EA" w:rsidP="004849EA">
      <w:pPr>
        <w:tabs>
          <w:tab w:val="left" w:pos="709"/>
        </w:tabs>
        <w:autoSpaceDE w:val="0"/>
        <w:autoSpaceDN w:val="0"/>
        <w:adjustRightInd w:val="0"/>
        <w:spacing w:after="120" w:line="240" w:lineRule="auto"/>
        <w:ind w:left="709" w:hanging="709"/>
        <w:rPr>
          <w:rStyle w:val="maintitle"/>
          <w:rFonts w:ascii="Times New Roman" w:hAnsi="Times New Roman"/>
          <w:sz w:val="24"/>
          <w:szCs w:val="24"/>
        </w:rPr>
      </w:pPr>
      <w:r w:rsidRPr="0029114A">
        <w:rPr>
          <w:rFonts w:ascii="Times New Roman" w:hAnsi="Times New Roman"/>
          <w:sz w:val="24"/>
          <w:szCs w:val="24"/>
        </w:rPr>
        <w:t xml:space="preserve">Chowdry, H., Crawford, C., Dearden, L., Goodman, A., and Vignoles, A. (2012) </w:t>
      </w:r>
      <w:r w:rsidRPr="0029114A">
        <w:rPr>
          <w:rStyle w:val="maintitle"/>
          <w:rFonts w:ascii="Times New Roman" w:hAnsi="Times New Roman"/>
          <w:sz w:val="24"/>
          <w:szCs w:val="24"/>
        </w:rPr>
        <w:t>Widening participation in higher education: analysis using linked administrative data, Journal of the Royal Statistical Society: Series A, Volume 176 Issue 2</w:t>
      </w:r>
    </w:p>
    <w:p w:rsidR="004849EA" w:rsidRPr="0029114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lang w:eastAsia="en-GB"/>
        </w:rPr>
      </w:pPr>
      <w:r w:rsidRPr="0029114A">
        <w:rPr>
          <w:rFonts w:ascii="Times New Roman" w:hAnsi="Times New Roman"/>
          <w:bCs/>
          <w:sz w:val="24"/>
          <w:szCs w:val="24"/>
        </w:rPr>
        <w:t>Coleman, J. S. (1990). Foundations of Social Theory. Cambridge, MA: Harvard University Press.</w:t>
      </w:r>
    </w:p>
    <w:p w:rsidR="004849EA" w:rsidRDefault="004849EA" w:rsidP="004849EA">
      <w:pPr>
        <w:tabs>
          <w:tab w:val="left" w:pos="709"/>
        </w:tabs>
        <w:autoSpaceDE w:val="0"/>
        <w:autoSpaceDN w:val="0"/>
        <w:adjustRightInd w:val="0"/>
        <w:spacing w:after="120" w:line="240" w:lineRule="auto"/>
        <w:ind w:left="709" w:hanging="709"/>
        <w:rPr>
          <w:rFonts w:ascii="Times New Roman" w:hAnsi="Times New Roman"/>
          <w:i/>
          <w:iCs/>
          <w:sz w:val="24"/>
          <w:szCs w:val="24"/>
          <w:lang w:eastAsia="en-GB"/>
        </w:rPr>
      </w:pPr>
      <w:r w:rsidRPr="0029114A">
        <w:rPr>
          <w:rFonts w:ascii="Times New Roman" w:hAnsi="Times New Roman"/>
          <w:sz w:val="24"/>
          <w:szCs w:val="24"/>
          <w:lang w:eastAsia="en-GB"/>
        </w:rPr>
        <w:t xml:space="preserve">Confederation of British Industry (2011). </w:t>
      </w:r>
      <w:r w:rsidRPr="0029114A">
        <w:rPr>
          <w:rFonts w:ascii="Times New Roman" w:hAnsi="Times New Roman"/>
          <w:i/>
          <w:iCs/>
          <w:sz w:val="24"/>
          <w:szCs w:val="24"/>
          <w:lang w:eastAsia="en-GB"/>
        </w:rPr>
        <w:t xml:space="preserve">Building for Growth: Business Priorities for Education and Skills – Education and Skills Survey. </w:t>
      </w:r>
    </w:p>
    <w:p w:rsidR="004849E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rPr>
      </w:pPr>
      <w:r>
        <w:rPr>
          <w:rFonts w:ascii="Times New Roman" w:hAnsi="Times New Roman"/>
          <w:color w:val="000000"/>
          <w:sz w:val="23"/>
          <w:szCs w:val="23"/>
        </w:rPr>
        <w:t>Corak, M</w:t>
      </w:r>
      <w:r w:rsidRPr="005D3659">
        <w:rPr>
          <w:rFonts w:ascii="Times New Roman" w:hAnsi="Times New Roman"/>
          <w:color w:val="000000"/>
          <w:sz w:val="23"/>
          <w:szCs w:val="23"/>
        </w:rPr>
        <w:t xml:space="preserve">. </w:t>
      </w:r>
      <w:r>
        <w:rPr>
          <w:rFonts w:ascii="Times New Roman" w:hAnsi="Times New Roman"/>
          <w:color w:val="000000"/>
          <w:sz w:val="23"/>
          <w:szCs w:val="23"/>
        </w:rPr>
        <w:t>(</w:t>
      </w:r>
      <w:r w:rsidRPr="005D3659">
        <w:rPr>
          <w:rFonts w:ascii="Times New Roman" w:hAnsi="Times New Roman"/>
          <w:color w:val="000000"/>
          <w:sz w:val="23"/>
          <w:szCs w:val="23"/>
        </w:rPr>
        <w:t>2013</w:t>
      </w:r>
      <w:r>
        <w:rPr>
          <w:rFonts w:ascii="Times New Roman" w:hAnsi="Times New Roman"/>
          <w:color w:val="000000"/>
          <w:sz w:val="23"/>
          <w:szCs w:val="23"/>
        </w:rPr>
        <w:t>)</w:t>
      </w:r>
      <w:r w:rsidRPr="005D3659">
        <w:rPr>
          <w:rFonts w:ascii="Times New Roman" w:hAnsi="Times New Roman"/>
          <w:color w:val="000000"/>
          <w:sz w:val="23"/>
          <w:szCs w:val="23"/>
        </w:rPr>
        <w:t xml:space="preserve">. ‘Income equality, equality of opportunity, and intergenerational mobility.’ </w:t>
      </w:r>
      <w:r w:rsidRPr="005D3659">
        <w:rPr>
          <w:rFonts w:ascii="Times New Roman" w:hAnsi="Times New Roman"/>
          <w:i/>
          <w:color w:val="000000"/>
          <w:sz w:val="23"/>
          <w:szCs w:val="23"/>
        </w:rPr>
        <w:t>Journal of Economic Perspectives</w:t>
      </w:r>
      <w:r w:rsidRPr="005D3659">
        <w:rPr>
          <w:rFonts w:ascii="Times New Roman" w:hAnsi="Times New Roman"/>
          <w:color w:val="000000"/>
          <w:sz w:val="23"/>
          <w:szCs w:val="23"/>
        </w:rPr>
        <w:t xml:space="preserve"> 27(3): 79 – 102.</w:t>
      </w:r>
      <w:r>
        <w:rPr>
          <w:rFonts w:ascii="Times New Roman" w:hAnsi="Times New Roman"/>
          <w:bCs/>
          <w:sz w:val="24"/>
          <w:szCs w:val="24"/>
        </w:rPr>
        <w:t xml:space="preserve">Corak, M. (2006). </w:t>
      </w:r>
      <w:r w:rsidRPr="006B75FD">
        <w:rPr>
          <w:rFonts w:ascii="Times New Roman" w:hAnsi="Times New Roman"/>
          <w:bCs/>
          <w:sz w:val="24"/>
          <w:szCs w:val="24"/>
        </w:rPr>
        <w:t>"Do Poor Children Become Poor Adults? Lessons from a Cross Country Comparison of</w:t>
      </w:r>
      <w:r>
        <w:rPr>
          <w:rFonts w:ascii="Times New Roman" w:hAnsi="Times New Roman"/>
          <w:bCs/>
          <w:sz w:val="24"/>
          <w:szCs w:val="24"/>
        </w:rPr>
        <w:t xml:space="preserve"> </w:t>
      </w:r>
      <w:r w:rsidRPr="006B75FD">
        <w:rPr>
          <w:rFonts w:ascii="Times New Roman" w:hAnsi="Times New Roman"/>
          <w:bCs/>
          <w:sz w:val="24"/>
          <w:szCs w:val="24"/>
        </w:rPr>
        <w:t>Generational Earnings Mobility", IZA Discussion Paper n. 1993.</w:t>
      </w:r>
    </w:p>
    <w:p w:rsidR="004849E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Corak, M. and Piraino, P. (2010) </w:t>
      </w:r>
      <w:r w:rsidRPr="0029114A">
        <w:rPr>
          <w:rFonts w:ascii="Times New Roman" w:hAnsi="Times New Roman"/>
          <w:i/>
          <w:sz w:val="24"/>
          <w:szCs w:val="24"/>
        </w:rPr>
        <w:t>The Intergenerational Transmission of Employers</w:t>
      </w:r>
      <w:r w:rsidRPr="0029114A">
        <w:rPr>
          <w:rFonts w:ascii="Times New Roman" w:hAnsi="Times New Roman"/>
          <w:sz w:val="24"/>
          <w:szCs w:val="24"/>
        </w:rPr>
        <w:t>. IZA Discussion Paper No. 4819</w:t>
      </w:r>
    </w:p>
    <w:p w:rsidR="004849EA" w:rsidRPr="0029114A" w:rsidRDefault="004849EA" w:rsidP="004849EA">
      <w:pPr>
        <w:tabs>
          <w:tab w:val="left" w:pos="709"/>
        </w:tabs>
        <w:autoSpaceDE w:val="0"/>
        <w:autoSpaceDN w:val="0"/>
        <w:adjustRightInd w:val="0"/>
        <w:spacing w:after="120" w:line="240" w:lineRule="auto"/>
        <w:ind w:left="567" w:hanging="567"/>
        <w:rPr>
          <w:rFonts w:ascii="Times New Roman" w:hAnsi="Times New Roman"/>
          <w:sz w:val="24"/>
          <w:szCs w:val="24"/>
        </w:rPr>
      </w:pPr>
      <w:r w:rsidRPr="0029114A">
        <w:rPr>
          <w:rFonts w:ascii="Times New Roman" w:hAnsi="Times New Roman"/>
          <w:sz w:val="24"/>
          <w:szCs w:val="24"/>
          <w:lang w:eastAsia="en-GB"/>
        </w:rPr>
        <w:t xml:space="preserve">Crawford, C. Goodman, A. and Joyce, R. (2010) </w:t>
      </w:r>
      <w:r w:rsidRPr="0029114A">
        <w:rPr>
          <w:rFonts w:ascii="Times New Roman" w:hAnsi="Times New Roman"/>
          <w:i/>
          <w:iCs/>
          <w:sz w:val="24"/>
          <w:szCs w:val="24"/>
          <w:lang w:eastAsia="en-GB"/>
        </w:rPr>
        <w:t>Explaining the socio-economic gradient in child outcomes:</w:t>
      </w:r>
      <w:r w:rsidRPr="0029114A">
        <w:rPr>
          <w:rFonts w:ascii="Times New Roman" w:hAnsi="Times New Roman"/>
          <w:sz w:val="24"/>
          <w:szCs w:val="24"/>
          <w:lang w:eastAsia="en-GB"/>
        </w:rPr>
        <w:t xml:space="preserve"> </w:t>
      </w:r>
      <w:r w:rsidRPr="0029114A">
        <w:rPr>
          <w:rFonts w:ascii="Times New Roman" w:hAnsi="Times New Roman"/>
          <w:i/>
          <w:iCs/>
          <w:sz w:val="24"/>
          <w:szCs w:val="24"/>
          <w:lang w:eastAsia="en-GB"/>
        </w:rPr>
        <w:t xml:space="preserve">the intergenerational transmission of cognitive skills. </w:t>
      </w:r>
      <w:r w:rsidRPr="0029114A">
        <w:rPr>
          <w:rFonts w:ascii="Times New Roman" w:hAnsi="Times New Roman"/>
          <w:sz w:val="24"/>
          <w:szCs w:val="24"/>
          <w:lang w:eastAsia="en-GB"/>
        </w:rPr>
        <w:t>Institute for Fiscal Studies, London.</w:t>
      </w:r>
    </w:p>
    <w:p w:rsidR="004849EA" w:rsidRPr="0029114A" w:rsidRDefault="004849EA" w:rsidP="004849EA">
      <w:pPr>
        <w:tabs>
          <w:tab w:val="left" w:pos="709"/>
        </w:tabs>
        <w:spacing w:after="120" w:line="240" w:lineRule="auto"/>
        <w:ind w:left="709" w:hanging="709"/>
        <w:rPr>
          <w:rFonts w:ascii="Times New Roman" w:hAnsi="Times New Roman"/>
          <w:i/>
          <w:sz w:val="24"/>
          <w:szCs w:val="24"/>
        </w:rPr>
      </w:pPr>
      <w:r w:rsidRPr="0029114A">
        <w:rPr>
          <w:rFonts w:ascii="Times New Roman" w:hAnsi="Times New Roman"/>
          <w:bCs/>
          <w:sz w:val="24"/>
          <w:szCs w:val="24"/>
        </w:rPr>
        <w:t>Crawford, C., Johnson, P., Machin, S</w:t>
      </w:r>
      <w:r w:rsidRPr="0029114A">
        <w:rPr>
          <w:rFonts w:ascii="Times New Roman" w:hAnsi="Times New Roman"/>
          <w:sz w:val="24"/>
          <w:szCs w:val="24"/>
        </w:rPr>
        <w:t xml:space="preserve">. </w:t>
      </w:r>
      <w:r w:rsidRPr="0029114A">
        <w:rPr>
          <w:rFonts w:ascii="Times New Roman" w:hAnsi="Times New Roman"/>
          <w:bCs/>
          <w:sz w:val="24"/>
          <w:szCs w:val="24"/>
        </w:rPr>
        <w:t>and Vignoles, A.</w:t>
      </w:r>
      <w:r w:rsidRPr="0029114A">
        <w:rPr>
          <w:rFonts w:ascii="Times New Roman" w:hAnsi="Times New Roman"/>
          <w:sz w:val="24"/>
          <w:szCs w:val="24"/>
        </w:rPr>
        <w:t xml:space="preserve"> (2011). </w:t>
      </w:r>
      <w:r w:rsidRPr="0029114A">
        <w:rPr>
          <w:rFonts w:ascii="Times New Roman" w:hAnsi="Times New Roman"/>
          <w:i/>
          <w:sz w:val="24"/>
          <w:szCs w:val="24"/>
        </w:rPr>
        <w:t>Social Mobility: A Literature Review.</w:t>
      </w:r>
    </w:p>
    <w:p w:rsidR="004849EA" w:rsidRPr="0029114A" w:rsidRDefault="004849EA" w:rsidP="004849EA">
      <w:pPr>
        <w:autoSpaceDE w:val="0"/>
        <w:autoSpaceDN w:val="0"/>
        <w:adjustRightInd w:val="0"/>
        <w:spacing w:after="0" w:line="240" w:lineRule="auto"/>
        <w:ind w:left="567" w:hanging="567"/>
        <w:rPr>
          <w:rFonts w:ascii="Times New Roman" w:hAnsi="Times New Roman"/>
          <w:sz w:val="24"/>
          <w:szCs w:val="24"/>
        </w:rPr>
      </w:pPr>
      <w:r w:rsidRPr="0029114A">
        <w:rPr>
          <w:rFonts w:ascii="Times New Roman" w:hAnsi="Times New Roman"/>
          <w:sz w:val="24"/>
          <w:szCs w:val="24"/>
        </w:rPr>
        <w:t>Devine, F., and  Li, Y. (2013) The changing relationship between origins,</w:t>
      </w:r>
      <w:r>
        <w:rPr>
          <w:rFonts w:ascii="Times New Roman" w:hAnsi="Times New Roman"/>
          <w:sz w:val="24"/>
          <w:szCs w:val="24"/>
        </w:rPr>
        <w:t xml:space="preserve"> </w:t>
      </w:r>
      <w:r w:rsidRPr="0029114A">
        <w:rPr>
          <w:rFonts w:ascii="Times New Roman" w:hAnsi="Times New Roman"/>
          <w:sz w:val="24"/>
          <w:szCs w:val="24"/>
        </w:rPr>
        <w:t>education and destinations in the 1990s and 2000s, British Journal of Sociology of Education,</w:t>
      </w:r>
      <w:r>
        <w:rPr>
          <w:rFonts w:ascii="Times New Roman" w:hAnsi="Times New Roman"/>
          <w:sz w:val="24"/>
          <w:szCs w:val="24"/>
        </w:rPr>
        <w:t xml:space="preserve"> </w:t>
      </w:r>
      <w:r w:rsidRPr="0029114A">
        <w:rPr>
          <w:rFonts w:ascii="Times New Roman" w:hAnsi="Times New Roman"/>
          <w:sz w:val="24"/>
          <w:szCs w:val="24"/>
        </w:rPr>
        <w:t>34:5-6, 766-791.</w:t>
      </w:r>
    </w:p>
    <w:p w:rsidR="004849EA" w:rsidRPr="0029114A" w:rsidRDefault="004849EA" w:rsidP="004849EA">
      <w:pPr>
        <w:autoSpaceDE w:val="0"/>
        <w:autoSpaceDN w:val="0"/>
        <w:adjustRightInd w:val="0"/>
        <w:spacing w:after="0" w:line="240" w:lineRule="auto"/>
        <w:rPr>
          <w:rFonts w:ascii="Times New Roman" w:hAnsi="Times New Roman"/>
          <w:sz w:val="24"/>
          <w:szCs w:val="24"/>
        </w:rPr>
      </w:pPr>
    </w:p>
    <w:p w:rsidR="004849EA" w:rsidRPr="0029114A" w:rsidRDefault="004849EA" w:rsidP="004849EA">
      <w:pPr>
        <w:spacing w:after="120" w:line="240" w:lineRule="auto"/>
        <w:ind w:left="720" w:hanging="720"/>
        <w:rPr>
          <w:rFonts w:ascii="Times New Roman" w:hAnsi="Times New Roman"/>
          <w:sz w:val="24"/>
          <w:szCs w:val="24"/>
        </w:rPr>
      </w:pPr>
      <w:r w:rsidRPr="0029114A">
        <w:rPr>
          <w:rFonts w:ascii="Times New Roman" w:hAnsi="Times New Roman"/>
          <w:sz w:val="24"/>
          <w:szCs w:val="24"/>
        </w:rPr>
        <w:t xml:space="preserve">Erikson R. and J. H. Goldthorpe, (2010) ‘Has social mobility in Britain decreased? Reconciling divergent findings on income and class mobility’ </w:t>
      </w:r>
      <w:r w:rsidRPr="0029114A">
        <w:rPr>
          <w:rFonts w:ascii="Times New Roman" w:hAnsi="Times New Roman"/>
          <w:i/>
          <w:sz w:val="24"/>
          <w:szCs w:val="24"/>
        </w:rPr>
        <w:t xml:space="preserve">British Journal of Sociology, </w:t>
      </w:r>
      <w:r w:rsidRPr="0029114A">
        <w:rPr>
          <w:rFonts w:ascii="Times New Roman" w:hAnsi="Times New Roman"/>
          <w:sz w:val="24"/>
          <w:szCs w:val="24"/>
        </w:rPr>
        <w:t>61, 211-230.</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lastRenderedPageBreak/>
        <w:t xml:space="preserve">Ermisch, J., Jantti, M. and Smeeding, T. (2012) </w:t>
      </w:r>
      <w:r w:rsidRPr="0029114A">
        <w:rPr>
          <w:rFonts w:ascii="Times New Roman" w:hAnsi="Times New Roman"/>
          <w:i/>
          <w:sz w:val="24"/>
          <w:szCs w:val="24"/>
        </w:rPr>
        <w:t xml:space="preserve">The Intergenerational Transmissions of Advantage, </w:t>
      </w:r>
      <w:r w:rsidRPr="0029114A">
        <w:rPr>
          <w:rFonts w:ascii="Times New Roman" w:hAnsi="Times New Roman"/>
          <w:sz w:val="24"/>
          <w:szCs w:val="24"/>
        </w:rPr>
        <w:t>New York: Russell Sage Foundation.</w:t>
      </w:r>
    </w:p>
    <w:p w:rsidR="004849EA" w:rsidRPr="000E0103" w:rsidRDefault="004849EA" w:rsidP="004849EA">
      <w:pPr>
        <w:tabs>
          <w:tab w:val="left" w:pos="709"/>
        </w:tabs>
        <w:autoSpaceDE w:val="0"/>
        <w:autoSpaceDN w:val="0"/>
        <w:adjustRightInd w:val="0"/>
        <w:spacing w:after="120" w:line="240" w:lineRule="auto"/>
        <w:ind w:left="709" w:hanging="709"/>
        <w:rPr>
          <w:rFonts w:ascii="Times New Roman" w:hAnsi="Times New Roman"/>
          <w:iCs/>
          <w:sz w:val="24"/>
          <w:szCs w:val="24"/>
          <w:lang w:eastAsia="en-GB"/>
        </w:rPr>
      </w:pPr>
      <w:r w:rsidRPr="000E0103">
        <w:rPr>
          <w:rFonts w:ascii="Times New Roman" w:hAnsi="Times New Roman"/>
          <w:iCs/>
          <w:sz w:val="24"/>
          <w:szCs w:val="24"/>
          <w:lang w:eastAsia="en-GB"/>
        </w:rPr>
        <w:t>Francis, A. &amp; Sommerlad, H. (2009)</w:t>
      </w:r>
      <w:r>
        <w:rPr>
          <w:rFonts w:ascii="Times New Roman" w:hAnsi="Times New Roman"/>
          <w:iCs/>
          <w:sz w:val="24"/>
          <w:szCs w:val="24"/>
          <w:lang w:eastAsia="en-GB"/>
        </w:rPr>
        <w:t>.</w:t>
      </w:r>
      <w:r w:rsidRPr="000E0103">
        <w:rPr>
          <w:rFonts w:ascii="Times New Roman" w:hAnsi="Times New Roman"/>
          <w:iCs/>
          <w:sz w:val="24"/>
          <w:szCs w:val="24"/>
          <w:lang w:eastAsia="en-GB"/>
        </w:rPr>
        <w:t xml:space="preserve"> “Access to legal work experience and its role in the (re)production of legal professional identity” </w:t>
      </w:r>
      <w:r w:rsidRPr="000E0103">
        <w:rPr>
          <w:rFonts w:ascii="Times New Roman" w:hAnsi="Times New Roman"/>
          <w:i/>
          <w:iCs/>
          <w:sz w:val="24"/>
          <w:szCs w:val="24"/>
          <w:lang w:eastAsia="en-GB"/>
        </w:rPr>
        <w:t>International Journal of the Legal Profession</w:t>
      </w:r>
      <w:r w:rsidRPr="000E0103">
        <w:rPr>
          <w:rFonts w:ascii="Times New Roman" w:hAnsi="Times New Roman"/>
          <w:iCs/>
          <w:sz w:val="24"/>
          <w:szCs w:val="24"/>
          <w:lang w:eastAsia="en-GB"/>
        </w:rPr>
        <w:t xml:space="preserve"> 16:1, 71 </w:t>
      </w:r>
    </w:p>
    <w:p w:rsidR="004849EA" w:rsidRPr="0029114A" w:rsidRDefault="004849EA" w:rsidP="004849EA">
      <w:pPr>
        <w:pStyle w:val="Default"/>
        <w:tabs>
          <w:tab w:val="left" w:pos="709"/>
        </w:tabs>
        <w:spacing w:after="120"/>
        <w:ind w:left="709" w:hanging="709"/>
        <w:rPr>
          <w:rFonts w:ascii="Times New Roman" w:hAnsi="Times New Roman" w:cs="Times New Roman"/>
          <w:color w:val="auto"/>
          <w:lang w:eastAsia="en-GB"/>
        </w:rPr>
      </w:pPr>
      <w:r w:rsidRPr="0029114A">
        <w:rPr>
          <w:rFonts w:ascii="Times New Roman" w:hAnsi="Times New Roman" w:cs="Times New Roman"/>
          <w:color w:val="auto"/>
        </w:rPr>
        <w:t xml:space="preserve">Goodman A., Gregg, P., and Washbrook, E. (2011) </w:t>
      </w:r>
      <w:r w:rsidRPr="0029114A">
        <w:rPr>
          <w:rFonts w:ascii="Times New Roman" w:hAnsi="Times New Roman" w:cs="Times New Roman"/>
          <w:color w:val="auto"/>
          <w:lang w:eastAsia="en-GB"/>
        </w:rPr>
        <w:t xml:space="preserve"> </w:t>
      </w:r>
      <w:r w:rsidRPr="0029114A">
        <w:rPr>
          <w:rFonts w:ascii="Times New Roman" w:hAnsi="Times New Roman" w:cs="Times New Roman"/>
          <w:bCs/>
          <w:color w:val="auto"/>
          <w:lang w:eastAsia="en-GB"/>
        </w:rPr>
        <w:t xml:space="preserve">Children’s educational attainment and the aspirations, attitudes and behaviours of parents and children through childhood in the UK, </w:t>
      </w:r>
      <w:r w:rsidRPr="0029114A">
        <w:rPr>
          <w:rFonts w:ascii="Times New Roman" w:hAnsi="Times New Roman" w:cs="Times New Roman"/>
          <w:bCs/>
          <w:i/>
          <w:iCs/>
          <w:color w:val="auto"/>
        </w:rPr>
        <w:t>Longitudinal and Life Course Studies 2011 Volume 2 Issue 1 Pp 1 – 18</w:t>
      </w:r>
    </w:p>
    <w:p w:rsidR="004849EA" w:rsidRPr="0029114A" w:rsidRDefault="004849EA" w:rsidP="004849EA">
      <w:pPr>
        <w:pStyle w:val="Default"/>
        <w:tabs>
          <w:tab w:val="left" w:pos="709"/>
        </w:tabs>
        <w:spacing w:after="120"/>
        <w:ind w:left="709" w:hanging="709"/>
        <w:rPr>
          <w:rFonts w:ascii="Times New Roman" w:hAnsi="Times New Roman" w:cs="Times New Roman"/>
          <w:bCs/>
          <w:color w:val="auto"/>
          <w:lang w:eastAsia="en-GB"/>
        </w:rPr>
      </w:pPr>
      <w:r w:rsidRPr="0029114A">
        <w:rPr>
          <w:rFonts w:ascii="Times New Roman" w:hAnsi="Times New Roman" w:cs="Times New Roman"/>
          <w:bCs/>
          <w:color w:val="auto"/>
          <w:lang w:eastAsia="en-GB"/>
        </w:rPr>
        <w:t xml:space="preserve">Goldthorpe, J. (2013) “Understanding – and Misunderstanding – Social Mobility in Britain: The Entry of the Economists, the Confusion of Politicians and the Limits of Educational Policy.” </w:t>
      </w:r>
      <w:r w:rsidRPr="0029114A">
        <w:rPr>
          <w:rFonts w:ascii="Times New Roman" w:hAnsi="Times New Roman" w:cs="Times New Roman"/>
          <w:bCs/>
          <w:i/>
          <w:color w:val="auto"/>
          <w:lang w:eastAsia="en-GB"/>
        </w:rPr>
        <w:t>Journal of Social Policy</w:t>
      </w:r>
      <w:r w:rsidRPr="0029114A">
        <w:rPr>
          <w:rFonts w:ascii="Times New Roman" w:hAnsi="Times New Roman" w:cs="Times New Roman"/>
          <w:bCs/>
          <w:color w:val="auto"/>
          <w:lang w:eastAsia="en-GB"/>
        </w:rPr>
        <w:t>, 42 (3), 431-450.</w:t>
      </w:r>
    </w:p>
    <w:p w:rsidR="004849EA" w:rsidRPr="0029114A" w:rsidRDefault="004849EA" w:rsidP="004849EA">
      <w:pPr>
        <w:spacing w:before="100" w:after="0"/>
        <w:ind w:left="709" w:hanging="709"/>
        <w:jc w:val="both"/>
        <w:rPr>
          <w:rFonts w:ascii="Times New Roman" w:hAnsi="Times New Roman"/>
          <w:color w:val="000000"/>
          <w:sz w:val="24"/>
          <w:szCs w:val="24"/>
        </w:rPr>
      </w:pPr>
      <w:r w:rsidRPr="0029114A">
        <w:rPr>
          <w:rFonts w:ascii="Times New Roman" w:hAnsi="Times New Roman"/>
          <w:color w:val="000000"/>
          <w:sz w:val="24"/>
          <w:szCs w:val="24"/>
        </w:rPr>
        <w:t xml:space="preserve">Goldthorpe, J. and McKnight, A. (2006). “The Economic Basis of Social Class.” Pp. 109–36 in </w:t>
      </w:r>
      <w:r w:rsidRPr="0029114A">
        <w:rPr>
          <w:rFonts w:ascii="Times New Roman" w:hAnsi="Times New Roman"/>
          <w:i/>
          <w:color w:val="000000"/>
          <w:sz w:val="24"/>
          <w:szCs w:val="24"/>
        </w:rPr>
        <w:t>Mobility and Inequality: Frontiers of Research from Sociology and Economics</w:t>
      </w:r>
      <w:r w:rsidRPr="0029114A">
        <w:rPr>
          <w:rFonts w:ascii="Times New Roman" w:hAnsi="Times New Roman"/>
          <w:color w:val="000000"/>
          <w:sz w:val="24"/>
          <w:szCs w:val="24"/>
        </w:rPr>
        <w:t>, edited by S. Morgan, D. B. Grusky, and G. S. Fields. Stanford, CA: Stanford University Press.</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Granovetter M. (1973) “The Strength of Weak Ties” </w:t>
      </w:r>
      <w:r w:rsidRPr="0029114A">
        <w:rPr>
          <w:rFonts w:ascii="Times New Roman" w:hAnsi="Times New Roman"/>
          <w:i/>
          <w:iCs/>
          <w:sz w:val="24"/>
          <w:szCs w:val="24"/>
        </w:rPr>
        <w:t xml:space="preserve">American Journal of Sociology, </w:t>
      </w:r>
      <w:r w:rsidRPr="0029114A">
        <w:rPr>
          <w:rFonts w:ascii="Times New Roman" w:hAnsi="Times New Roman"/>
          <w:sz w:val="24"/>
          <w:szCs w:val="24"/>
        </w:rPr>
        <w:t>78 (May), pp1360-1380.</w:t>
      </w:r>
    </w:p>
    <w:p w:rsidR="004849EA" w:rsidRPr="0029114A" w:rsidRDefault="004849EA" w:rsidP="004849EA">
      <w:pPr>
        <w:tabs>
          <w:tab w:val="left" w:pos="709"/>
        </w:tabs>
        <w:spacing w:after="120" w:line="240" w:lineRule="auto"/>
        <w:ind w:left="709" w:hanging="709"/>
        <w:rPr>
          <w:rFonts w:ascii="Times New Roman" w:hAnsi="Times New Roman"/>
          <w:bCs/>
          <w:sz w:val="24"/>
          <w:szCs w:val="24"/>
        </w:rPr>
      </w:pPr>
      <w:r w:rsidRPr="0029114A">
        <w:rPr>
          <w:rFonts w:ascii="Times New Roman" w:hAnsi="Times New Roman"/>
          <w:sz w:val="24"/>
          <w:szCs w:val="24"/>
        </w:rPr>
        <w:t>Granovetter, M. (</w:t>
      </w:r>
      <w:r w:rsidRPr="0029114A">
        <w:rPr>
          <w:rFonts w:ascii="Times New Roman" w:hAnsi="Times New Roman"/>
          <w:bCs/>
          <w:sz w:val="24"/>
          <w:szCs w:val="24"/>
        </w:rPr>
        <w:t>1974: 1995). Getting a Job: A Study of Contacts and Careers, first ed., Harvard University Press; Second ed., 1995, Chicago: University of Chicago Press.</w:t>
      </w:r>
    </w:p>
    <w:p w:rsidR="004849EA" w:rsidRDefault="004849EA" w:rsidP="004849EA">
      <w:pPr>
        <w:tabs>
          <w:tab w:val="left" w:pos="709"/>
        </w:tabs>
        <w:spacing w:after="120" w:line="240" w:lineRule="auto"/>
        <w:ind w:left="709" w:hanging="709"/>
        <w:rPr>
          <w:rFonts w:ascii="Times New Roman" w:hAnsi="Times New Roman"/>
          <w:sz w:val="24"/>
          <w:szCs w:val="24"/>
        </w:rPr>
      </w:pPr>
      <w:r w:rsidRPr="006B75FD">
        <w:rPr>
          <w:rFonts w:ascii="Times New Roman" w:hAnsi="Times New Roman"/>
          <w:sz w:val="24"/>
          <w:szCs w:val="24"/>
        </w:rPr>
        <w:t>Grawe, N.D. (2004), "Intergenerational mobility for whom? The experience of high- and low-earning</w:t>
      </w:r>
      <w:r>
        <w:rPr>
          <w:rFonts w:ascii="Times New Roman" w:hAnsi="Times New Roman"/>
          <w:sz w:val="24"/>
          <w:szCs w:val="24"/>
        </w:rPr>
        <w:t xml:space="preserve"> </w:t>
      </w:r>
      <w:r w:rsidRPr="006B75FD">
        <w:rPr>
          <w:rFonts w:ascii="Times New Roman" w:hAnsi="Times New Roman"/>
          <w:sz w:val="24"/>
          <w:szCs w:val="24"/>
        </w:rPr>
        <w:t xml:space="preserve">sons in international perspective", Chapter 4 in M. Corak (ed.), </w:t>
      </w:r>
      <w:r w:rsidRPr="006B75FD">
        <w:rPr>
          <w:rFonts w:ascii="Times New Roman" w:hAnsi="Times New Roman"/>
          <w:i/>
          <w:sz w:val="24"/>
          <w:szCs w:val="24"/>
        </w:rPr>
        <w:t>Generational Income Mobility in North America and Europe,</w:t>
      </w:r>
      <w:r w:rsidRPr="006B75FD">
        <w:rPr>
          <w:rFonts w:ascii="Times New Roman" w:hAnsi="Times New Roman"/>
          <w:sz w:val="24"/>
          <w:szCs w:val="24"/>
        </w:rPr>
        <w:t xml:space="preserve"> Cambridge, Cambridge University Press, pp. 58-89.</w:t>
      </w:r>
    </w:p>
    <w:p w:rsidR="004849EA" w:rsidRDefault="004849EA" w:rsidP="004849EA">
      <w:pPr>
        <w:tabs>
          <w:tab w:val="left" w:pos="709"/>
        </w:tabs>
        <w:spacing w:after="120" w:line="240" w:lineRule="auto"/>
        <w:ind w:left="709" w:hanging="709"/>
        <w:rPr>
          <w:rFonts w:ascii="Times New Roman" w:hAnsi="Times New Roman"/>
          <w:sz w:val="24"/>
          <w:szCs w:val="24"/>
        </w:rPr>
      </w:pPr>
      <w:r w:rsidRPr="00722F2D">
        <w:rPr>
          <w:rFonts w:ascii="Times New Roman" w:hAnsi="Times New Roman"/>
          <w:sz w:val="24"/>
          <w:szCs w:val="24"/>
        </w:rPr>
        <w:t>Green, F., Machin, S., Murphy, R. &amp; Zhu, Y. (2012). "</w:t>
      </w:r>
      <w:hyperlink r:id="rId9" w:history="1">
        <w:r w:rsidRPr="00722F2D">
          <w:rPr>
            <w:rFonts w:ascii="Times New Roman" w:hAnsi="Times New Roman"/>
            <w:sz w:val="24"/>
            <w:szCs w:val="24"/>
          </w:rPr>
          <w:t>The Changing Economic Advantage from Private Schools</w:t>
        </w:r>
      </w:hyperlink>
      <w:r w:rsidRPr="00722F2D">
        <w:rPr>
          <w:rFonts w:ascii="Times New Roman" w:hAnsi="Times New Roman"/>
          <w:sz w:val="24"/>
          <w:szCs w:val="24"/>
        </w:rPr>
        <w:t xml:space="preserve">," </w:t>
      </w:r>
      <w:hyperlink r:id="rId10" w:history="1">
        <w:r w:rsidRPr="00722F2D">
          <w:rPr>
            <w:rFonts w:ascii="Times New Roman" w:hAnsi="Times New Roman"/>
            <w:i/>
            <w:sz w:val="24"/>
            <w:szCs w:val="24"/>
          </w:rPr>
          <w:t>Economica</w:t>
        </w:r>
      </w:hyperlink>
      <w:r w:rsidRPr="00722F2D">
        <w:rPr>
          <w:rFonts w:ascii="Times New Roman" w:hAnsi="Times New Roman"/>
          <w:sz w:val="24"/>
          <w:szCs w:val="24"/>
        </w:rPr>
        <w:t>, London School of Economics and Political Science, vol. 79(316), pages 658-679, October.</w:t>
      </w:r>
    </w:p>
    <w:p w:rsidR="004849EA" w:rsidRPr="0029114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lang w:eastAsia="en-GB"/>
        </w:rPr>
      </w:pPr>
      <w:r w:rsidRPr="0029114A">
        <w:rPr>
          <w:rFonts w:ascii="Times New Roman" w:hAnsi="Times New Roman"/>
          <w:sz w:val="24"/>
          <w:szCs w:val="24"/>
          <w:lang w:eastAsia="en-GB"/>
        </w:rPr>
        <w:t xml:space="preserve">Gregg, P. and Macmillan, L. (2010) “Family income, education and cognitive ability in the next generation: exploring income gradients in education and test scores for current cohorts of youth” in </w:t>
      </w:r>
      <w:r w:rsidRPr="0029114A">
        <w:rPr>
          <w:rFonts w:ascii="Times New Roman" w:hAnsi="Times New Roman"/>
          <w:i/>
          <w:iCs/>
          <w:sz w:val="24"/>
          <w:szCs w:val="24"/>
          <w:lang w:eastAsia="en-GB"/>
        </w:rPr>
        <w:t xml:space="preserve">Longitudinal and Life Course Studies, </w:t>
      </w:r>
      <w:r w:rsidRPr="0029114A">
        <w:rPr>
          <w:rFonts w:ascii="Times New Roman" w:hAnsi="Times New Roman"/>
          <w:sz w:val="24"/>
          <w:szCs w:val="24"/>
          <w:lang w:eastAsia="en-GB"/>
        </w:rPr>
        <w:t>2010 Volume 1 Issue 3 pp 259–280.</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Gregg, P. and Macmillan, L. (2012). </w:t>
      </w:r>
      <w:r w:rsidRPr="0029114A">
        <w:rPr>
          <w:rFonts w:ascii="Times New Roman" w:hAnsi="Times New Roman"/>
          <w:i/>
          <w:sz w:val="24"/>
          <w:szCs w:val="24"/>
        </w:rPr>
        <w:t>Measuring Mobility</w:t>
      </w:r>
      <w:r w:rsidRPr="0029114A">
        <w:rPr>
          <w:rFonts w:ascii="Times New Roman" w:hAnsi="Times New Roman"/>
          <w:sz w:val="24"/>
          <w:szCs w:val="24"/>
        </w:rPr>
        <w:t>. University of Bristol.</w:t>
      </w:r>
    </w:p>
    <w:p w:rsidR="004849EA" w:rsidRPr="0029114A" w:rsidRDefault="004849EA" w:rsidP="004849EA">
      <w:pPr>
        <w:tabs>
          <w:tab w:val="left" w:pos="709"/>
        </w:tabs>
        <w:spacing w:after="120" w:line="240" w:lineRule="auto"/>
        <w:ind w:left="709" w:hanging="709"/>
        <w:rPr>
          <w:rFonts w:ascii="Times New Roman" w:hAnsi="Times New Roman"/>
          <w:sz w:val="24"/>
          <w:szCs w:val="24"/>
          <w:lang w:eastAsia="en-GB"/>
        </w:rPr>
      </w:pPr>
      <w:r w:rsidRPr="0029114A">
        <w:rPr>
          <w:rFonts w:ascii="Times New Roman" w:hAnsi="Times New Roman"/>
          <w:sz w:val="24"/>
          <w:szCs w:val="24"/>
          <w:lang w:eastAsia="en-GB"/>
        </w:rPr>
        <w:t>Haider, S., and Solon, G. (2006). "</w:t>
      </w:r>
      <w:hyperlink r:id="rId11" w:history="1">
        <w:r w:rsidRPr="0029114A">
          <w:rPr>
            <w:rFonts w:ascii="Times New Roman" w:hAnsi="Times New Roman"/>
            <w:sz w:val="24"/>
            <w:szCs w:val="24"/>
            <w:lang w:eastAsia="en-GB"/>
          </w:rPr>
          <w:t>Life-Cycle Variation in the Association between Current and Lifetime Earnings</w:t>
        </w:r>
      </w:hyperlink>
      <w:r w:rsidRPr="0029114A">
        <w:rPr>
          <w:rFonts w:ascii="Times New Roman" w:hAnsi="Times New Roman"/>
          <w:sz w:val="24"/>
          <w:szCs w:val="24"/>
          <w:lang w:eastAsia="en-GB"/>
        </w:rPr>
        <w:t xml:space="preserve">," </w:t>
      </w:r>
      <w:hyperlink r:id="rId12" w:history="1">
        <w:r w:rsidRPr="0029114A">
          <w:rPr>
            <w:rFonts w:ascii="Times New Roman" w:hAnsi="Times New Roman"/>
            <w:i/>
            <w:sz w:val="24"/>
            <w:szCs w:val="24"/>
            <w:lang w:eastAsia="en-GB"/>
          </w:rPr>
          <w:t>American Economic Review</w:t>
        </w:r>
      </w:hyperlink>
      <w:r w:rsidRPr="0029114A">
        <w:rPr>
          <w:rFonts w:ascii="Times New Roman" w:hAnsi="Times New Roman"/>
          <w:sz w:val="24"/>
          <w:szCs w:val="24"/>
          <w:lang w:eastAsia="en-GB"/>
        </w:rPr>
        <w:t>, American Economic Association, vol. 96(4), pages 1308-1320, September.</w:t>
      </w:r>
    </w:p>
    <w:p w:rsidR="004849EA" w:rsidRDefault="004849EA" w:rsidP="004849EA">
      <w:pPr>
        <w:tabs>
          <w:tab w:val="left" w:pos="709"/>
        </w:tabs>
        <w:spacing w:after="120" w:line="240" w:lineRule="auto"/>
        <w:ind w:left="709" w:hanging="709"/>
        <w:rPr>
          <w:rFonts w:ascii="Times New Roman" w:hAnsi="Times New Roman"/>
          <w:i/>
          <w:sz w:val="24"/>
          <w:szCs w:val="24"/>
        </w:rPr>
      </w:pPr>
      <w:r w:rsidRPr="0029114A">
        <w:rPr>
          <w:rFonts w:ascii="Times New Roman" w:hAnsi="Times New Roman"/>
          <w:sz w:val="24"/>
          <w:szCs w:val="24"/>
        </w:rPr>
        <w:t xml:space="preserve">HEFCE (2011). </w:t>
      </w:r>
      <w:r w:rsidRPr="0029114A">
        <w:rPr>
          <w:rFonts w:ascii="Times New Roman" w:hAnsi="Times New Roman"/>
          <w:i/>
          <w:sz w:val="24"/>
          <w:szCs w:val="24"/>
        </w:rPr>
        <w:t>Approaches to measuring employment circumstances of recent graduates.</w:t>
      </w:r>
    </w:p>
    <w:p w:rsidR="004849EA" w:rsidRDefault="004849EA" w:rsidP="004849EA">
      <w:pPr>
        <w:tabs>
          <w:tab w:val="left" w:pos="709"/>
        </w:tabs>
        <w:spacing w:after="120" w:line="240" w:lineRule="auto"/>
        <w:ind w:left="709" w:hanging="709"/>
        <w:rPr>
          <w:rFonts w:ascii="Times New Roman" w:hAnsi="Times New Roman"/>
          <w:i/>
          <w:sz w:val="24"/>
          <w:szCs w:val="24"/>
        </w:rPr>
      </w:pPr>
      <w:r>
        <w:rPr>
          <w:rFonts w:ascii="Times New Roman" w:hAnsi="Times New Roman"/>
          <w:sz w:val="24"/>
          <w:szCs w:val="24"/>
        </w:rPr>
        <w:t xml:space="preserve">Higher Education Statistics Agency (HESA) (2009) Technical Report destinations of Leavers from Higher Education (DLHE) Longitudinal Survey 2004/05”, </w:t>
      </w:r>
      <w:r w:rsidRPr="00B062F7">
        <w:rPr>
          <w:rFonts w:ascii="Times New Roman" w:hAnsi="Times New Roman"/>
          <w:sz w:val="24"/>
          <w:szCs w:val="24"/>
        </w:rPr>
        <w:t>http://www.hesa.ac.uk/dox/dlhe_longitudinal/Second_survey/Longitudinal_DLHE_0809_Technical_Report_FINAL_280709.pdf</w:t>
      </w:r>
      <w:r>
        <w:rPr>
          <w:rFonts w:ascii="Times New Roman" w:hAnsi="Times New Roman"/>
          <w:sz w:val="24"/>
          <w:szCs w:val="24"/>
        </w:rPr>
        <w:t>.</w:t>
      </w:r>
    </w:p>
    <w:p w:rsidR="004849EA" w:rsidRPr="0029114A" w:rsidRDefault="004849EA" w:rsidP="004849EA">
      <w:pPr>
        <w:tabs>
          <w:tab w:val="left" w:pos="709"/>
        </w:tabs>
        <w:autoSpaceDE w:val="0"/>
        <w:autoSpaceDN w:val="0"/>
        <w:adjustRightInd w:val="0"/>
        <w:spacing w:after="120" w:line="240" w:lineRule="auto"/>
        <w:ind w:left="709" w:hanging="709"/>
        <w:rPr>
          <w:rFonts w:ascii="Times New Roman" w:eastAsia="Times New Roman" w:hAnsi="Times New Roman"/>
          <w:sz w:val="24"/>
          <w:szCs w:val="24"/>
        </w:rPr>
      </w:pPr>
      <w:r w:rsidRPr="0029114A">
        <w:rPr>
          <w:rFonts w:ascii="Times New Roman" w:eastAsia="Times New Roman" w:hAnsi="Times New Roman"/>
          <w:sz w:val="24"/>
          <w:szCs w:val="24"/>
        </w:rPr>
        <w:t xml:space="preserve">Holzer (1988). “Search Method Use by Unemployed Youth.” </w:t>
      </w:r>
      <w:r w:rsidRPr="0029114A">
        <w:rPr>
          <w:rFonts w:ascii="Times New Roman" w:eastAsia="Times New Roman" w:hAnsi="Times New Roman"/>
          <w:i/>
          <w:sz w:val="24"/>
          <w:szCs w:val="24"/>
        </w:rPr>
        <w:t>Journal of Labor Economics</w:t>
      </w:r>
      <w:r w:rsidRPr="0029114A">
        <w:rPr>
          <w:rFonts w:ascii="Times New Roman" w:eastAsia="Times New Roman" w:hAnsi="Times New Roman"/>
          <w:sz w:val="24"/>
          <w:szCs w:val="24"/>
        </w:rPr>
        <w:t>. Vol. 6, No. 1 pp. 1-20.</w:t>
      </w:r>
    </w:p>
    <w:p w:rsidR="004849EA" w:rsidRPr="0029114A" w:rsidRDefault="004849EA" w:rsidP="004849EA">
      <w:pPr>
        <w:pStyle w:val="FootnoteText"/>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Ioannides, Y., and Loury, L. (2004) “Job information networks, neighbourhood effects and inequality,” </w:t>
      </w:r>
      <w:r w:rsidRPr="0029114A">
        <w:rPr>
          <w:rFonts w:ascii="Times New Roman" w:hAnsi="Times New Roman"/>
          <w:i/>
          <w:sz w:val="24"/>
          <w:szCs w:val="24"/>
        </w:rPr>
        <w:t xml:space="preserve">Journal of Economic Literature, </w:t>
      </w:r>
      <w:r w:rsidRPr="0029114A">
        <w:rPr>
          <w:rFonts w:ascii="Times New Roman" w:hAnsi="Times New Roman"/>
          <w:sz w:val="24"/>
          <w:szCs w:val="24"/>
        </w:rPr>
        <w:t xml:space="preserve">Vol. 42(4). pp. 1056-1093   </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Style w:val="maintitle"/>
          <w:rFonts w:ascii="Times New Roman" w:hAnsi="Times New Roman"/>
          <w:sz w:val="24"/>
          <w:szCs w:val="24"/>
        </w:rPr>
        <w:lastRenderedPageBreak/>
        <w:t>Jerrim, J. (2012) The Socio-Economic Gradient in Teenagers' Reading Skills: How Does England Compare with Other Countries?</w:t>
      </w:r>
      <w:r w:rsidRPr="0029114A">
        <w:rPr>
          <w:rStyle w:val="maintitle"/>
          <w:rFonts w:ascii="Times New Roman" w:hAnsi="Times New Roman"/>
          <w:sz w:val="24"/>
          <w:szCs w:val="24"/>
          <w:vertAlign w:val="superscript"/>
        </w:rPr>
        <w:t xml:space="preserve"> </w:t>
      </w:r>
      <w:r w:rsidRPr="0029114A">
        <w:rPr>
          <w:rFonts w:ascii="Times New Roman" w:hAnsi="Times New Roman"/>
          <w:sz w:val="24"/>
          <w:szCs w:val="24"/>
        </w:rPr>
        <w:t>Fiscal Studies, Volume 33 Issue 2.</w:t>
      </w:r>
    </w:p>
    <w:p w:rsidR="004849EA" w:rsidRPr="000E0103" w:rsidRDefault="004849EA" w:rsidP="004849EA">
      <w:pPr>
        <w:pStyle w:val="FootnoteText"/>
        <w:tabs>
          <w:tab w:val="left" w:pos="709"/>
        </w:tabs>
        <w:spacing w:after="120" w:line="240" w:lineRule="auto"/>
        <w:ind w:left="709" w:hanging="709"/>
        <w:rPr>
          <w:rFonts w:ascii="Times New Roman" w:hAnsi="Times New Roman"/>
          <w:sz w:val="24"/>
          <w:szCs w:val="24"/>
        </w:rPr>
      </w:pPr>
      <w:r w:rsidRPr="000E0103">
        <w:rPr>
          <w:rFonts w:ascii="Times New Roman" w:hAnsi="Times New Roman"/>
          <w:sz w:val="24"/>
          <w:szCs w:val="24"/>
        </w:rPr>
        <w:t>Ke</w:t>
      </w:r>
      <w:r>
        <w:rPr>
          <w:rFonts w:ascii="Times New Roman" w:hAnsi="Times New Roman"/>
          <w:sz w:val="24"/>
          <w:szCs w:val="24"/>
        </w:rPr>
        <w:t xml:space="preserve">mple, J. with Willner C (2008). </w:t>
      </w:r>
      <w:r w:rsidRPr="000E0103">
        <w:rPr>
          <w:rFonts w:ascii="Times New Roman" w:hAnsi="Times New Roman"/>
          <w:i/>
          <w:sz w:val="24"/>
          <w:szCs w:val="24"/>
        </w:rPr>
        <w:t>Career Academies Long-Term Impacts on Labor Market Outcomes, Educational Attainment, and Transitions to Adulthood</w:t>
      </w:r>
      <w:r>
        <w:rPr>
          <w:rFonts w:ascii="Times New Roman" w:hAnsi="Times New Roman"/>
          <w:sz w:val="24"/>
          <w:szCs w:val="24"/>
        </w:rPr>
        <w:t>. Manpower Development Research Corporation.</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Kramarz, F. </w:t>
      </w:r>
      <w:r>
        <w:rPr>
          <w:rFonts w:ascii="Times New Roman" w:hAnsi="Times New Roman"/>
          <w:sz w:val="24"/>
          <w:szCs w:val="24"/>
        </w:rPr>
        <w:t>a</w:t>
      </w:r>
      <w:r w:rsidRPr="0029114A">
        <w:rPr>
          <w:rFonts w:ascii="Times New Roman" w:hAnsi="Times New Roman"/>
          <w:sz w:val="24"/>
          <w:szCs w:val="24"/>
        </w:rPr>
        <w:t xml:space="preserve">nd Skans, O. (2006) “Nepotism at work? Family networks and youth labour market entry” Unpublished manuscript, Symposium of Labor Economics (ESSLE). </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Langlands, A. (2005). </w:t>
      </w:r>
      <w:r w:rsidRPr="0029114A">
        <w:rPr>
          <w:rFonts w:ascii="Times New Roman" w:hAnsi="Times New Roman"/>
          <w:i/>
          <w:sz w:val="24"/>
          <w:szCs w:val="24"/>
        </w:rPr>
        <w:t>The Gateways to the Professions Report (‘The Langlands Report’)</w:t>
      </w:r>
      <w:r w:rsidRPr="0029114A">
        <w:rPr>
          <w:rFonts w:ascii="Times New Roman" w:hAnsi="Times New Roman"/>
          <w:sz w:val="24"/>
          <w:szCs w:val="24"/>
        </w:rPr>
        <w:t>. Nottingham: DfES.</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Loury, </w:t>
      </w:r>
      <w:r w:rsidRPr="0029114A">
        <w:rPr>
          <w:rFonts w:ascii="Times New Roman" w:hAnsi="Times New Roman"/>
          <w:bCs/>
          <w:sz w:val="24"/>
          <w:szCs w:val="24"/>
        </w:rPr>
        <w:t>Glenn C. (1977). "A Dynamic Theory of Racial Income Differences," in Women, Minorities and Employment Discrimination. PA Wallace and A. Le Mund, eds. Lexington, MA: Lexington Books, Ch. 8.</w:t>
      </w:r>
    </w:p>
    <w:p w:rsidR="004849EA" w:rsidRPr="0029114A"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Loury, L. (2006) “Some Contacts are More Equal Than Others: Informal Networks, Job Tenure, and Wages,” </w:t>
      </w:r>
      <w:r w:rsidRPr="0029114A">
        <w:rPr>
          <w:rFonts w:ascii="Times New Roman" w:hAnsi="Times New Roman"/>
          <w:i/>
          <w:sz w:val="24"/>
          <w:szCs w:val="24"/>
        </w:rPr>
        <w:t>Journal of Labor Economics</w:t>
      </w:r>
      <w:r w:rsidRPr="0029114A">
        <w:rPr>
          <w:rFonts w:ascii="Times New Roman" w:hAnsi="Times New Roman"/>
          <w:sz w:val="24"/>
          <w:szCs w:val="24"/>
        </w:rPr>
        <w:t>, Vol. 24 (2), pp. 299-318.</w:t>
      </w:r>
    </w:p>
    <w:p w:rsidR="004849EA" w:rsidRPr="0029114A" w:rsidRDefault="004849EA" w:rsidP="004849EA">
      <w:pPr>
        <w:tabs>
          <w:tab w:val="left" w:pos="709"/>
        </w:tabs>
        <w:spacing w:after="120" w:line="240" w:lineRule="auto"/>
        <w:ind w:left="709" w:hanging="709"/>
        <w:rPr>
          <w:rFonts w:ascii="Times New Roman" w:hAnsi="Times New Roman"/>
          <w:bCs/>
          <w:sz w:val="24"/>
          <w:szCs w:val="24"/>
        </w:rPr>
      </w:pPr>
      <w:r w:rsidRPr="0029114A">
        <w:rPr>
          <w:rFonts w:ascii="Times New Roman" w:hAnsi="Times New Roman"/>
          <w:sz w:val="24"/>
          <w:szCs w:val="24"/>
        </w:rPr>
        <w:t>Manning, A. and Swaffield, J. (2008), The gender gap in early-career wage growth. The Economic Journal, 118: 983–1024. doi: 10.1111/j.1468-0297.2008.02158.x</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bCs/>
          <w:sz w:val="24"/>
          <w:szCs w:val="24"/>
        </w:rPr>
        <w:t>Marsden, P. and Gorman, E. (2001). "Social Networks, Job Changes, and Recruitment," in Sourcebook of Labor Markets: Evolving Structure and Processes. Ivar Berg and Ame L. Kalleberg, eds. New York: Kluwer Academic/Plenum Publishers, pp. 467-502.</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Macmillan, L. (2009). </w:t>
      </w:r>
      <w:r w:rsidRPr="0029114A">
        <w:rPr>
          <w:rFonts w:ascii="Times New Roman" w:hAnsi="Times New Roman"/>
          <w:i/>
          <w:sz w:val="24"/>
          <w:szCs w:val="24"/>
        </w:rPr>
        <w:t>Social Mobility and the Professions</w:t>
      </w:r>
      <w:r w:rsidRPr="0029114A">
        <w:rPr>
          <w:rFonts w:ascii="Times New Roman" w:hAnsi="Times New Roman"/>
          <w:sz w:val="24"/>
          <w:szCs w:val="24"/>
        </w:rPr>
        <w:t>. Centre for Market and Public Organisation.</w:t>
      </w:r>
    </w:p>
    <w:p w:rsidR="004849EA" w:rsidRPr="0029114A" w:rsidRDefault="004849EA" w:rsidP="004849EA">
      <w:pPr>
        <w:tabs>
          <w:tab w:val="left" w:pos="709"/>
        </w:tabs>
        <w:spacing w:after="120" w:line="240" w:lineRule="auto"/>
        <w:ind w:left="709" w:hanging="709"/>
        <w:rPr>
          <w:rFonts w:ascii="Times New Roman" w:hAnsi="Times New Roman"/>
          <w:i/>
          <w:iCs/>
          <w:sz w:val="24"/>
          <w:szCs w:val="24"/>
        </w:rPr>
      </w:pPr>
      <w:r w:rsidRPr="0029114A">
        <w:rPr>
          <w:rFonts w:ascii="Times New Roman" w:hAnsi="Times New Roman"/>
          <w:sz w:val="24"/>
          <w:szCs w:val="24"/>
        </w:rPr>
        <w:t xml:space="preserve">Mann, A. (2012). </w:t>
      </w:r>
      <w:r w:rsidRPr="0029114A">
        <w:rPr>
          <w:rFonts w:ascii="Times New Roman" w:hAnsi="Times New Roman"/>
          <w:i/>
          <w:iCs/>
          <w:sz w:val="24"/>
          <w:szCs w:val="24"/>
        </w:rPr>
        <w:t>It’s Who You Meet: Why Employer Contacts at School Make a Difference to the Employment Prospects of Young Adults.</w:t>
      </w:r>
      <w:r w:rsidRPr="000E0103">
        <w:t xml:space="preserve"> </w:t>
      </w:r>
      <w:r w:rsidRPr="000E0103">
        <w:rPr>
          <w:rFonts w:ascii="Times New Roman" w:hAnsi="Times New Roman"/>
          <w:bCs/>
          <w:sz w:val="24"/>
          <w:szCs w:val="24"/>
        </w:rPr>
        <w:t>Education and Employers Taskforce.</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Montgomery, James D. </w:t>
      </w:r>
      <w:r>
        <w:rPr>
          <w:rFonts w:ascii="Times New Roman" w:hAnsi="Times New Roman"/>
          <w:sz w:val="24"/>
          <w:szCs w:val="24"/>
        </w:rPr>
        <w:t>(</w:t>
      </w:r>
      <w:r w:rsidRPr="0029114A">
        <w:rPr>
          <w:rFonts w:ascii="Times New Roman" w:hAnsi="Times New Roman"/>
          <w:sz w:val="24"/>
          <w:szCs w:val="24"/>
        </w:rPr>
        <w:t>1991</w:t>
      </w:r>
      <w:r>
        <w:rPr>
          <w:rFonts w:ascii="Times New Roman" w:hAnsi="Times New Roman"/>
          <w:sz w:val="24"/>
          <w:szCs w:val="24"/>
        </w:rPr>
        <w:t>)</w:t>
      </w:r>
      <w:r w:rsidRPr="0029114A">
        <w:rPr>
          <w:rFonts w:ascii="Times New Roman" w:hAnsi="Times New Roman"/>
          <w:sz w:val="24"/>
          <w:szCs w:val="24"/>
        </w:rPr>
        <w:t xml:space="preserve">. Social networks and labor-market outcomes: Toward an economic analysis. </w:t>
      </w:r>
      <w:r w:rsidRPr="0029114A">
        <w:rPr>
          <w:rFonts w:ascii="Times New Roman" w:hAnsi="Times New Roman"/>
          <w:i/>
          <w:iCs/>
          <w:sz w:val="24"/>
          <w:szCs w:val="24"/>
        </w:rPr>
        <w:t>American Economic Review</w:t>
      </w:r>
      <w:r w:rsidRPr="0029114A">
        <w:rPr>
          <w:rFonts w:ascii="Times New Roman" w:hAnsi="Times New Roman"/>
          <w:sz w:val="24"/>
          <w:szCs w:val="24"/>
        </w:rPr>
        <w:t xml:space="preserve"> 81 (5) pp1408–18</w:t>
      </w:r>
    </w:p>
    <w:p w:rsidR="004849EA" w:rsidRPr="000E0103" w:rsidRDefault="004849EA" w:rsidP="004849EA">
      <w:pPr>
        <w:tabs>
          <w:tab w:val="left" w:pos="709"/>
        </w:tabs>
        <w:spacing w:after="120" w:line="240" w:lineRule="auto"/>
        <w:ind w:left="709" w:hanging="709"/>
        <w:rPr>
          <w:rFonts w:ascii="Times New Roman" w:hAnsi="Times New Roman"/>
          <w:sz w:val="24"/>
          <w:szCs w:val="24"/>
        </w:rPr>
      </w:pPr>
      <w:r w:rsidRPr="000E0103">
        <w:rPr>
          <w:rFonts w:ascii="Times New Roman" w:hAnsi="Times New Roman"/>
          <w:sz w:val="24"/>
          <w:szCs w:val="24"/>
        </w:rPr>
        <w:t xml:space="preserve">Neumark, </w:t>
      </w:r>
      <w:r>
        <w:rPr>
          <w:rFonts w:ascii="Times New Roman" w:hAnsi="Times New Roman"/>
          <w:sz w:val="24"/>
          <w:szCs w:val="24"/>
        </w:rPr>
        <w:t>D. and</w:t>
      </w:r>
      <w:r w:rsidRPr="000E0103">
        <w:rPr>
          <w:rFonts w:ascii="Times New Roman" w:hAnsi="Times New Roman"/>
          <w:sz w:val="24"/>
          <w:szCs w:val="24"/>
        </w:rPr>
        <w:t xml:space="preserve"> Rothstein, D. (2006)</w:t>
      </w:r>
      <w:r>
        <w:rPr>
          <w:rFonts w:ascii="Times New Roman" w:hAnsi="Times New Roman"/>
          <w:sz w:val="24"/>
          <w:szCs w:val="24"/>
        </w:rPr>
        <w:t>.</w:t>
      </w:r>
      <w:r w:rsidRPr="000E0103">
        <w:rPr>
          <w:rFonts w:ascii="Times New Roman" w:hAnsi="Times New Roman"/>
          <w:sz w:val="24"/>
          <w:szCs w:val="24"/>
        </w:rPr>
        <w:t xml:space="preserve"> “School-to-Career Programmes and Transitions to Employment and Higher Education” </w:t>
      </w:r>
      <w:r w:rsidRPr="000E0103">
        <w:rPr>
          <w:rFonts w:ascii="Times New Roman" w:hAnsi="Times New Roman"/>
          <w:i/>
          <w:sz w:val="24"/>
          <w:szCs w:val="24"/>
        </w:rPr>
        <w:t>Economics of Education Review</w:t>
      </w:r>
      <w:r w:rsidRPr="000E0103">
        <w:rPr>
          <w:rFonts w:ascii="Times New Roman" w:hAnsi="Times New Roman"/>
          <w:sz w:val="24"/>
          <w:szCs w:val="24"/>
        </w:rPr>
        <w:t xml:space="preserve">, 25, 374-93.   </w:t>
      </w:r>
    </w:p>
    <w:p w:rsidR="004849EA" w:rsidRPr="0014164B" w:rsidRDefault="004849EA" w:rsidP="004849EA">
      <w:pPr>
        <w:tabs>
          <w:tab w:val="left" w:pos="709"/>
        </w:tabs>
        <w:spacing w:after="120" w:line="240" w:lineRule="auto"/>
        <w:ind w:left="709" w:hanging="709"/>
        <w:rPr>
          <w:rFonts w:ascii="Times New Roman" w:hAnsi="Times New Roman"/>
          <w:sz w:val="24"/>
          <w:szCs w:val="24"/>
        </w:rPr>
      </w:pPr>
      <w:r w:rsidRPr="0014164B">
        <w:rPr>
          <w:rFonts w:ascii="Times New Roman" w:hAnsi="Times New Roman"/>
          <w:sz w:val="24"/>
          <w:szCs w:val="24"/>
        </w:rPr>
        <w:t>Pellizzari,</w:t>
      </w:r>
      <w:r>
        <w:rPr>
          <w:rFonts w:ascii="Times New Roman" w:hAnsi="Times New Roman"/>
          <w:sz w:val="24"/>
          <w:szCs w:val="24"/>
        </w:rPr>
        <w:t xml:space="preserve"> M.</w:t>
      </w:r>
      <w:r w:rsidRPr="0014164B">
        <w:rPr>
          <w:rFonts w:ascii="Times New Roman" w:hAnsi="Times New Roman"/>
          <w:sz w:val="24"/>
          <w:szCs w:val="24"/>
        </w:rPr>
        <w:t xml:space="preserve"> </w:t>
      </w:r>
      <w:r>
        <w:rPr>
          <w:rFonts w:ascii="Times New Roman" w:hAnsi="Times New Roman"/>
          <w:sz w:val="24"/>
          <w:szCs w:val="24"/>
        </w:rPr>
        <w:t>(</w:t>
      </w:r>
      <w:r w:rsidRPr="0014164B">
        <w:rPr>
          <w:rFonts w:ascii="Times New Roman" w:hAnsi="Times New Roman"/>
          <w:sz w:val="24"/>
          <w:szCs w:val="24"/>
        </w:rPr>
        <w:t>2004</w:t>
      </w:r>
      <w:r>
        <w:rPr>
          <w:rFonts w:ascii="Times New Roman" w:hAnsi="Times New Roman"/>
          <w:sz w:val="24"/>
          <w:szCs w:val="24"/>
        </w:rPr>
        <w:t>)</w:t>
      </w:r>
      <w:r w:rsidRPr="0014164B">
        <w:rPr>
          <w:rFonts w:ascii="Times New Roman" w:hAnsi="Times New Roman"/>
          <w:sz w:val="24"/>
          <w:szCs w:val="24"/>
        </w:rPr>
        <w:t>. "</w:t>
      </w:r>
      <w:hyperlink r:id="rId13" w:history="1">
        <w:r w:rsidRPr="0014164B">
          <w:rPr>
            <w:rFonts w:ascii="Times New Roman" w:hAnsi="Times New Roman"/>
            <w:sz w:val="24"/>
            <w:szCs w:val="24"/>
          </w:rPr>
          <w:t>Do Friends and Relatives Really Help in Getting a Good Job?</w:t>
        </w:r>
      </w:hyperlink>
      <w:r w:rsidRPr="0014164B">
        <w:rPr>
          <w:rFonts w:ascii="Times New Roman" w:hAnsi="Times New Roman"/>
          <w:sz w:val="24"/>
          <w:szCs w:val="24"/>
        </w:rPr>
        <w:t xml:space="preserve">" </w:t>
      </w:r>
      <w:r>
        <w:rPr>
          <w:rFonts w:ascii="Times New Roman" w:hAnsi="Times New Roman"/>
          <w:sz w:val="24"/>
          <w:szCs w:val="24"/>
        </w:rPr>
        <w:t>CEP Discussion Paper no.6</w:t>
      </w:r>
      <w:r w:rsidRPr="0014164B">
        <w:rPr>
          <w:rFonts w:ascii="Times New Roman" w:hAnsi="Times New Roman"/>
          <w:sz w:val="24"/>
          <w:szCs w:val="24"/>
        </w:rPr>
        <w:t xml:space="preserve">23, Centre for Economic Performance, LSE.   </w:t>
      </w:r>
    </w:p>
    <w:p w:rsidR="004849EA" w:rsidRPr="0029114A" w:rsidRDefault="004849EA" w:rsidP="004849EA">
      <w:pPr>
        <w:tabs>
          <w:tab w:val="left" w:pos="709"/>
        </w:tabs>
        <w:spacing w:after="120" w:line="240" w:lineRule="auto"/>
        <w:ind w:left="709" w:hanging="709"/>
        <w:rPr>
          <w:rFonts w:ascii="Times New Roman" w:hAnsi="Times New Roman"/>
          <w:bCs/>
          <w:sz w:val="24"/>
          <w:szCs w:val="24"/>
        </w:rPr>
      </w:pPr>
      <w:r w:rsidRPr="0029114A">
        <w:rPr>
          <w:rFonts w:ascii="Times New Roman" w:hAnsi="Times New Roman"/>
          <w:sz w:val="24"/>
          <w:szCs w:val="24"/>
        </w:rPr>
        <w:t>Rees</w:t>
      </w:r>
      <w:r>
        <w:rPr>
          <w:rFonts w:ascii="Times New Roman" w:hAnsi="Times New Roman"/>
          <w:sz w:val="24"/>
          <w:szCs w:val="24"/>
        </w:rPr>
        <w:t>,</w:t>
      </w:r>
      <w:r w:rsidRPr="0029114A">
        <w:rPr>
          <w:rFonts w:ascii="Times New Roman" w:hAnsi="Times New Roman"/>
          <w:sz w:val="24"/>
          <w:szCs w:val="24"/>
        </w:rPr>
        <w:t xml:space="preserve"> A. (1966) “Information Networks in the Labor Market”</w:t>
      </w:r>
      <w:r>
        <w:rPr>
          <w:rFonts w:ascii="Times New Roman" w:hAnsi="Times New Roman"/>
          <w:sz w:val="24"/>
          <w:szCs w:val="24"/>
        </w:rPr>
        <w:t>,</w:t>
      </w:r>
      <w:r w:rsidRPr="0029114A">
        <w:rPr>
          <w:rFonts w:ascii="Times New Roman" w:hAnsi="Times New Roman"/>
          <w:sz w:val="24"/>
          <w:szCs w:val="24"/>
        </w:rPr>
        <w:t xml:space="preserve"> </w:t>
      </w:r>
      <w:r w:rsidRPr="0029114A">
        <w:rPr>
          <w:rFonts w:ascii="Times New Roman" w:hAnsi="Times New Roman"/>
          <w:i/>
          <w:iCs/>
          <w:sz w:val="24"/>
          <w:szCs w:val="24"/>
        </w:rPr>
        <w:t xml:space="preserve">American Economic Review, </w:t>
      </w:r>
      <w:r w:rsidRPr="0029114A">
        <w:rPr>
          <w:rFonts w:ascii="Times New Roman" w:hAnsi="Times New Roman"/>
          <w:sz w:val="24"/>
          <w:szCs w:val="24"/>
        </w:rPr>
        <w:t>Vol 56, Issue 2, pp559-566</w:t>
      </w:r>
    </w:p>
    <w:p w:rsidR="004849EA" w:rsidRPr="00905BD7" w:rsidRDefault="004849EA" w:rsidP="004849EA">
      <w:pPr>
        <w:tabs>
          <w:tab w:val="left" w:pos="709"/>
        </w:tabs>
        <w:spacing w:after="120" w:line="240" w:lineRule="auto"/>
        <w:ind w:left="709" w:hanging="709"/>
        <w:rPr>
          <w:rFonts w:ascii="Times New Roman" w:hAnsi="Times New Roman"/>
          <w:sz w:val="24"/>
          <w:szCs w:val="24"/>
        </w:rPr>
      </w:pPr>
      <w:r w:rsidRPr="00905BD7">
        <w:rPr>
          <w:rFonts w:ascii="Times New Roman" w:hAnsi="Times New Roman"/>
          <w:sz w:val="24"/>
          <w:szCs w:val="24"/>
        </w:rPr>
        <w:t>Rivera, L</w:t>
      </w:r>
      <w:r>
        <w:rPr>
          <w:rFonts w:ascii="Times New Roman" w:hAnsi="Times New Roman"/>
          <w:sz w:val="24"/>
          <w:szCs w:val="24"/>
        </w:rPr>
        <w:t>.</w:t>
      </w:r>
      <w:r w:rsidRPr="00905BD7">
        <w:rPr>
          <w:rFonts w:ascii="Times New Roman" w:hAnsi="Times New Roman"/>
          <w:sz w:val="24"/>
          <w:szCs w:val="24"/>
        </w:rPr>
        <w:t xml:space="preserve"> (2012)</w:t>
      </w:r>
      <w:r>
        <w:rPr>
          <w:rFonts w:ascii="Times New Roman" w:hAnsi="Times New Roman"/>
          <w:sz w:val="24"/>
          <w:szCs w:val="24"/>
        </w:rPr>
        <w:t>.</w:t>
      </w:r>
      <w:r w:rsidRPr="00905BD7">
        <w:rPr>
          <w:rFonts w:ascii="Times New Roman" w:hAnsi="Times New Roman"/>
          <w:sz w:val="24"/>
          <w:szCs w:val="24"/>
        </w:rPr>
        <w:t xml:space="preserve"> </w:t>
      </w:r>
      <w:r>
        <w:rPr>
          <w:rFonts w:ascii="Times New Roman" w:hAnsi="Times New Roman"/>
          <w:sz w:val="24"/>
          <w:szCs w:val="24"/>
        </w:rPr>
        <w:t>“</w:t>
      </w:r>
      <w:hyperlink r:id="rId14" w:history="1">
        <w:r w:rsidRPr="00905BD7">
          <w:rPr>
            <w:rFonts w:ascii="Times New Roman" w:hAnsi="Times New Roman"/>
            <w:sz w:val="24"/>
            <w:szCs w:val="24"/>
          </w:rPr>
          <w:t>Hiring as Cultural Matching: The Case of Elite Professional Service Firms</w:t>
        </w:r>
      </w:hyperlink>
      <w:r>
        <w:rPr>
          <w:rFonts w:ascii="Times New Roman" w:hAnsi="Times New Roman"/>
          <w:sz w:val="24"/>
          <w:szCs w:val="24"/>
        </w:rPr>
        <w:t>.”</w:t>
      </w:r>
      <w:r>
        <w:rPr>
          <w:rFonts w:ascii="Times New Roman" w:hAnsi="Times New Roman"/>
          <w:sz w:val="24"/>
          <w:szCs w:val="24"/>
        </w:rPr>
        <w:tab/>
      </w:r>
      <w:r w:rsidRPr="00905BD7">
        <w:rPr>
          <w:rFonts w:ascii="Times New Roman" w:hAnsi="Times New Roman"/>
          <w:i/>
          <w:sz w:val="24"/>
          <w:szCs w:val="24"/>
        </w:rPr>
        <w:t>American Sociological Review</w:t>
      </w:r>
      <w:r w:rsidRPr="00905BD7">
        <w:rPr>
          <w:rFonts w:ascii="Times New Roman" w:hAnsi="Times New Roman"/>
          <w:sz w:val="24"/>
          <w:szCs w:val="24"/>
        </w:rPr>
        <w:t xml:space="preserve">, Vol. 77, No. 6 (December 2012), pp. 999-1022 </w:t>
      </w:r>
    </w:p>
    <w:p w:rsidR="004849EA" w:rsidRPr="000E0103" w:rsidRDefault="004849EA" w:rsidP="004849EA">
      <w:pPr>
        <w:tabs>
          <w:tab w:val="left" w:pos="709"/>
        </w:tabs>
        <w:spacing w:after="120" w:line="240" w:lineRule="auto"/>
        <w:ind w:left="709" w:hanging="709"/>
        <w:rPr>
          <w:rFonts w:ascii="Times New Roman" w:hAnsi="Times New Roman"/>
          <w:sz w:val="24"/>
          <w:szCs w:val="24"/>
        </w:rPr>
      </w:pPr>
      <w:r w:rsidRPr="000E0103">
        <w:rPr>
          <w:rFonts w:ascii="Times New Roman" w:hAnsi="Times New Roman"/>
          <w:sz w:val="24"/>
          <w:szCs w:val="24"/>
        </w:rPr>
        <w:t>Rolfe</w:t>
      </w:r>
      <w:r>
        <w:rPr>
          <w:rFonts w:ascii="Times New Roman" w:hAnsi="Times New Roman"/>
          <w:sz w:val="24"/>
          <w:szCs w:val="24"/>
        </w:rPr>
        <w:t>, H. and</w:t>
      </w:r>
      <w:r w:rsidRPr="000E0103">
        <w:rPr>
          <w:rFonts w:ascii="Times New Roman" w:hAnsi="Times New Roman"/>
          <w:sz w:val="24"/>
          <w:szCs w:val="24"/>
        </w:rPr>
        <w:t xml:space="preserve"> </w:t>
      </w:r>
      <w:r>
        <w:rPr>
          <w:rFonts w:ascii="Times New Roman" w:hAnsi="Times New Roman"/>
          <w:sz w:val="24"/>
          <w:szCs w:val="24"/>
        </w:rPr>
        <w:t>Anderson, T. (2003). ‘</w:t>
      </w:r>
      <w:r w:rsidRPr="000E0103">
        <w:rPr>
          <w:rFonts w:ascii="Times New Roman" w:hAnsi="Times New Roman"/>
          <w:sz w:val="24"/>
          <w:szCs w:val="24"/>
        </w:rPr>
        <w:t>A firm choice: Law firms' preferences in the recruitment o</w:t>
      </w:r>
      <w:r>
        <w:rPr>
          <w:rFonts w:ascii="Times New Roman" w:hAnsi="Times New Roman"/>
          <w:sz w:val="24"/>
          <w:szCs w:val="24"/>
        </w:rPr>
        <w:t xml:space="preserve">f </w:t>
      </w:r>
      <w:r w:rsidRPr="000E0103">
        <w:rPr>
          <w:rFonts w:ascii="Times New Roman" w:hAnsi="Times New Roman"/>
          <w:sz w:val="24"/>
          <w:szCs w:val="24"/>
        </w:rPr>
        <w:t>trainee solicitors</w:t>
      </w:r>
      <w:r>
        <w:rPr>
          <w:rFonts w:ascii="Times New Roman" w:hAnsi="Times New Roman"/>
          <w:sz w:val="24"/>
          <w:szCs w:val="24"/>
        </w:rPr>
        <w:t>’</w:t>
      </w:r>
      <w:r w:rsidRPr="000E0103">
        <w:rPr>
          <w:rFonts w:ascii="Times New Roman" w:hAnsi="Times New Roman"/>
          <w:sz w:val="24"/>
          <w:szCs w:val="24"/>
        </w:rPr>
        <w:t xml:space="preserve">, </w:t>
      </w:r>
      <w:r w:rsidRPr="000E0103">
        <w:rPr>
          <w:rFonts w:ascii="Times New Roman" w:hAnsi="Times New Roman"/>
          <w:i/>
          <w:sz w:val="24"/>
          <w:szCs w:val="24"/>
        </w:rPr>
        <w:t>International Journal of the Legal Profession</w:t>
      </w:r>
      <w:r w:rsidRPr="000E0103">
        <w:rPr>
          <w:rFonts w:ascii="Times New Roman" w:hAnsi="Times New Roman"/>
          <w:sz w:val="24"/>
          <w:szCs w:val="24"/>
        </w:rPr>
        <w:t>, 10:3, 315-334</w:t>
      </w:r>
    </w:p>
    <w:p w:rsidR="004849EA" w:rsidRPr="0029114A" w:rsidRDefault="004849EA" w:rsidP="004849EA">
      <w:pPr>
        <w:tabs>
          <w:tab w:val="left" w:pos="709"/>
        </w:tabs>
        <w:autoSpaceDE w:val="0"/>
        <w:autoSpaceDN w:val="0"/>
        <w:adjustRightInd w:val="0"/>
        <w:spacing w:after="120" w:line="240" w:lineRule="auto"/>
        <w:ind w:left="709" w:right="480" w:hanging="709"/>
        <w:rPr>
          <w:rFonts w:ascii="Times New Roman" w:hAnsi="Times New Roman"/>
          <w:sz w:val="24"/>
          <w:szCs w:val="24"/>
          <w:lang w:eastAsia="en-GB"/>
        </w:rPr>
      </w:pPr>
      <w:r w:rsidRPr="0029114A">
        <w:rPr>
          <w:rFonts w:ascii="Times New Roman" w:hAnsi="Times New Roman"/>
          <w:sz w:val="24"/>
          <w:szCs w:val="24"/>
          <w:lang w:eastAsia="en-GB"/>
        </w:rPr>
        <w:t>Sutton Trust (2005) The Educational Background of the UK’s Top Solicitors, Barristers and Judges</w:t>
      </w:r>
    </w:p>
    <w:p w:rsidR="004849EA" w:rsidRPr="0029114A" w:rsidRDefault="004849EA" w:rsidP="004849EA">
      <w:pPr>
        <w:tabs>
          <w:tab w:val="left" w:pos="709"/>
        </w:tabs>
        <w:autoSpaceDE w:val="0"/>
        <w:autoSpaceDN w:val="0"/>
        <w:adjustRightInd w:val="0"/>
        <w:spacing w:after="120" w:line="240" w:lineRule="auto"/>
        <w:ind w:left="709" w:right="480" w:hanging="709"/>
        <w:rPr>
          <w:rFonts w:ascii="Times New Roman" w:hAnsi="Times New Roman"/>
          <w:sz w:val="24"/>
          <w:szCs w:val="24"/>
        </w:rPr>
      </w:pPr>
      <w:r w:rsidRPr="0029114A">
        <w:rPr>
          <w:rFonts w:ascii="Times New Roman" w:hAnsi="Times New Roman"/>
          <w:sz w:val="24"/>
          <w:szCs w:val="24"/>
          <w:lang w:eastAsia="en-GB"/>
        </w:rPr>
        <w:t xml:space="preserve">Sutton Trust (2006) </w:t>
      </w:r>
      <w:r w:rsidRPr="0029114A">
        <w:rPr>
          <w:rFonts w:ascii="Times New Roman" w:hAnsi="Times New Roman"/>
          <w:sz w:val="24"/>
          <w:szCs w:val="24"/>
        </w:rPr>
        <w:t>The Educational Backgrounds of Leading Journalists</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t xml:space="preserve">Walker, I. and Zhu, Y. (2005). ‘The college wage premium and the expansion of higher education in the UK’. </w:t>
      </w:r>
      <w:r w:rsidRPr="0029114A">
        <w:rPr>
          <w:rFonts w:ascii="Times New Roman" w:hAnsi="Times New Roman"/>
          <w:i/>
          <w:sz w:val="24"/>
          <w:szCs w:val="24"/>
        </w:rPr>
        <w:t>Scandinavian Journal of Economics</w:t>
      </w:r>
      <w:r w:rsidRPr="0029114A">
        <w:rPr>
          <w:rFonts w:ascii="Times New Roman" w:hAnsi="Times New Roman"/>
          <w:sz w:val="24"/>
          <w:szCs w:val="24"/>
        </w:rPr>
        <w:t>, 110, 695-709.</w:t>
      </w:r>
    </w:p>
    <w:p w:rsidR="004849EA" w:rsidRPr="0029114A" w:rsidRDefault="004849EA" w:rsidP="004849EA">
      <w:pPr>
        <w:tabs>
          <w:tab w:val="left" w:pos="709"/>
        </w:tabs>
        <w:spacing w:after="120" w:line="240" w:lineRule="auto"/>
        <w:ind w:left="709" w:hanging="709"/>
        <w:rPr>
          <w:rFonts w:ascii="Times New Roman" w:hAnsi="Times New Roman"/>
          <w:sz w:val="24"/>
          <w:szCs w:val="24"/>
        </w:rPr>
      </w:pPr>
      <w:r w:rsidRPr="0029114A">
        <w:rPr>
          <w:rFonts w:ascii="Times New Roman" w:hAnsi="Times New Roman"/>
          <w:sz w:val="24"/>
          <w:szCs w:val="24"/>
        </w:rPr>
        <w:lastRenderedPageBreak/>
        <w:t xml:space="preserve">Walker, I. and Zhu, Y. (2011). ‘Differences by degree: Evidence of the net financial rates of return to undergraduate studies for England and Wales’. </w:t>
      </w:r>
      <w:r w:rsidRPr="0029114A">
        <w:rPr>
          <w:rFonts w:ascii="Times New Roman" w:hAnsi="Times New Roman"/>
          <w:i/>
          <w:sz w:val="24"/>
          <w:szCs w:val="24"/>
        </w:rPr>
        <w:t>Economics of Education Review,</w:t>
      </w:r>
      <w:r w:rsidRPr="0029114A">
        <w:rPr>
          <w:rFonts w:ascii="Times New Roman" w:hAnsi="Times New Roman"/>
          <w:sz w:val="24"/>
          <w:szCs w:val="24"/>
        </w:rPr>
        <w:t xml:space="preserve"> 30, 1177-1186.</w:t>
      </w:r>
    </w:p>
    <w:p w:rsidR="004849EA" w:rsidRPr="00CB367B" w:rsidRDefault="004849EA" w:rsidP="004849EA">
      <w:pPr>
        <w:tabs>
          <w:tab w:val="left" w:pos="709"/>
        </w:tabs>
        <w:autoSpaceDE w:val="0"/>
        <w:autoSpaceDN w:val="0"/>
        <w:adjustRightInd w:val="0"/>
        <w:spacing w:after="120" w:line="240" w:lineRule="auto"/>
        <w:ind w:left="709" w:hanging="709"/>
        <w:rPr>
          <w:rFonts w:ascii="Times New Roman" w:hAnsi="Times New Roman"/>
          <w:sz w:val="24"/>
          <w:szCs w:val="24"/>
          <w:lang w:eastAsia="en-GB"/>
        </w:rPr>
      </w:pPr>
      <w:r w:rsidRPr="0029114A">
        <w:rPr>
          <w:rFonts w:ascii="Times New Roman" w:hAnsi="Times New Roman"/>
          <w:sz w:val="24"/>
          <w:szCs w:val="24"/>
          <w:lang w:eastAsia="en-GB"/>
        </w:rPr>
        <w:t xml:space="preserve">Wilson, R.A. and Homenidou, K. (2011) </w:t>
      </w:r>
      <w:r w:rsidRPr="0029114A">
        <w:rPr>
          <w:rFonts w:ascii="Times New Roman" w:hAnsi="Times New Roman"/>
          <w:i/>
          <w:iCs/>
          <w:sz w:val="24"/>
          <w:szCs w:val="24"/>
          <w:lang w:eastAsia="en-GB"/>
        </w:rPr>
        <w:t>Working Futures 2010–2020</w:t>
      </w:r>
      <w:r w:rsidRPr="0029114A">
        <w:rPr>
          <w:rFonts w:ascii="Times New Roman" w:hAnsi="Times New Roman"/>
          <w:sz w:val="24"/>
          <w:szCs w:val="24"/>
          <w:lang w:eastAsia="en-GB"/>
        </w:rPr>
        <w:t>. Evidence Report 41.</w:t>
      </w:r>
      <w:r w:rsidRPr="00CB367B">
        <w:rPr>
          <w:rFonts w:ascii="Times New Roman" w:hAnsi="Times New Roman"/>
          <w:sz w:val="24"/>
          <w:szCs w:val="24"/>
          <w:lang w:eastAsia="en-GB"/>
        </w:rPr>
        <w:t xml:space="preserve"> Wath-upon-Dearne: UK Commission for Employment and Skills</w:t>
      </w:r>
    </w:p>
    <w:p w:rsidR="004849EA" w:rsidRDefault="004849EA" w:rsidP="004849EA">
      <w:pPr>
        <w:tabs>
          <w:tab w:val="left" w:pos="709"/>
        </w:tabs>
        <w:autoSpaceDE w:val="0"/>
        <w:autoSpaceDN w:val="0"/>
        <w:adjustRightInd w:val="0"/>
        <w:spacing w:after="120" w:line="240" w:lineRule="auto"/>
        <w:ind w:left="709" w:right="480" w:hanging="709"/>
        <w:rPr>
          <w:rFonts w:ascii="Times New Roman" w:hAnsi="Times New Roman"/>
          <w:b/>
        </w:rPr>
      </w:pPr>
      <w:r w:rsidRPr="00CB367B">
        <w:rPr>
          <w:rFonts w:ascii="Times New Roman" w:hAnsi="Times New Roman"/>
          <w:sz w:val="24"/>
          <w:szCs w:val="24"/>
          <w:lang w:eastAsia="en-GB"/>
        </w:rPr>
        <w:t xml:space="preserve">Wolf, A. (2011) </w:t>
      </w:r>
      <w:r w:rsidRPr="00CB367B">
        <w:rPr>
          <w:rFonts w:ascii="Times New Roman" w:hAnsi="Times New Roman"/>
          <w:i/>
          <w:iCs/>
          <w:sz w:val="24"/>
          <w:szCs w:val="24"/>
          <w:lang w:eastAsia="en-GB"/>
        </w:rPr>
        <w:t>Review of Vocational Education – the Wolf Report</w:t>
      </w:r>
      <w:r w:rsidRPr="00CB367B">
        <w:rPr>
          <w:rFonts w:ascii="Times New Roman" w:hAnsi="Times New Roman"/>
          <w:sz w:val="24"/>
          <w:szCs w:val="24"/>
          <w:lang w:eastAsia="en-GB"/>
        </w:rPr>
        <w:t>.</w:t>
      </w:r>
    </w:p>
    <w:p w:rsidR="00936629" w:rsidRDefault="00936629" w:rsidP="004849EA">
      <w:pPr>
        <w:tabs>
          <w:tab w:val="left" w:pos="709"/>
        </w:tabs>
        <w:autoSpaceDE w:val="0"/>
        <w:autoSpaceDN w:val="0"/>
        <w:adjustRightInd w:val="0"/>
        <w:spacing w:after="120" w:line="240" w:lineRule="auto"/>
        <w:ind w:left="709" w:right="-1" w:hanging="709"/>
        <w:rPr>
          <w:rFonts w:ascii="Times New Roman" w:hAnsi="Times New Roman"/>
          <w:b/>
        </w:rPr>
      </w:pPr>
    </w:p>
    <w:sectPr w:rsidR="00936629" w:rsidSect="00C219E6">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30" w:rsidRDefault="00973F30" w:rsidP="00AD7257">
      <w:pPr>
        <w:spacing w:after="0" w:line="240" w:lineRule="auto"/>
      </w:pPr>
      <w:r>
        <w:separator/>
      </w:r>
    </w:p>
  </w:endnote>
  <w:endnote w:type="continuationSeparator" w:id="0">
    <w:p w:rsidR="00973F30" w:rsidRDefault="00973F30" w:rsidP="00AD7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30" w:rsidRDefault="00973F30" w:rsidP="00AD7257">
      <w:pPr>
        <w:spacing w:after="0" w:line="240" w:lineRule="auto"/>
      </w:pPr>
      <w:r>
        <w:separator/>
      </w:r>
    </w:p>
  </w:footnote>
  <w:footnote w:type="continuationSeparator" w:id="0">
    <w:p w:rsidR="00973F30" w:rsidRDefault="00973F30" w:rsidP="00AD7257">
      <w:pPr>
        <w:spacing w:after="0" w:line="240" w:lineRule="auto"/>
      </w:pPr>
      <w:r>
        <w:continuationSeparator/>
      </w:r>
    </w:p>
  </w:footnote>
  <w:footnote w:id="1">
    <w:p w:rsidR="00552E23" w:rsidRPr="001C20A7" w:rsidRDefault="00552E23" w:rsidP="00552E23">
      <w:pPr>
        <w:spacing w:before="120" w:after="0" w:line="240" w:lineRule="auto"/>
        <w:jc w:val="both"/>
        <w:rPr>
          <w:rFonts w:ascii="Times New Roman" w:hAnsi="Times New Roman"/>
          <w:sz w:val="20"/>
          <w:szCs w:val="20"/>
        </w:rPr>
      </w:pPr>
      <w:r w:rsidRPr="001C20A7">
        <w:rPr>
          <w:rStyle w:val="FootnoteReference"/>
          <w:rFonts w:ascii="Times New Roman" w:hAnsi="Times New Roman"/>
          <w:sz w:val="20"/>
          <w:szCs w:val="20"/>
        </w:rPr>
        <w:footnoteRef/>
      </w:r>
      <w:hyperlink r:id="rId1" w:history="1">
        <w:r w:rsidRPr="001C20A7">
          <w:rPr>
            <w:rStyle w:val="Hyperlink"/>
            <w:rFonts w:ascii="Times New Roman" w:hAnsi="Times New Roman"/>
            <w:sz w:val="20"/>
            <w:szCs w:val="20"/>
          </w:rPr>
          <w:t>http://webarchive.nationalarchives.gov.uk/+/http://www.cabinetoffice.gov.uk/media/227105/fair-access-summary.pdf</w:t>
        </w:r>
      </w:hyperlink>
      <w:r w:rsidRPr="001C20A7">
        <w:rPr>
          <w:rFonts w:ascii="Times New Roman" w:hAnsi="Times New Roman"/>
          <w:sz w:val="20"/>
          <w:szCs w:val="20"/>
        </w:rPr>
        <w:t xml:space="preserve">. See also </w:t>
      </w:r>
      <w:r w:rsidRPr="001C20A7">
        <w:rPr>
          <w:rFonts w:ascii="Times New Roman" w:hAnsi="Times New Roman"/>
          <w:color w:val="000000"/>
          <w:sz w:val="20"/>
          <w:szCs w:val="20"/>
        </w:rPr>
        <w:t>Macmillan (2009).</w:t>
      </w:r>
    </w:p>
  </w:footnote>
  <w:footnote w:id="2">
    <w:p w:rsidR="003261CC" w:rsidRPr="00E375D9" w:rsidRDefault="003261CC" w:rsidP="003261CC">
      <w:pPr>
        <w:pStyle w:val="FootnoteText"/>
        <w:spacing w:after="0" w:line="240" w:lineRule="auto"/>
        <w:rPr>
          <w:rFonts w:cs="Calibri"/>
        </w:rPr>
      </w:pPr>
      <w:r w:rsidRPr="001C20A7">
        <w:rPr>
          <w:rStyle w:val="FootnoteReference"/>
          <w:rFonts w:ascii="Times New Roman" w:hAnsi="Times New Roman"/>
        </w:rPr>
        <w:footnoteRef/>
      </w:r>
      <w:r w:rsidRPr="001C20A7">
        <w:rPr>
          <w:rFonts w:ascii="Times New Roman" w:hAnsi="Times New Roman"/>
        </w:rPr>
        <w:t xml:space="preserve"> </w:t>
      </w:r>
      <w:hyperlink r:id="rId2" w:history="1">
        <w:r w:rsidRPr="001C20A7">
          <w:rPr>
            <w:rStyle w:val="Hyperlink"/>
            <w:rFonts w:ascii="Times New Roman" w:hAnsi="Times New Roman"/>
          </w:rPr>
          <w:t>http://www.cabinetoffice.gov.uk/sites/default/files/resources/IR_FairAccess_acc2.pdf</w:t>
        </w:r>
      </w:hyperlink>
      <w:r w:rsidRPr="001C20A7">
        <w:rPr>
          <w:rFonts w:ascii="Times New Roman" w:hAnsi="Times New Roman"/>
        </w:rPr>
        <w:t xml:space="preserve"> </w:t>
      </w:r>
    </w:p>
  </w:footnote>
  <w:footnote w:id="3">
    <w:p w:rsidR="00C94943" w:rsidRPr="00AF2D5A" w:rsidRDefault="00C94943" w:rsidP="001C20A7">
      <w:pPr>
        <w:pStyle w:val="FootnoteText"/>
        <w:spacing w:after="0" w:line="240" w:lineRule="auto"/>
      </w:pPr>
      <w:r w:rsidRPr="001C20A7">
        <w:rPr>
          <w:rStyle w:val="FootnoteReference"/>
          <w:rFonts w:ascii="Times New Roman" w:hAnsi="Times New Roman"/>
        </w:rPr>
        <w:footnoteRef/>
      </w:r>
      <w:r w:rsidRPr="001C20A7">
        <w:rPr>
          <w:rFonts w:ascii="Times New Roman" w:hAnsi="Times New Roman"/>
        </w:rPr>
        <w:t xml:space="preserve"> </w:t>
      </w:r>
      <w:r w:rsidRPr="001C20A7">
        <w:rPr>
          <w:rFonts w:ascii="Times New Roman" w:hAnsi="Times New Roman"/>
          <w:i/>
        </w:rPr>
        <w:t>The Longitudinal Destination of Leavers from Higher Education.</w:t>
      </w:r>
    </w:p>
  </w:footnote>
  <w:footnote w:id="4">
    <w:p w:rsidR="00C94943" w:rsidRDefault="00C94943" w:rsidP="00E61565">
      <w:pPr>
        <w:pStyle w:val="FootnoteText"/>
        <w:spacing w:after="0" w:line="240" w:lineRule="auto"/>
      </w:pPr>
      <w:r>
        <w:rPr>
          <w:rStyle w:val="FootnoteReference"/>
        </w:rPr>
        <w:footnoteRef/>
      </w:r>
      <w:r>
        <w:t xml:space="preserve"> </w:t>
      </w:r>
      <w:r>
        <w:rPr>
          <w:rFonts w:ascii="Times New Roman" w:hAnsi="Times New Roman"/>
          <w:lang w:eastAsia="en-GB"/>
        </w:rPr>
        <w:t>R</w:t>
      </w:r>
      <w:r w:rsidRPr="00D87BB8">
        <w:rPr>
          <w:rFonts w:ascii="Times New Roman" w:hAnsi="Times New Roman"/>
          <w:lang w:eastAsia="en-GB"/>
        </w:rPr>
        <w:t xml:space="preserve">eference dates of </w:t>
      </w:r>
      <w:r>
        <w:rPr>
          <w:rFonts w:ascii="Times New Roman" w:hAnsi="Times New Roman"/>
          <w:lang w:eastAsia="en-GB"/>
        </w:rPr>
        <w:t>16 April 2007 (</w:t>
      </w:r>
      <w:r w:rsidRPr="00D87BB8">
        <w:rPr>
          <w:rFonts w:ascii="Times New Roman" w:hAnsi="Times New Roman"/>
          <w:lang w:eastAsia="en-GB"/>
        </w:rPr>
        <w:t>if the leaver obtained the qualification between 1 August 2006 and 31</w:t>
      </w:r>
      <w:r>
        <w:rPr>
          <w:rFonts w:ascii="Times New Roman" w:hAnsi="Times New Roman"/>
          <w:lang w:eastAsia="en-GB"/>
        </w:rPr>
        <w:t>.</w:t>
      </w:r>
      <w:r w:rsidRPr="00D87BB8">
        <w:rPr>
          <w:rFonts w:ascii="Times New Roman" w:hAnsi="Times New Roman"/>
          <w:lang w:eastAsia="en-GB"/>
        </w:rPr>
        <w:t xml:space="preserve"> December 2006</w:t>
      </w:r>
      <w:r>
        <w:rPr>
          <w:rFonts w:ascii="Times New Roman" w:hAnsi="Times New Roman"/>
          <w:lang w:eastAsia="en-GB"/>
        </w:rPr>
        <w:t>)</w:t>
      </w:r>
      <w:r w:rsidRPr="00D87BB8">
        <w:rPr>
          <w:rFonts w:ascii="Times New Roman" w:hAnsi="Times New Roman"/>
        </w:rPr>
        <w:t xml:space="preserve"> and J</w:t>
      </w:r>
      <w:r w:rsidRPr="00D87BB8">
        <w:rPr>
          <w:rFonts w:ascii="Times New Roman" w:hAnsi="Times New Roman"/>
          <w:lang w:eastAsia="en-GB"/>
        </w:rPr>
        <w:t>anuary 2008 (if the leaver obtained the qualification between 1 January 2007 and 31 July 2007).</w:t>
      </w:r>
    </w:p>
  </w:footnote>
  <w:footnote w:id="5">
    <w:p w:rsidR="00C94943" w:rsidRDefault="00C94943" w:rsidP="00B062F7">
      <w:pPr>
        <w:pStyle w:val="FootnoteText"/>
        <w:spacing w:after="0" w:line="240" w:lineRule="auto"/>
      </w:pPr>
      <w:r>
        <w:rPr>
          <w:rStyle w:val="FootnoteReference"/>
        </w:rPr>
        <w:footnoteRef/>
      </w:r>
      <w:r>
        <w:t xml:space="preserve"> </w:t>
      </w:r>
      <w:r>
        <w:rPr>
          <w:rFonts w:ascii="Times New Roman" w:hAnsi="Times New Roman"/>
          <w:lang w:eastAsia="en-GB"/>
        </w:rPr>
        <w:t>R</w:t>
      </w:r>
      <w:r w:rsidRPr="00D87BB8">
        <w:rPr>
          <w:rFonts w:ascii="Times New Roman" w:hAnsi="Times New Roman"/>
          <w:lang w:eastAsia="en-GB"/>
        </w:rPr>
        <w:t>eference date 29</w:t>
      </w:r>
      <w:r w:rsidRPr="00D87BB8">
        <w:rPr>
          <w:rFonts w:ascii="Times New Roman" w:hAnsi="Times New Roman"/>
          <w:vertAlign w:val="superscript"/>
          <w:lang w:eastAsia="en-GB"/>
        </w:rPr>
        <w:t>th</w:t>
      </w:r>
      <w:r w:rsidRPr="00D87BB8">
        <w:rPr>
          <w:rFonts w:ascii="Times New Roman" w:hAnsi="Times New Roman"/>
          <w:lang w:eastAsia="en-GB"/>
        </w:rPr>
        <w:t xml:space="preserve"> November 2010</w:t>
      </w:r>
      <w:r>
        <w:rPr>
          <w:rFonts w:ascii="Times New Roman" w:hAnsi="Times New Roman"/>
          <w:lang w:eastAsia="en-GB"/>
        </w:rPr>
        <w:t>.</w:t>
      </w:r>
    </w:p>
  </w:footnote>
  <w:footnote w:id="6">
    <w:p w:rsidR="00C94943" w:rsidRDefault="00C94943" w:rsidP="00B062F7">
      <w:pPr>
        <w:pStyle w:val="FootnoteText"/>
        <w:spacing w:after="0"/>
      </w:pPr>
      <w:r>
        <w:rPr>
          <w:rStyle w:val="FootnoteReference"/>
        </w:rPr>
        <w:footnoteRef/>
      </w:r>
      <w:r>
        <w:t xml:space="preserve"> </w:t>
      </w:r>
      <w:r>
        <w:rPr>
          <w:rFonts w:ascii="Times New Roman" w:hAnsi="Times New Roman"/>
          <w:lang w:eastAsia="en-GB"/>
        </w:rPr>
        <w:t xml:space="preserve">The HESA technical report indicates that the pattern of non response </w:t>
      </w:r>
      <w:r w:rsidR="00D43074">
        <w:rPr>
          <w:rFonts w:ascii="Times New Roman" w:hAnsi="Times New Roman"/>
          <w:lang w:eastAsia="en-GB"/>
        </w:rPr>
        <w:t xml:space="preserve">from previous studies </w:t>
      </w:r>
      <w:r>
        <w:rPr>
          <w:rFonts w:ascii="Times New Roman" w:hAnsi="Times New Roman"/>
          <w:lang w:eastAsia="en-GB"/>
        </w:rPr>
        <w:t xml:space="preserve">meant that women </w:t>
      </w:r>
      <w:r w:rsidR="00CB3B9E">
        <w:rPr>
          <w:rFonts w:ascii="Times New Roman" w:hAnsi="Times New Roman"/>
          <w:lang w:eastAsia="en-GB"/>
        </w:rPr>
        <w:t>older graduates and</w:t>
      </w:r>
      <w:r>
        <w:rPr>
          <w:rFonts w:ascii="Times New Roman" w:hAnsi="Times New Roman"/>
          <w:lang w:eastAsia="en-GB"/>
        </w:rPr>
        <w:t xml:space="preserve"> white graduates</w:t>
      </w:r>
      <w:r w:rsidR="00CB3B9E">
        <w:rPr>
          <w:rFonts w:ascii="Times New Roman" w:hAnsi="Times New Roman"/>
          <w:lang w:eastAsia="en-GB"/>
        </w:rPr>
        <w:t xml:space="preserve"> were more likely to responds and this varied</w:t>
      </w:r>
      <w:r>
        <w:rPr>
          <w:rFonts w:ascii="Times New Roman" w:hAnsi="Times New Roman"/>
          <w:lang w:eastAsia="en-GB"/>
        </w:rPr>
        <w:t xml:space="preserve"> by subject and institution (HESA, 2009).</w:t>
      </w:r>
    </w:p>
  </w:footnote>
  <w:footnote w:id="7">
    <w:p w:rsidR="00C94943" w:rsidRPr="003915A9" w:rsidRDefault="00C94943" w:rsidP="00B062F7">
      <w:pPr>
        <w:pStyle w:val="FootnoteText"/>
        <w:spacing w:after="0" w:line="240" w:lineRule="auto"/>
        <w:rPr>
          <w:rFonts w:ascii="Times New Roman" w:hAnsi="Times New Roman"/>
        </w:rPr>
      </w:pPr>
      <w:r w:rsidRPr="003915A9">
        <w:rPr>
          <w:rStyle w:val="FootnoteReference"/>
          <w:rFonts w:ascii="Times New Roman" w:hAnsi="Times New Roman"/>
        </w:rPr>
        <w:footnoteRef/>
      </w:r>
      <w:r w:rsidRPr="003915A9">
        <w:rPr>
          <w:rFonts w:ascii="Times New Roman" w:hAnsi="Times New Roman"/>
        </w:rPr>
        <w:t xml:space="preserve"> Due to the lack of data on employment status we are restricted to using the simplified method of conversion</w:t>
      </w:r>
      <w:r>
        <w:rPr>
          <w:rFonts w:ascii="Times New Roman" w:hAnsi="Times New Roman"/>
        </w:rPr>
        <w:t xml:space="preserve"> between SOC 2000 and NS-SEC</w:t>
      </w:r>
      <w:r w:rsidRPr="003915A9">
        <w:rPr>
          <w:rFonts w:ascii="Times New Roman" w:hAnsi="Times New Roman"/>
        </w:rPr>
        <w:t>. This has around 88% success rate compared to the full method of conversion.</w:t>
      </w:r>
    </w:p>
  </w:footnote>
  <w:footnote w:id="8">
    <w:p w:rsidR="00C94943" w:rsidRDefault="00C94943" w:rsidP="003915A9">
      <w:pPr>
        <w:pStyle w:val="FootnoteText"/>
        <w:spacing w:after="0" w:line="240" w:lineRule="auto"/>
      </w:pPr>
      <w:r>
        <w:rPr>
          <w:rStyle w:val="FootnoteReference"/>
        </w:rPr>
        <w:footnoteRef/>
      </w:r>
      <w:r>
        <w:t xml:space="preserve"> </w:t>
      </w:r>
      <w:r w:rsidRPr="003915A9">
        <w:rPr>
          <w:rFonts w:ascii="Times New Roman" w:hAnsi="Times New Roman"/>
        </w:rPr>
        <w:t>Measures of earnings at age 25 may suffer from significant biases due to age-earnings profiles and therefore understate the true role of family background (Haider and Solon, 2006). Of course, occupation is likely to al</w:t>
      </w:r>
      <w:r w:rsidR="00CB3B9E">
        <w:rPr>
          <w:rFonts w:ascii="Times New Roman" w:hAnsi="Times New Roman"/>
        </w:rPr>
        <w:t xml:space="preserve">so change across the life-cycle </w:t>
      </w:r>
      <w:r w:rsidRPr="003915A9">
        <w:rPr>
          <w:rFonts w:ascii="Times New Roman" w:hAnsi="Times New Roman"/>
        </w:rPr>
        <w:t>although appears stable after age 30 (Bukodi, Dex and Goldthorpe, 2011)</w:t>
      </w:r>
      <w:r>
        <w:rPr>
          <w:rFonts w:ascii="Times New Roman" w:hAnsi="Times New Roman"/>
        </w:rPr>
        <w:t>.</w:t>
      </w:r>
    </w:p>
  </w:footnote>
  <w:footnote w:id="9">
    <w:p w:rsidR="00C94943" w:rsidRPr="001C20A7" w:rsidRDefault="00C94943" w:rsidP="001C20A7">
      <w:pPr>
        <w:pStyle w:val="FootnoteText"/>
        <w:spacing w:after="0" w:line="240" w:lineRule="auto"/>
        <w:rPr>
          <w:rFonts w:ascii="Times New Roman" w:hAnsi="Times New Roman"/>
        </w:rPr>
      </w:pPr>
      <w:r w:rsidRPr="00AB5693">
        <w:rPr>
          <w:rStyle w:val="FootnoteReference"/>
          <w:rFonts w:ascii="Times New Roman" w:hAnsi="Times New Roman"/>
        </w:rPr>
        <w:footnoteRef/>
      </w:r>
      <w:r w:rsidRPr="00AB5693">
        <w:rPr>
          <w:rFonts w:ascii="Times New Roman" w:hAnsi="Times New Roman"/>
        </w:rPr>
        <w:t xml:space="preserve"> </w:t>
      </w:r>
      <w:r w:rsidRPr="001C20A7">
        <w:rPr>
          <w:rFonts w:ascii="Times New Roman" w:hAnsi="Times New Roman"/>
        </w:rPr>
        <w:t>We acknowledge that status commonly refers to an alternative concept of social honour in the sociological literature (Chan and Goldthorpe, 2007).</w:t>
      </w:r>
    </w:p>
  </w:footnote>
  <w:footnote w:id="10">
    <w:p w:rsidR="00C60BE2" w:rsidRPr="001C20A7" w:rsidRDefault="00C60BE2" w:rsidP="00C60BE2">
      <w:pPr>
        <w:pStyle w:val="FootnoteText"/>
        <w:spacing w:after="0" w:line="240" w:lineRule="auto"/>
        <w:rPr>
          <w:rFonts w:ascii="Times New Roman" w:hAnsi="Times New Roman"/>
        </w:rPr>
      </w:pPr>
      <w:r w:rsidRPr="001C20A7">
        <w:rPr>
          <w:rStyle w:val="FootnoteReference"/>
          <w:rFonts w:ascii="Times New Roman" w:hAnsi="Times New Roman"/>
        </w:rPr>
        <w:footnoteRef/>
      </w:r>
      <w:r w:rsidRPr="001C20A7">
        <w:rPr>
          <w:rFonts w:ascii="Times New Roman" w:hAnsi="Times New Roman"/>
        </w:rPr>
        <w:t xml:space="preserve"> Data taken from the Annual Survey of Hours and Earnings (ASHE) average annual earnings for 2011 for all workers by 4 digit SOC code.</w:t>
      </w:r>
    </w:p>
  </w:footnote>
  <w:footnote w:id="11">
    <w:p w:rsidR="00C94943" w:rsidRDefault="00C94943" w:rsidP="00BD3C88">
      <w:pPr>
        <w:pStyle w:val="FootnoteText"/>
        <w:spacing w:after="0" w:line="240" w:lineRule="auto"/>
      </w:pPr>
      <w:r>
        <w:rPr>
          <w:rStyle w:val="FootnoteReference"/>
        </w:rPr>
        <w:footnoteRef/>
      </w:r>
      <w:r>
        <w:t xml:space="preserve"> </w:t>
      </w:r>
      <w:r>
        <w:rPr>
          <w:rFonts w:ascii="Times New Roman" w:hAnsi="Times New Roman"/>
          <w:lang w:eastAsia="en-GB"/>
        </w:rPr>
        <w:t>S</w:t>
      </w:r>
      <w:r w:rsidRPr="00D87BB8">
        <w:rPr>
          <w:rFonts w:ascii="Times New Roman" w:hAnsi="Times New Roman"/>
          <w:lang w:eastAsia="en-GB"/>
        </w:rPr>
        <w:t xml:space="preserve">chools not classified as independent are deemed to be state schools, therefore students from </w:t>
      </w:r>
      <w:r>
        <w:rPr>
          <w:rFonts w:ascii="Times New Roman" w:hAnsi="Times New Roman"/>
          <w:lang w:eastAsia="en-GB"/>
        </w:rPr>
        <w:t xml:space="preserve">selective grammar schools, </w:t>
      </w:r>
      <w:r w:rsidRPr="00D87BB8">
        <w:rPr>
          <w:rFonts w:ascii="Times New Roman" w:hAnsi="Times New Roman"/>
          <w:lang w:eastAsia="en-GB"/>
        </w:rPr>
        <w:t xml:space="preserve">sixth forms and further education colleges are also included </w:t>
      </w:r>
      <w:r>
        <w:rPr>
          <w:rFonts w:ascii="Times New Roman" w:hAnsi="Times New Roman"/>
          <w:lang w:eastAsia="en-GB"/>
        </w:rPr>
        <w:t>as</w:t>
      </w:r>
      <w:r w:rsidRPr="00D87BB8">
        <w:rPr>
          <w:rFonts w:ascii="Times New Roman" w:hAnsi="Times New Roman"/>
          <w:lang w:eastAsia="en-GB"/>
        </w:rPr>
        <w:t xml:space="preserve"> state school</w:t>
      </w:r>
      <w:r>
        <w:rPr>
          <w:rFonts w:ascii="Times New Roman" w:hAnsi="Times New Roman"/>
          <w:lang w:eastAsia="en-GB"/>
        </w:rPr>
        <w:t>s.</w:t>
      </w:r>
    </w:p>
  </w:footnote>
  <w:footnote w:id="12">
    <w:p w:rsidR="0044136C" w:rsidRPr="00D435A0" w:rsidRDefault="0044136C" w:rsidP="0044136C">
      <w:pPr>
        <w:pStyle w:val="FootnoteText"/>
        <w:spacing w:after="0" w:line="240" w:lineRule="auto"/>
      </w:pPr>
      <w:r>
        <w:rPr>
          <w:rStyle w:val="FootnoteReference"/>
        </w:rPr>
        <w:footnoteRef/>
      </w:r>
      <w:r>
        <w:t xml:space="preserve"> </w:t>
      </w:r>
      <w:r>
        <w:rPr>
          <w:rFonts w:ascii="Times New Roman" w:hAnsi="Times New Roman"/>
        </w:rPr>
        <w:t xml:space="preserve">The proportion </w:t>
      </w:r>
      <w:r w:rsidR="008A4246">
        <w:rPr>
          <w:rFonts w:ascii="Times New Roman" w:hAnsi="Times New Roman"/>
        </w:rPr>
        <w:t>entering</w:t>
      </w:r>
      <w:r>
        <w:rPr>
          <w:rFonts w:ascii="Times New Roman" w:hAnsi="Times New Roman"/>
        </w:rPr>
        <w:t xml:space="preserve"> higher managerial and business, </w:t>
      </w:r>
      <w:r w:rsidR="008A4246">
        <w:rPr>
          <w:rFonts w:ascii="Times New Roman" w:hAnsi="Times New Roman"/>
        </w:rPr>
        <w:t>medical and law professions</w:t>
      </w:r>
      <w:r>
        <w:rPr>
          <w:rFonts w:ascii="Times New Roman" w:hAnsi="Times New Roman"/>
        </w:rPr>
        <w:t xml:space="preserve"> are the same across gender. </w:t>
      </w:r>
      <w:r w:rsidR="008A4246">
        <w:rPr>
          <w:rFonts w:ascii="Times New Roman" w:hAnsi="Times New Roman"/>
        </w:rPr>
        <w:t xml:space="preserve">There are more males working in other professions </w:t>
      </w:r>
      <w:r>
        <w:rPr>
          <w:rFonts w:ascii="Times New Roman" w:hAnsi="Times New Roman"/>
        </w:rPr>
        <w:t>(20% compared to 8% females) while there are more females in NS-SEC 2-7</w:t>
      </w:r>
      <w:r w:rsidR="008A4246">
        <w:rPr>
          <w:rFonts w:ascii="Times New Roman" w:hAnsi="Times New Roman"/>
        </w:rPr>
        <w:t xml:space="preserve"> occupation</w:t>
      </w:r>
      <w:r>
        <w:rPr>
          <w:rFonts w:ascii="Times New Roman" w:hAnsi="Times New Roman"/>
        </w:rPr>
        <w:t>s (76% compared to 62% males).</w:t>
      </w:r>
      <w:r w:rsidRPr="00D435A0">
        <w:rPr>
          <w:rFonts w:ascii="Times New Roman" w:hAnsi="Times New Roman"/>
        </w:rPr>
        <w:t xml:space="preserve"> </w:t>
      </w:r>
    </w:p>
  </w:footnote>
  <w:footnote w:id="13">
    <w:p w:rsidR="00C94943" w:rsidRPr="00FD78C8" w:rsidRDefault="00C94943" w:rsidP="00FD78C8">
      <w:pPr>
        <w:pStyle w:val="FootnoteText"/>
        <w:spacing w:after="0" w:line="240" w:lineRule="auto"/>
        <w:rPr>
          <w:rFonts w:ascii="Times New Roman" w:hAnsi="Times New Roman"/>
        </w:rPr>
      </w:pPr>
      <w:r w:rsidRPr="00FD78C8">
        <w:rPr>
          <w:rStyle w:val="FootnoteReference"/>
          <w:rFonts w:ascii="Times New Roman" w:hAnsi="Times New Roman"/>
        </w:rPr>
        <w:footnoteRef/>
      </w:r>
      <w:r w:rsidRPr="00FD78C8">
        <w:rPr>
          <w:rFonts w:ascii="Times New Roman" w:hAnsi="Times New Roman"/>
        </w:rPr>
        <w:t xml:space="preserve"> </w:t>
      </w:r>
      <w:r w:rsidRPr="00FD78C8">
        <w:rPr>
          <w:rFonts w:ascii="Times New Roman" w:hAnsi="Times New Roman"/>
          <w:szCs w:val="24"/>
        </w:rPr>
        <w:t>Z score testing the difference between the two coefficients = 0.48</w:t>
      </w:r>
    </w:p>
  </w:footnote>
  <w:footnote w:id="14">
    <w:p w:rsidR="00C94943" w:rsidRPr="00856D27" w:rsidRDefault="00C94943" w:rsidP="00856D27">
      <w:pPr>
        <w:pStyle w:val="FootnoteText"/>
        <w:spacing w:after="0" w:line="240" w:lineRule="auto"/>
        <w:rPr>
          <w:rFonts w:ascii="Times New Roman" w:hAnsi="Times New Roman"/>
        </w:rPr>
      </w:pPr>
      <w:r w:rsidRPr="00856D27">
        <w:rPr>
          <w:rStyle w:val="FootnoteReference"/>
          <w:rFonts w:ascii="Times New Roman" w:hAnsi="Times New Roman"/>
        </w:rPr>
        <w:footnoteRef/>
      </w:r>
      <w:r w:rsidRPr="00856D27">
        <w:rPr>
          <w:rFonts w:ascii="Times New Roman" w:hAnsi="Times New Roman"/>
        </w:rPr>
        <w:t xml:space="preserve"> Note that we include parental NS-SEC, neighbourhood participation and state school indicators together from the outset as we believe that each measure is contributing additional information regarding the family’s socio-economic status. The pseudo R-squared for parental NS-SEC alone is 0.003, for neighbourhood participation alone is 0.005 and for state school indicator alone is 0.005.</w:t>
      </w:r>
      <w:r>
        <w:rPr>
          <w:rFonts w:ascii="Times New Roman" w:hAnsi="Times New Roman"/>
        </w:rPr>
        <w:t xml:space="preserve"> Attending a state school has a correlation of 0.31 with parental NS-SEC, 0.09 with neighbourhood participation and parental NS-SEC and neighbourhood participation have a correlation of 0.11. </w:t>
      </w:r>
    </w:p>
  </w:footnote>
  <w:footnote w:id="15">
    <w:p w:rsidR="003302DC" w:rsidRPr="003302DC" w:rsidRDefault="003302DC">
      <w:pPr>
        <w:pStyle w:val="FootnoteText"/>
        <w:rPr>
          <w:rFonts w:ascii="Times New Roman" w:hAnsi="Times New Roman"/>
        </w:rPr>
      </w:pPr>
      <w:r w:rsidRPr="003302DC">
        <w:rPr>
          <w:rStyle w:val="FootnoteReference"/>
          <w:rFonts w:ascii="Times New Roman" w:hAnsi="Times New Roman"/>
        </w:rPr>
        <w:footnoteRef/>
      </w:r>
      <w:r w:rsidRPr="003302DC">
        <w:rPr>
          <w:rFonts w:ascii="Times New Roman" w:hAnsi="Times New Roman"/>
        </w:rPr>
        <w:t xml:space="preserve"> Prior attainment and degree classification are the important drivers here rather than degree subject choice. </w:t>
      </w:r>
    </w:p>
  </w:footnote>
  <w:footnote w:id="16">
    <w:p w:rsidR="004849EA" w:rsidRPr="00FD78C8" w:rsidRDefault="004849EA" w:rsidP="004849EA">
      <w:pPr>
        <w:pStyle w:val="FootnoteText"/>
        <w:spacing w:after="0" w:line="240" w:lineRule="auto"/>
        <w:rPr>
          <w:rFonts w:ascii="Times New Roman" w:hAnsi="Times New Roman"/>
        </w:rPr>
      </w:pPr>
      <w:r w:rsidRPr="00FD78C8">
        <w:rPr>
          <w:rStyle w:val="FootnoteReference"/>
          <w:rFonts w:ascii="Times New Roman" w:hAnsi="Times New Roman"/>
        </w:rPr>
        <w:footnoteRef/>
      </w:r>
      <w:r w:rsidRPr="00FD78C8">
        <w:rPr>
          <w:rFonts w:ascii="Times New Roman" w:hAnsi="Times New Roman"/>
        </w:rPr>
        <w:t xml:space="preserve"> Indeed the correlation between the type of school attended and the use of networks is low in this data: the correlation between state school attendance and personal networks is 0.01, professional networks is 0.04 and previously working for the employer is 0.03.</w:t>
      </w:r>
    </w:p>
  </w:footnote>
  <w:footnote w:id="17">
    <w:p w:rsidR="003302DC" w:rsidRPr="003302DC" w:rsidRDefault="003302DC">
      <w:pPr>
        <w:pStyle w:val="FootnoteText"/>
        <w:rPr>
          <w:rFonts w:ascii="Times New Roman" w:hAnsi="Times New Roman"/>
        </w:rPr>
      </w:pPr>
      <w:r>
        <w:rPr>
          <w:rStyle w:val="FootnoteReference"/>
        </w:rPr>
        <w:footnoteRef/>
      </w:r>
      <w:r>
        <w:t xml:space="preserve"> </w:t>
      </w:r>
      <w:r>
        <w:rPr>
          <w:rFonts w:ascii="Times New Roman" w:hAnsi="Times New Roman"/>
        </w:rPr>
        <w:t>Indeed private school pupils are more likely to be out of work than their state educated counterparts (</w:t>
      </w:r>
      <w:r w:rsidR="009D23D1">
        <w:rPr>
          <w:rFonts w:ascii="Times New Roman" w:hAnsi="Times New Roman"/>
        </w:rPr>
        <w:t xml:space="preserve">46% and </w:t>
      </w:r>
      <w:r>
        <w:rPr>
          <w:rFonts w:ascii="Times New Roman" w:hAnsi="Times New Roman"/>
        </w:rPr>
        <w:t>40%) 6 months after graduating although the majority</w:t>
      </w:r>
      <w:r w:rsidR="009D23D1">
        <w:rPr>
          <w:rFonts w:ascii="Times New Roman" w:hAnsi="Times New Roman"/>
        </w:rPr>
        <w:t xml:space="preserve"> of these individuals</w:t>
      </w:r>
      <w:r>
        <w:rPr>
          <w:rFonts w:ascii="Times New Roman" w:hAnsi="Times New Roman"/>
        </w:rPr>
        <w:t xml:space="preserve"> (70% and 66%) are enrolled in post-graduate education. Ideally we would observe these individuals 1.5 years after graduation to </w:t>
      </w:r>
      <w:r w:rsidR="004849EA">
        <w:rPr>
          <w:rFonts w:ascii="Times New Roman" w:hAnsi="Times New Roman"/>
        </w:rPr>
        <w:t>allow for pupils to finish their postgraduate studies but there is no data to observe this.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43" w:rsidRDefault="00211A71">
    <w:pPr>
      <w:pStyle w:val="Header"/>
      <w:jc w:val="right"/>
    </w:pPr>
    <w:fldSimple w:instr=" PAGE   \* MERGEFORMAT ">
      <w:r w:rsidR="00560F5B">
        <w:rPr>
          <w:noProof/>
        </w:rPr>
        <w:t>1</w:t>
      </w:r>
    </w:fldSimple>
  </w:p>
  <w:p w:rsidR="00C94943" w:rsidRDefault="00C949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40"/>
    <w:multiLevelType w:val="hybridMultilevel"/>
    <w:tmpl w:val="09A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76012"/>
    <w:multiLevelType w:val="hybridMultilevel"/>
    <w:tmpl w:val="C6D6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972F9F"/>
    <w:multiLevelType w:val="hybridMultilevel"/>
    <w:tmpl w:val="573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A23C90"/>
    <w:multiLevelType w:val="hybridMultilevel"/>
    <w:tmpl w:val="35D0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A19A9"/>
    <w:multiLevelType w:val="hybridMultilevel"/>
    <w:tmpl w:val="E60C0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BD31C9"/>
    <w:multiLevelType w:val="hybridMultilevel"/>
    <w:tmpl w:val="5344BD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AA487C"/>
    <w:multiLevelType w:val="hybridMultilevel"/>
    <w:tmpl w:val="5344BD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F4438"/>
    <w:multiLevelType w:val="hybridMultilevel"/>
    <w:tmpl w:val="70F606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F7590E"/>
    <w:multiLevelType w:val="hybridMultilevel"/>
    <w:tmpl w:val="07E41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3F0E81"/>
    <w:multiLevelType w:val="hybridMultilevel"/>
    <w:tmpl w:val="6906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081B83"/>
    <w:multiLevelType w:val="hybridMultilevel"/>
    <w:tmpl w:val="4D0C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0B2269"/>
    <w:multiLevelType w:val="hybridMultilevel"/>
    <w:tmpl w:val="A1AE011A"/>
    <w:lvl w:ilvl="0" w:tplc="ECDEB3A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641926"/>
    <w:multiLevelType w:val="hybridMultilevel"/>
    <w:tmpl w:val="12A8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45114A"/>
    <w:multiLevelType w:val="hybridMultilevel"/>
    <w:tmpl w:val="E6A4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B90975"/>
    <w:multiLevelType w:val="hybridMultilevel"/>
    <w:tmpl w:val="153CF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EB5254"/>
    <w:multiLevelType w:val="hybridMultilevel"/>
    <w:tmpl w:val="4DC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871238"/>
    <w:multiLevelType w:val="hybridMultilevel"/>
    <w:tmpl w:val="B85C19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963222"/>
    <w:multiLevelType w:val="multilevel"/>
    <w:tmpl w:val="E008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00BD4"/>
    <w:multiLevelType w:val="hybridMultilevel"/>
    <w:tmpl w:val="EF1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563905"/>
    <w:multiLevelType w:val="hybridMultilevel"/>
    <w:tmpl w:val="8B18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12"/>
  </w:num>
  <w:num w:numId="5">
    <w:abstractNumId w:val="18"/>
  </w:num>
  <w:num w:numId="6">
    <w:abstractNumId w:val="15"/>
  </w:num>
  <w:num w:numId="7">
    <w:abstractNumId w:val="10"/>
  </w:num>
  <w:num w:numId="8">
    <w:abstractNumId w:val="13"/>
  </w:num>
  <w:num w:numId="9">
    <w:abstractNumId w:val="11"/>
  </w:num>
  <w:num w:numId="10">
    <w:abstractNumId w:val="0"/>
  </w:num>
  <w:num w:numId="11">
    <w:abstractNumId w:val="5"/>
  </w:num>
  <w:num w:numId="12">
    <w:abstractNumId w:val="4"/>
  </w:num>
  <w:num w:numId="13">
    <w:abstractNumId w:val="9"/>
  </w:num>
  <w:num w:numId="14">
    <w:abstractNumId w:val="1"/>
  </w:num>
  <w:num w:numId="15">
    <w:abstractNumId w:val="8"/>
  </w:num>
  <w:num w:numId="16">
    <w:abstractNumId w:val="16"/>
  </w:num>
  <w:num w:numId="17">
    <w:abstractNumId w:val="17"/>
  </w:num>
  <w:num w:numId="18">
    <w:abstractNumId w:val="6"/>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6A1D"/>
    <w:rsid w:val="000227FD"/>
    <w:rsid w:val="00024663"/>
    <w:rsid w:val="00033FD1"/>
    <w:rsid w:val="0003420B"/>
    <w:rsid w:val="00040D9A"/>
    <w:rsid w:val="00043074"/>
    <w:rsid w:val="000474C9"/>
    <w:rsid w:val="00055017"/>
    <w:rsid w:val="00067C0C"/>
    <w:rsid w:val="00070422"/>
    <w:rsid w:val="00072AFE"/>
    <w:rsid w:val="0008681C"/>
    <w:rsid w:val="00090128"/>
    <w:rsid w:val="000B0EFE"/>
    <w:rsid w:val="000B17C7"/>
    <w:rsid w:val="000B5F69"/>
    <w:rsid w:val="000C0CF2"/>
    <w:rsid w:val="000C51B2"/>
    <w:rsid w:val="000C5C7D"/>
    <w:rsid w:val="000D1030"/>
    <w:rsid w:val="000D1BCE"/>
    <w:rsid w:val="000E128D"/>
    <w:rsid w:val="000E3046"/>
    <w:rsid w:val="000E54C0"/>
    <w:rsid w:val="000E6F3F"/>
    <w:rsid w:val="000E72FF"/>
    <w:rsid w:val="000F028C"/>
    <w:rsid w:val="000F113B"/>
    <w:rsid w:val="000F4161"/>
    <w:rsid w:val="00111299"/>
    <w:rsid w:val="00113CBA"/>
    <w:rsid w:val="00121334"/>
    <w:rsid w:val="0012228B"/>
    <w:rsid w:val="00124C46"/>
    <w:rsid w:val="0012699C"/>
    <w:rsid w:val="0013025B"/>
    <w:rsid w:val="001344AF"/>
    <w:rsid w:val="00140DC4"/>
    <w:rsid w:val="001437F2"/>
    <w:rsid w:val="00145819"/>
    <w:rsid w:val="001526A8"/>
    <w:rsid w:val="00156369"/>
    <w:rsid w:val="0017777C"/>
    <w:rsid w:val="00191082"/>
    <w:rsid w:val="00192F43"/>
    <w:rsid w:val="001A786C"/>
    <w:rsid w:val="001B6302"/>
    <w:rsid w:val="001B768B"/>
    <w:rsid w:val="001B7E3B"/>
    <w:rsid w:val="001C20A7"/>
    <w:rsid w:val="001C791D"/>
    <w:rsid w:val="001D5713"/>
    <w:rsid w:val="001D72F2"/>
    <w:rsid w:val="001D7641"/>
    <w:rsid w:val="001E116E"/>
    <w:rsid w:val="001F379E"/>
    <w:rsid w:val="001F3EFF"/>
    <w:rsid w:val="00211A71"/>
    <w:rsid w:val="00213BAA"/>
    <w:rsid w:val="002204E6"/>
    <w:rsid w:val="00221379"/>
    <w:rsid w:val="00246199"/>
    <w:rsid w:val="00247682"/>
    <w:rsid w:val="00250B03"/>
    <w:rsid w:val="00253C4E"/>
    <w:rsid w:val="00263E24"/>
    <w:rsid w:val="00273FA3"/>
    <w:rsid w:val="002759C1"/>
    <w:rsid w:val="00275E15"/>
    <w:rsid w:val="00287372"/>
    <w:rsid w:val="0029114A"/>
    <w:rsid w:val="00294340"/>
    <w:rsid w:val="0029675C"/>
    <w:rsid w:val="002976F3"/>
    <w:rsid w:val="00297859"/>
    <w:rsid w:val="00297F7B"/>
    <w:rsid w:val="002A0197"/>
    <w:rsid w:val="002A646C"/>
    <w:rsid w:val="002B4CB4"/>
    <w:rsid w:val="002C311C"/>
    <w:rsid w:val="002F2BF6"/>
    <w:rsid w:val="00302603"/>
    <w:rsid w:val="00306051"/>
    <w:rsid w:val="0032080B"/>
    <w:rsid w:val="003261CC"/>
    <w:rsid w:val="003278B1"/>
    <w:rsid w:val="003302DC"/>
    <w:rsid w:val="00331272"/>
    <w:rsid w:val="00333A42"/>
    <w:rsid w:val="00334F74"/>
    <w:rsid w:val="00336FE5"/>
    <w:rsid w:val="0034156C"/>
    <w:rsid w:val="00341904"/>
    <w:rsid w:val="00341CD7"/>
    <w:rsid w:val="0034513D"/>
    <w:rsid w:val="00362CCF"/>
    <w:rsid w:val="00362E9B"/>
    <w:rsid w:val="0036561C"/>
    <w:rsid w:val="00376F62"/>
    <w:rsid w:val="003816C4"/>
    <w:rsid w:val="00385954"/>
    <w:rsid w:val="003915A9"/>
    <w:rsid w:val="00391642"/>
    <w:rsid w:val="003973E8"/>
    <w:rsid w:val="003B7659"/>
    <w:rsid w:val="003C382B"/>
    <w:rsid w:val="003C4B87"/>
    <w:rsid w:val="003C6C27"/>
    <w:rsid w:val="003D2841"/>
    <w:rsid w:val="003D2C1F"/>
    <w:rsid w:val="003D498C"/>
    <w:rsid w:val="003E22A9"/>
    <w:rsid w:val="003F2768"/>
    <w:rsid w:val="004014B0"/>
    <w:rsid w:val="00401DDE"/>
    <w:rsid w:val="004023B4"/>
    <w:rsid w:val="00413816"/>
    <w:rsid w:val="00413E28"/>
    <w:rsid w:val="00415628"/>
    <w:rsid w:val="00423E5D"/>
    <w:rsid w:val="004303E3"/>
    <w:rsid w:val="0044136C"/>
    <w:rsid w:val="00451631"/>
    <w:rsid w:val="004533AF"/>
    <w:rsid w:val="004565C8"/>
    <w:rsid w:val="00460818"/>
    <w:rsid w:val="00462DAC"/>
    <w:rsid w:val="00465B98"/>
    <w:rsid w:val="0047365C"/>
    <w:rsid w:val="004747A6"/>
    <w:rsid w:val="00476FDC"/>
    <w:rsid w:val="004811A7"/>
    <w:rsid w:val="00484773"/>
    <w:rsid w:val="004849EA"/>
    <w:rsid w:val="00487A1E"/>
    <w:rsid w:val="00493635"/>
    <w:rsid w:val="00497A6B"/>
    <w:rsid w:val="004B2AA3"/>
    <w:rsid w:val="004B4274"/>
    <w:rsid w:val="004C0B8F"/>
    <w:rsid w:val="004D4B9E"/>
    <w:rsid w:val="004E0B2A"/>
    <w:rsid w:val="004F5721"/>
    <w:rsid w:val="004F6B4E"/>
    <w:rsid w:val="004F713C"/>
    <w:rsid w:val="00507691"/>
    <w:rsid w:val="00511126"/>
    <w:rsid w:val="00513653"/>
    <w:rsid w:val="00513A7C"/>
    <w:rsid w:val="0051452E"/>
    <w:rsid w:val="005206C6"/>
    <w:rsid w:val="00531AA1"/>
    <w:rsid w:val="005326DD"/>
    <w:rsid w:val="00533318"/>
    <w:rsid w:val="00535478"/>
    <w:rsid w:val="00546638"/>
    <w:rsid w:val="00546E7B"/>
    <w:rsid w:val="00551DD5"/>
    <w:rsid w:val="00552E23"/>
    <w:rsid w:val="005538CA"/>
    <w:rsid w:val="0056055D"/>
    <w:rsid w:val="00560F5B"/>
    <w:rsid w:val="005671B3"/>
    <w:rsid w:val="00574CB6"/>
    <w:rsid w:val="00584994"/>
    <w:rsid w:val="005853F3"/>
    <w:rsid w:val="00586332"/>
    <w:rsid w:val="00586A1D"/>
    <w:rsid w:val="005C37A1"/>
    <w:rsid w:val="005E1428"/>
    <w:rsid w:val="005E375A"/>
    <w:rsid w:val="005F2348"/>
    <w:rsid w:val="005F2A26"/>
    <w:rsid w:val="00601BC6"/>
    <w:rsid w:val="00602302"/>
    <w:rsid w:val="00606CFF"/>
    <w:rsid w:val="00617F29"/>
    <w:rsid w:val="0062156B"/>
    <w:rsid w:val="00623F92"/>
    <w:rsid w:val="00627208"/>
    <w:rsid w:val="00630AD5"/>
    <w:rsid w:val="0063130F"/>
    <w:rsid w:val="006319C9"/>
    <w:rsid w:val="006321B9"/>
    <w:rsid w:val="00654205"/>
    <w:rsid w:val="00663CDF"/>
    <w:rsid w:val="00667D40"/>
    <w:rsid w:val="006937C6"/>
    <w:rsid w:val="00693B41"/>
    <w:rsid w:val="006A5DDB"/>
    <w:rsid w:val="006B51B7"/>
    <w:rsid w:val="006D29F1"/>
    <w:rsid w:val="006D434C"/>
    <w:rsid w:val="006D58E0"/>
    <w:rsid w:val="006E6251"/>
    <w:rsid w:val="006F0EC4"/>
    <w:rsid w:val="006F2B53"/>
    <w:rsid w:val="006F5E8E"/>
    <w:rsid w:val="00704E78"/>
    <w:rsid w:val="00717DD7"/>
    <w:rsid w:val="0072219B"/>
    <w:rsid w:val="00723AAB"/>
    <w:rsid w:val="00723E1E"/>
    <w:rsid w:val="007262E1"/>
    <w:rsid w:val="00731B7A"/>
    <w:rsid w:val="00746E08"/>
    <w:rsid w:val="007511E9"/>
    <w:rsid w:val="007733A6"/>
    <w:rsid w:val="00775790"/>
    <w:rsid w:val="00775914"/>
    <w:rsid w:val="0077737A"/>
    <w:rsid w:val="00777676"/>
    <w:rsid w:val="007822A4"/>
    <w:rsid w:val="00782B29"/>
    <w:rsid w:val="00787312"/>
    <w:rsid w:val="00790FB4"/>
    <w:rsid w:val="007C16EC"/>
    <w:rsid w:val="007C2E13"/>
    <w:rsid w:val="007C57A7"/>
    <w:rsid w:val="007D5F6F"/>
    <w:rsid w:val="007E3EB6"/>
    <w:rsid w:val="007E53D7"/>
    <w:rsid w:val="007F51D6"/>
    <w:rsid w:val="00816449"/>
    <w:rsid w:val="00816AE1"/>
    <w:rsid w:val="008170D4"/>
    <w:rsid w:val="0082270E"/>
    <w:rsid w:val="0082541F"/>
    <w:rsid w:val="00843837"/>
    <w:rsid w:val="008543B8"/>
    <w:rsid w:val="00856D27"/>
    <w:rsid w:val="00865471"/>
    <w:rsid w:val="00872992"/>
    <w:rsid w:val="008730E7"/>
    <w:rsid w:val="00881BD2"/>
    <w:rsid w:val="008A10A9"/>
    <w:rsid w:val="008A4246"/>
    <w:rsid w:val="008A73EC"/>
    <w:rsid w:val="008B413A"/>
    <w:rsid w:val="008C12E0"/>
    <w:rsid w:val="008C4F80"/>
    <w:rsid w:val="008E66D9"/>
    <w:rsid w:val="008F2F3F"/>
    <w:rsid w:val="008F4A1F"/>
    <w:rsid w:val="00927CD9"/>
    <w:rsid w:val="00932224"/>
    <w:rsid w:val="00933D6A"/>
    <w:rsid w:val="00936629"/>
    <w:rsid w:val="00940CE5"/>
    <w:rsid w:val="009444D5"/>
    <w:rsid w:val="00944E30"/>
    <w:rsid w:val="009518A1"/>
    <w:rsid w:val="00956C43"/>
    <w:rsid w:val="009627A4"/>
    <w:rsid w:val="009736FC"/>
    <w:rsid w:val="00973F30"/>
    <w:rsid w:val="00976354"/>
    <w:rsid w:val="0098616D"/>
    <w:rsid w:val="009A1306"/>
    <w:rsid w:val="009A1BB0"/>
    <w:rsid w:val="009A5930"/>
    <w:rsid w:val="009C0073"/>
    <w:rsid w:val="009D23D1"/>
    <w:rsid w:val="009D589F"/>
    <w:rsid w:val="009F1B1A"/>
    <w:rsid w:val="009F7BB5"/>
    <w:rsid w:val="00A03987"/>
    <w:rsid w:val="00A059B3"/>
    <w:rsid w:val="00A102E2"/>
    <w:rsid w:val="00A1131C"/>
    <w:rsid w:val="00A14A54"/>
    <w:rsid w:val="00A36ACD"/>
    <w:rsid w:val="00A47BCC"/>
    <w:rsid w:val="00A47E77"/>
    <w:rsid w:val="00A54AC8"/>
    <w:rsid w:val="00A71435"/>
    <w:rsid w:val="00A71AA6"/>
    <w:rsid w:val="00A72249"/>
    <w:rsid w:val="00A85C19"/>
    <w:rsid w:val="00A95023"/>
    <w:rsid w:val="00A97EA9"/>
    <w:rsid w:val="00AA3456"/>
    <w:rsid w:val="00AA6360"/>
    <w:rsid w:val="00AB41F9"/>
    <w:rsid w:val="00AB5693"/>
    <w:rsid w:val="00AC152B"/>
    <w:rsid w:val="00AC26F0"/>
    <w:rsid w:val="00AC4EF3"/>
    <w:rsid w:val="00AD7257"/>
    <w:rsid w:val="00AE14FD"/>
    <w:rsid w:val="00AF1317"/>
    <w:rsid w:val="00AF2D5A"/>
    <w:rsid w:val="00B062F7"/>
    <w:rsid w:val="00B1272F"/>
    <w:rsid w:val="00B12A57"/>
    <w:rsid w:val="00B13179"/>
    <w:rsid w:val="00B1758D"/>
    <w:rsid w:val="00B17AB6"/>
    <w:rsid w:val="00B32048"/>
    <w:rsid w:val="00B35853"/>
    <w:rsid w:val="00B416B7"/>
    <w:rsid w:val="00B41F7F"/>
    <w:rsid w:val="00B44F71"/>
    <w:rsid w:val="00B45EBC"/>
    <w:rsid w:val="00B5432C"/>
    <w:rsid w:val="00B57A2F"/>
    <w:rsid w:val="00B63EEF"/>
    <w:rsid w:val="00B67440"/>
    <w:rsid w:val="00B7398B"/>
    <w:rsid w:val="00B76E42"/>
    <w:rsid w:val="00B818F3"/>
    <w:rsid w:val="00B83511"/>
    <w:rsid w:val="00BA7167"/>
    <w:rsid w:val="00BB75D1"/>
    <w:rsid w:val="00BC2ABE"/>
    <w:rsid w:val="00BD3BFC"/>
    <w:rsid w:val="00BD3C88"/>
    <w:rsid w:val="00BD4C7F"/>
    <w:rsid w:val="00BE1CB4"/>
    <w:rsid w:val="00BF4C75"/>
    <w:rsid w:val="00C02372"/>
    <w:rsid w:val="00C030DE"/>
    <w:rsid w:val="00C04C93"/>
    <w:rsid w:val="00C05049"/>
    <w:rsid w:val="00C13888"/>
    <w:rsid w:val="00C17978"/>
    <w:rsid w:val="00C219E6"/>
    <w:rsid w:val="00C24283"/>
    <w:rsid w:val="00C2504D"/>
    <w:rsid w:val="00C25841"/>
    <w:rsid w:val="00C276A1"/>
    <w:rsid w:val="00C35598"/>
    <w:rsid w:val="00C41237"/>
    <w:rsid w:val="00C57225"/>
    <w:rsid w:val="00C60BE2"/>
    <w:rsid w:val="00C63947"/>
    <w:rsid w:val="00C64575"/>
    <w:rsid w:val="00C65D4B"/>
    <w:rsid w:val="00C75A4D"/>
    <w:rsid w:val="00C87681"/>
    <w:rsid w:val="00C928F8"/>
    <w:rsid w:val="00C94943"/>
    <w:rsid w:val="00C9578F"/>
    <w:rsid w:val="00C97A0D"/>
    <w:rsid w:val="00C97F96"/>
    <w:rsid w:val="00CA0B0F"/>
    <w:rsid w:val="00CA253D"/>
    <w:rsid w:val="00CA31BB"/>
    <w:rsid w:val="00CB367B"/>
    <w:rsid w:val="00CB3B9E"/>
    <w:rsid w:val="00CC1F52"/>
    <w:rsid w:val="00CC709C"/>
    <w:rsid w:val="00CD5CDF"/>
    <w:rsid w:val="00CD7394"/>
    <w:rsid w:val="00CD790F"/>
    <w:rsid w:val="00CF0ACB"/>
    <w:rsid w:val="00CF16EE"/>
    <w:rsid w:val="00CF2438"/>
    <w:rsid w:val="00CF3F6D"/>
    <w:rsid w:val="00D02BFE"/>
    <w:rsid w:val="00D04DA7"/>
    <w:rsid w:val="00D10195"/>
    <w:rsid w:val="00D112BB"/>
    <w:rsid w:val="00D1491B"/>
    <w:rsid w:val="00D169D7"/>
    <w:rsid w:val="00D27557"/>
    <w:rsid w:val="00D30FC2"/>
    <w:rsid w:val="00D31AE3"/>
    <w:rsid w:val="00D375A6"/>
    <w:rsid w:val="00D43074"/>
    <w:rsid w:val="00D435A0"/>
    <w:rsid w:val="00D61B87"/>
    <w:rsid w:val="00D64EAE"/>
    <w:rsid w:val="00D7478A"/>
    <w:rsid w:val="00D75596"/>
    <w:rsid w:val="00D80D75"/>
    <w:rsid w:val="00D85A1E"/>
    <w:rsid w:val="00D87BB8"/>
    <w:rsid w:val="00D913F9"/>
    <w:rsid w:val="00D91481"/>
    <w:rsid w:val="00DA0338"/>
    <w:rsid w:val="00DB2B8C"/>
    <w:rsid w:val="00DB73D9"/>
    <w:rsid w:val="00DC2308"/>
    <w:rsid w:val="00DD2775"/>
    <w:rsid w:val="00DD3428"/>
    <w:rsid w:val="00DE4564"/>
    <w:rsid w:val="00DE4721"/>
    <w:rsid w:val="00DF2367"/>
    <w:rsid w:val="00DF4BD2"/>
    <w:rsid w:val="00E04FF9"/>
    <w:rsid w:val="00E11130"/>
    <w:rsid w:val="00E17231"/>
    <w:rsid w:val="00E22AA5"/>
    <w:rsid w:val="00E25451"/>
    <w:rsid w:val="00E266A3"/>
    <w:rsid w:val="00E27945"/>
    <w:rsid w:val="00E36725"/>
    <w:rsid w:val="00E46936"/>
    <w:rsid w:val="00E559B8"/>
    <w:rsid w:val="00E55AD0"/>
    <w:rsid w:val="00E61565"/>
    <w:rsid w:val="00E65879"/>
    <w:rsid w:val="00E74BE7"/>
    <w:rsid w:val="00E91EC0"/>
    <w:rsid w:val="00EA13D0"/>
    <w:rsid w:val="00EA646B"/>
    <w:rsid w:val="00EB180E"/>
    <w:rsid w:val="00EC28BB"/>
    <w:rsid w:val="00ED3FE2"/>
    <w:rsid w:val="00EF6F4E"/>
    <w:rsid w:val="00F012BB"/>
    <w:rsid w:val="00F0541F"/>
    <w:rsid w:val="00F0680F"/>
    <w:rsid w:val="00F24433"/>
    <w:rsid w:val="00F26EF4"/>
    <w:rsid w:val="00F42F71"/>
    <w:rsid w:val="00F4413D"/>
    <w:rsid w:val="00F44253"/>
    <w:rsid w:val="00F465C8"/>
    <w:rsid w:val="00F5190C"/>
    <w:rsid w:val="00F53797"/>
    <w:rsid w:val="00F766AC"/>
    <w:rsid w:val="00F90DA1"/>
    <w:rsid w:val="00F92E98"/>
    <w:rsid w:val="00F95869"/>
    <w:rsid w:val="00F96CD0"/>
    <w:rsid w:val="00F96F84"/>
    <w:rsid w:val="00FB08FC"/>
    <w:rsid w:val="00FB0CB1"/>
    <w:rsid w:val="00FC3473"/>
    <w:rsid w:val="00FD7501"/>
    <w:rsid w:val="00FD78C8"/>
    <w:rsid w:val="00FD7AF5"/>
    <w:rsid w:val="00FE1433"/>
    <w:rsid w:val="00FE4CFA"/>
    <w:rsid w:val="00FF337C"/>
    <w:rsid w:val="00FF34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F9"/>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C9578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586A1D"/>
    <w:pPr>
      <w:spacing w:after="324" w:line="240" w:lineRule="auto"/>
    </w:pPr>
    <w:rPr>
      <w:rFonts w:ascii="Times New Roman" w:eastAsia="Times New Roman" w:hAnsi="Times New Roman"/>
      <w:sz w:val="24"/>
      <w:szCs w:val="24"/>
      <w:lang w:eastAsia="en-GB"/>
    </w:rPr>
  </w:style>
  <w:style w:type="paragraph" w:customStyle="1" w:styleId="Default">
    <w:name w:val="Default"/>
    <w:rsid w:val="00AD7257"/>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nhideWhenUsed/>
    <w:rsid w:val="00AD7257"/>
    <w:rPr>
      <w:sz w:val="20"/>
      <w:szCs w:val="20"/>
    </w:rPr>
  </w:style>
  <w:style w:type="character" w:customStyle="1" w:styleId="FootnoteTextChar">
    <w:name w:val="Footnote Text Char"/>
    <w:link w:val="FootnoteText"/>
    <w:rsid w:val="00AD7257"/>
    <w:rPr>
      <w:lang w:eastAsia="en-US"/>
    </w:rPr>
  </w:style>
  <w:style w:type="character" w:styleId="FootnoteReference">
    <w:name w:val="footnote reference"/>
    <w:uiPriority w:val="99"/>
    <w:semiHidden/>
    <w:unhideWhenUsed/>
    <w:rsid w:val="00AD7257"/>
    <w:rPr>
      <w:vertAlign w:val="superscript"/>
    </w:rPr>
  </w:style>
  <w:style w:type="character" w:styleId="CommentReference">
    <w:name w:val="annotation reference"/>
    <w:uiPriority w:val="99"/>
    <w:semiHidden/>
    <w:unhideWhenUsed/>
    <w:rsid w:val="00AD7257"/>
    <w:rPr>
      <w:sz w:val="16"/>
      <w:szCs w:val="16"/>
    </w:rPr>
  </w:style>
  <w:style w:type="paragraph" w:styleId="CommentText">
    <w:name w:val="annotation text"/>
    <w:basedOn w:val="Normal"/>
    <w:link w:val="CommentTextChar"/>
    <w:uiPriority w:val="99"/>
    <w:unhideWhenUsed/>
    <w:rsid w:val="00AD7257"/>
    <w:pPr>
      <w:spacing w:after="0" w:line="240" w:lineRule="auto"/>
    </w:pPr>
    <w:rPr>
      <w:rFonts w:ascii="Arial" w:eastAsia="Times New Roman" w:hAnsi="Arial"/>
      <w:sz w:val="20"/>
      <w:szCs w:val="20"/>
    </w:rPr>
  </w:style>
  <w:style w:type="character" w:customStyle="1" w:styleId="CommentTextChar">
    <w:name w:val="Comment Text Char"/>
    <w:link w:val="CommentText"/>
    <w:uiPriority w:val="99"/>
    <w:rsid w:val="00AD7257"/>
    <w:rPr>
      <w:rFonts w:ascii="Arial" w:eastAsia="Times New Roman" w:hAnsi="Arial"/>
      <w:lang w:eastAsia="en-US"/>
    </w:rPr>
  </w:style>
  <w:style w:type="paragraph" w:styleId="BalloonText">
    <w:name w:val="Balloon Text"/>
    <w:basedOn w:val="Normal"/>
    <w:link w:val="BalloonTextChar"/>
    <w:uiPriority w:val="99"/>
    <w:semiHidden/>
    <w:unhideWhenUsed/>
    <w:rsid w:val="00AD72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D7257"/>
    <w:rPr>
      <w:rFonts w:ascii="Tahoma" w:hAnsi="Tahoma" w:cs="Tahoma"/>
      <w:sz w:val="16"/>
      <w:szCs w:val="16"/>
      <w:lang w:eastAsia="en-US"/>
    </w:rPr>
  </w:style>
  <w:style w:type="paragraph" w:styleId="ListParagraph">
    <w:name w:val="List Paragraph"/>
    <w:basedOn w:val="Normal"/>
    <w:uiPriority w:val="34"/>
    <w:qFormat/>
    <w:rsid w:val="00AD7257"/>
    <w:pPr>
      <w:spacing w:after="0" w:line="240" w:lineRule="auto"/>
      <w:ind w:left="720"/>
      <w:contextualSpacing/>
    </w:pPr>
    <w:rPr>
      <w:rFonts w:ascii="Arial" w:eastAsia="Times New Roman" w:hAnsi="Arial"/>
      <w:sz w:val="24"/>
      <w:szCs w:val="20"/>
    </w:rPr>
  </w:style>
  <w:style w:type="character" w:customStyle="1" w:styleId="Heading2Char">
    <w:name w:val="Heading 2 Char"/>
    <w:link w:val="Heading2"/>
    <w:uiPriority w:val="9"/>
    <w:rsid w:val="00C9578F"/>
    <w:rPr>
      <w:rFonts w:ascii="Cambria" w:eastAsia="Times New Roman" w:hAnsi="Cambria" w:cs="Times New Roman"/>
      <w:b/>
      <w:bCs/>
      <w:color w:val="4F81BD"/>
      <w:sz w:val="26"/>
      <w:szCs w:val="26"/>
      <w:lang w:eastAsia="en-US"/>
    </w:rPr>
  </w:style>
  <w:style w:type="paragraph" w:styleId="CommentSubject">
    <w:name w:val="annotation subject"/>
    <w:basedOn w:val="CommentText"/>
    <w:next w:val="CommentText"/>
    <w:link w:val="CommentSubjectChar"/>
    <w:uiPriority w:val="99"/>
    <w:semiHidden/>
    <w:unhideWhenUsed/>
    <w:rsid w:val="003D2C1F"/>
    <w:pPr>
      <w:spacing w:after="200" w:line="276" w:lineRule="auto"/>
    </w:pPr>
    <w:rPr>
      <w:b/>
      <w:bCs/>
    </w:rPr>
  </w:style>
  <w:style w:type="character" w:customStyle="1" w:styleId="CommentSubjectChar">
    <w:name w:val="Comment Subject Char"/>
    <w:link w:val="CommentSubject"/>
    <w:uiPriority w:val="99"/>
    <w:semiHidden/>
    <w:rsid w:val="003D2C1F"/>
    <w:rPr>
      <w:rFonts w:ascii="Arial" w:eastAsia="Times New Roman" w:hAnsi="Arial"/>
      <w:b/>
      <w:bCs/>
      <w:lang w:eastAsia="en-US"/>
    </w:rPr>
  </w:style>
  <w:style w:type="character" w:styleId="Hyperlink">
    <w:name w:val="Hyperlink"/>
    <w:uiPriority w:val="99"/>
    <w:unhideWhenUsed/>
    <w:rsid w:val="00247682"/>
    <w:rPr>
      <w:color w:val="0000FF"/>
      <w:u w:val="single"/>
    </w:rPr>
  </w:style>
  <w:style w:type="character" w:customStyle="1" w:styleId="author">
    <w:name w:val="author"/>
    <w:basedOn w:val="DefaultParagraphFont"/>
    <w:rsid w:val="00601BC6"/>
  </w:style>
  <w:style w:type="character" w:customStyle="1" w:styleId="title">
    <w:name w:val="title"/>
    <w:basedOn w:val="DefaultParagraphFont"/>
    <w:rsid w:val="00601BC6"/>
  </w:style>
  <w:style w:type="character" w:styleId="HTMLCite">
    <w:name w:val="HTML Cite"/>
    <w:uiPriority w:val="99"/>
    <w:semiHidden/>
    <w:unhideWhenUsed/>
    <w:rsid w:val="00601BC6"/>
    <w:rPr>
      <w:i/>
      <w:iCs/>
    </w:rPr>
  </w:style>
  <w:style w:type="character" w:styleId="PlaceholderText">
    <w:name w:val="Placeholder Text"/>
    <w:uiPriority w:val="99"/>
    <w:semiHidden/>
    <w:rsid w:val="00CF2438"/>
    <w:rPr>
      <w:color w:val="808080"/>
    </w:rPr>
  </w:style>
  <w:style w:type="paragraph" w:styleId="Header">
    <w:name w:val="header"/>
    <w:basedOn w:val="Normal"/>
    <w:link w:val="HeaderChar"/>
    <w:uiPriority w:val="99"/>
    <w:unhideWhenUsed/>
    <w:rsid w:val="00CD5CDF"/>
    <w:pPr>
      <w:tabs>
        <w:tab w:val="center" w:pos="4513"/>
        <w:tab w:val="right" w:pos="9026"/>
      </w:tabs>
      <w:spacing w:after="0" w:line="240" w:lineRule="auto"/>
    </w:pPr>
  </w:style>
  <w:style w:type="character" w:customStyle="1" w:styleId="HeaderChar">
    <w:name w:val="Header Char"/>
    <w:link w:val="Header"/>
    <w:uiPriority w:val="99"/>
    <w:rsid w:val="00CD5CDF"/>
    <w:rPr>
      <w:sz w:val="22"/>
      <w:szCs w:val="22"/>
      <w:lang w:eastAsia="en-US"/>
    </w:rPr>
  </w:style>
  <w:style w:type="paragraph" w:styleId="Footer">
    <w:name w:val="footer"/>
    <w:basedOn w:val="Normal"/>
    <w:link w:val="FooterChar"/>
    <w:uiPriority w:val="99"/>
    <w:semiHidden/>
    <w:unhideWhenUsed/>
    <w:rsid w:val="00CD5CDF"/>
    <w:pPr>
      <w:tabs>
        <w:tab w:val="center" w:pos="4513"/>
        <w:tab w:val="right" w:pos="9026"/>
      </w:tabs>
      <w:spacing w:after="0" w:line="240" w:lineRule="auto"/>
    </w:pPr>
  </w:style>
  <w:style w:type="character" w:customStyle="1" w:styleId="FooterChar">
    <w:name w:val="Footer Char"/>
    <w:link w:val="Footer"/>
    <w:uiPriority w:val="99"/>
    <w:semiHidden/>
    <w:rsid w:val="00CD5CDF"/>
    <w:rPr>
      <w:sz w:val="22"/>
      <w:szCs w:val="22"/>
      <w:lang w:eastAsia="en-US"/>
    </w:rPr>
  </w:style>
  <w:style w:type="character" w:styleId="Emphasis">
    <w:name w:val="Emphasis"/>
    <w:uiPriority w:val="20"/>
    <w:qFormat/>
    <w:rsid w:val="00DF2367"/>
    <w:rPr>
      <w:i/>
      <w:iCs/>
    </w:rPr>
  </w:style>
  <w:style w:type="paragraph" w:styleId="EndnoteText">
    <w:name w:val="endnote text"/>
    <w:basedOn w:val="Normal"/>
    <w:link w:val="EndnoteTextChar"/>
    <w:uiPriority w:val="99"/>
    <w:semiHidden/>
    <w:unhideWhenUsed/>
    <w:rsid w:val="00AF2D5A"/>
    <w:pPr>
      <w:spacing w:after="0" w:line="240" w:lineRule="auto"/>
    </w:pPr>
    <w:rPr>
      <w:sz w:val="20"/>
      <w:szCs w:val="20"/>
    </w:rPr>
  </w:style>
  <w:style w:type="character" w:customStyle="1" w:styleId="EndnoteTextChar">
    <w:name w:val="Endnote Text Char"/>
    <w:link w:val="EndnoteText"/>
    <w:uiPriority w:val="99"/>
    <w:semiHidden/>
    <w:rsid w:val="00AF2D5A"/>
    <w:rPr>
      <w:lang w:eastAsia="en-US"/>
    </w:rPr>
  </w:style>
  <w:style w:type="character" w:styleId="EndnoteReference">
    <w:name w:val="endnote reference"/>
    <w:uiPriority w:val="99"/>
    <w:semiHidden/>
    <w:unhideWhenUsed/>
    <w:rsid w:val="00AF2D5A"/>
    <w:rPr>
      <w:vertAlign w:val="superscript"/>
    </w:rPr>
  </w:style>
  <w:style w:type="paragraph" w:styleId="Revision">
    <w:name w:val="Revision"/>
    <w:hidden/>
    <w:uiPriority w:val="99"/>
    <w:semiHidden/>
    <w:rsid w:val="00FF337C"/>
    <w:rPr>
      <w:sz w:val="22"/>
      <w:szCs w:val="22"/>
      <w:lang w:eastAsia="en-US"/>
    </w:rPr>
  </w:style>
  <w:style w:type="character" w:customStyle="1" w:styleId="maintitle">
    <w:name w:val="maintitle"/>
    <w:basedOn w:val="DefaultParagraphFont"/>
    <w:rsid w:val="00C97A0D"/>
  </w:style>
  <w:style w:type="character" w:styleId="Strong">
    <w:name w:val="Strong"/>
    <w:uiPriority w:val="22"/>
    <w:qFormat/>
    <w:rsid w:val="00AC4EF3"/>
    <w:rPr>
      <w:b/>
      <w:bCs/>
    </w:rPr>
  </w:style>
  <w:style w:type="character" w:styleId="FollowedHyperlink">
    <w:name w:val="FollowedHyperlink"/>
    <w:uiPriority w:val="99"/>
    <w:semiHidden/>
    <w:unhideWhenUsed/>
    <w:rsid w:val="00AE14FD"/>
    <w:rPr>
      <w:color w:val="800080"/>
      <w:u w:val="single"/>
    </w:rPr>
  </w:style>
  <w:style w:type="paragraph" w:styleId="Title0">
    <w:name w:val="Title"/>
    <w:basedOn w:val="Normal"/>
    <w:next w:val="Normal"/>
    <w:link w:val="TitleChar"/>
    <w:qFormat/>
    <w:rsid w:val="00584994"/>
    <w:pPr>
      <w:spacing w:after="300" w:line="240" w:lineRule="auto"/>
      <w:contextualSpacing/>
    </w:pPr>
    <w:rPr>
      <w:rFonts w:ascii="Cambria" w:eastAsia="Times New Roman" w:hAnsi="Cambria"/>
      <w:smallCaps/>
      <w:sz w:val="52"/>
      <w:szCs w:val="52"/>
    </w:rPr>
  </w:style>
  <w:style w:type="character" w:customStyle="1" w:styleId="TitleChar">
    <w:name w:val="Title Char"/>
    <w:link w:val="Title0"/>
    <w:rsid w:val="00584994"/>
    <w:rPr>
      <w:rFonts w:ascii="Cambria" w:eastAsia="Times New Roman" w:hAnsi="Cambria"/>
      <w:smallCaps/>
      <w:sz w:val="52"/>
      <w:szCs w:val="52"/>
    </w:rPr>
  </w:style>
  <w:style w:type="paragraph" w:styleId="Subtitle">
    <w:name w:val="Subtitle"/>
    <w:basedOn w:val="Normal"/>
    <w:next w:val="Normal"/>
    <w:link w:val="SubtitleChar"/>
    <w:uiPriority w:val="11"/>
    <w:qFormat/>
    <w:rsid w:val="00584994"/>
    <w:rPr>
      <w:rFonts w:ascii="Cambria" w:eastAsia="Times New Roman" w:hAnsi="Cambria"/>
      <w:i/>
      <w:iCs/>
      <w:smallCaps/>
      <w:spacing w:val="10"/>
      <w:sz w:val="28"/>
      <w:szCs w:val="28"/>
    </w:rPr>
  </w:style>
  <w:style w:type="character" w:customStyle="1" w:styleId="SubtitleChar">
    <w:name w:val="Subtitle Char"/>
    <w:link w:val="Subtitle"/>
    <w:uiPriority w:val="11"/>
    <w:rsid w:val="00584994"/>
    <w:rPr>
      <w:rFonts w:ascii="Cambria" w:eastAsia="Times New Roman" w:hAnsi="Cambria"/>
      <w:i/>
      <w:iCs/>
      <w:smallCaps/>
      <w:spacing w:val="10"/>
      <w:sz w:val="28"/>
      <w:szCs w:val="28"/>
    </w:rPr>
  </w:style>
  <w:style w:type="paragraph" w:customStyle="1" w:styleId="Body1">
    <w:name w:val="Body 1"/>
    <w:rsid w:val="0056055D"/>
    <w:pPr>
      <w:spacing w:after="200" w:line="276" w:lineRule="auto"/>
      <w:outlineLvl w:val="0"/>
    </w:pPr>
    <w:rPr>
      <w:rFonts w:ascii="Helvetica" w:eastAsia="Arial Unicode MS" w:hAnsi="Helvetica"/>
      <w:color w:val="000000"/>
      <w:sz w:val="22"/>
      <w:u w:color="000000"/>
    </w:rPr>
  </w:style>
</w:styles>
</file>

<file path=word/webSettings.xml><?xml version="1.0" encoding="utf-8"?>
<w:webSettings xmlns:r="http://schemas.openxmlformats.org/officeDocument/2006/relationships" xmlns:w="http://schemas.openxmlformats.org/wordprocessingml/2006/main">
  <w:divs>
    <w:div w:id="373309299">
      <w:bodyDiv w:val="1"/>
      <w:marLeft w:val="0"/>
      <w:marRight w:val="0"/>
      <w:marTop w:val="0"/>
      <w:marBottom w:val="0"/>
      <w:divBdr>
        <w:top w:val="none" w:sz="0" w:space="0" w:color="auto"/>
        <w:left w:val="none" w:sz="0" w:space="0" w:color="auto"/>
        <w:bottom w:val="none" w:sz="0" w:space="0" w:color="auto"/>
        <w:right w:val="none" w:sz="0" w:space="0" w:color="auto"/>
      </w:divBdr>
      <w:divsChild>
        <w:div w:id="1736317968">
          <w:marLeft w:val="0"/>
          <w:marRight w:val="0"/>
          <w:marTop w:val="0"/>
          <w:marBottom w:val="0"/>
          <w:divBdr>
            <w:top w:val="none" w:sz="0" w:space="0" w:color="auto"/>
            <w:left w:val="none" w:sz="0" w:space="0" w:color="auto"/>
            <w:bottom w:val="none" w:sz="0" w:space="0" w:color="auto"/>
            <w:right w:val="none" w:sz="0" w:space="0" w:color="auto"/>
          </w:divBdr>
          <w:divsChild>
            <w:div w:id="1061253501">
              <w:marLeft w:val="0"/>
              <w:marRight w:val="0"/>
              <w:marTop w:val="0"/>
              <w:marBottom w:val="0"/>
              <w:divBdr>
                <w:top w:val="none" w:sz="0" w:space="0" w:color="auto"/>
                <w:left w:val="none" w:sz="0" w:space="0" w:color="auto"/>
                <w:bottom w:val="none" w:sz="0" w:space="0" w:color="auto"/>
                <w:right w:val="none" w:sz="0" w:space="0" w:color="auto"/>
              </w:divBdr>
              <w:divsChild>
                <w:div w:id="1969160357">
                  <w:marLeft w:val="0"/>
                  <w:marRight w:val="0"/>
                  <w:marTop w:val="0"/>
                  <w:marBottom w:val="0"/>
                  <w:divBdr>
                    <w:top w:val="none" w:sz="0" w:space="0" w:color="auto"/>
                    <w:left w:val="none" w:sz="0" w:space="0" w:color="auto"/>
                    <w:bottom w:val="none" w:sz="0" w:space="0" w:color="auto"/>
                    <w:right w:val="none" w:sz="0" w:space="0" w:color="auto"/>
                  </w:divBdr>
                  <w:divsChild>
                    <w:div w:id="845901524">
                      <w:marLeft w:val="0"/>
                      <w:marRight w:val="0"/>
                      <w:marTop w:val="0"/>
                      <w:marBottom w:val="0"/>
                      <w:divBdr>
                        <w:top w:val="none" w:sz="0" w:space="0" w:color="auto"/>
                        <w:left w:val="none" w:sz="0" w:space="0" w:color="auto"/>
                        <w:bottom w:val="none" w:sz="0" w:space="0" w:color="auto"/>
                        <w:right w:val="none" w:sz="0" w:space="0" w:color="auto"/>
                      </w:divBdr>
                      <w:divsChild>
                        <w:div w:id="1926062508">
                          <w:marLeft w:val="0"/>
                          <w:marRight w:val="0"/>
                          <w:marTop w:val="0"/>
                          <w:marBottom w:val="0"/>
                          <w:divBdr>
                            <w:top w:val="none" w:sz="0" w:space="0" w:color="auto"/>
                            <w:left w:val="none" w:sz="0" w:space="0" w:color="auto"/>
                            <w:bottom w:val="none" w:sz="0" w:space="0" w:color="auto"/>
                            <w:right w:val="none" w:sz="0" w:space="0" w:color="auto"/>
                          </w:divBdr>
                          <w:divsChild>
                            <w:div w:id="1517502141">
                              <w:marLeft w:val="0"/>
                              <w:marRight w:val="0"/>
                              <w:marTop w:val="0"/>
                              <w:marBottom w:val="0"/>
                              <w:divBdr>
                                <w:top w:val="none" w:sz="0" w:space="0" w:color="auto"/>
                                <w:left w:val="none" w:sz="0" w:space="0" w:color="auto"/>
                                <w:bottom w:val="none" w:sz="0" w:space="0" w:color="auto"/>
                                <w:right w:val="none" w:sz="0" w:space="0" w:color="auto"/>
                              </w:divBdr>
                              <w:divsChild>
                                <w:div w:id="101077730">
                                  <w:marLeft w:val="0"/>
                                  <w:marRight w:val="0"/>
                                  <w:marTop w:val="0"/>
                                  <w:marBottom w:val="0"/>
                                  <w:divBdr>
                                    <w:top w:val="none" w:sz="0" w:space="0" w:color="auto"/>
                                    <w:left w:val="none" w:sz="0" w:space="0" w:color="auto"/>
                                    <w:bottom w:val="none" w:sz="0" w:space="0" w:color="auto"/>
                                    <w:right w:val="none" w:sz="0" w:space="0" w:color="auto"/>
                                  </w:divBdr>
                                  <w:divsChild>
                                    <w:div w:id="1497459623">
                                      <w:marLeft w:val="0"/>
                                      <w:marRight w:val="0"/>
                                      <w:marTop w:val="0"/>
                                      <w:marBottom w:val="0"/>
                                      <w:divBdr>
                                        <w:top w:val="none" w:sz="0" w:space="0" w:color="auto"/>
                                        <w:left w:val="none" w:sz="0" w:space="0" w:color="auto"/>
                                        <w:bottom w:val="none" w:sz="0" w:space="0" w:color="auto"/>
                                        <w:right w:val="none" w:sz="0" w:space="0" w:color="auto"/>
                                      </w:divBdr>
                                      <w:divsChild>
                                        <w:div w:id="16873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856731">
      <w:bodyDiv w:val="1"/>
      <w:marLeft w:val="0"/>
      <w:marRight w:val="0"/>
      <w:marTop w:val="0"/>
      <w:marBottom w:val="0"/>
      <w:divBdr>
        <w:top w:val="none" w:sz="0" w:space="0" w:color="auto"/>
        <w:left w:val="none" w:sz="0" w:space="0" w:color="auto"/>
        <w:bottom w:val="none" w:sz="0" w:space="0" w:color="auto"/>
        <w:right w:val="none" w:sz="0" w:space="0" w:color="auto"/>
      </w:divBdr>
    </w:div>
    <w:div w:id="1832940922">
      <w:bodyDiv w:val="1"/>
      <w:marLeft w:val="0"/>
      <w:marRight w:val="0"/>
      <w:marTop w:val="0"/>
      <w:marBottom w:val="0"/>
      <w:divBdr>
        <w:top w:val="none" w:sz="0" w:space="0" w:color="auto"/>
        <w:left w:val="none" w:sz="0" w:space="0" w:color="auto"/>
        <w:bottom w:val="none" w:sz="0" w:space="0" w:color="auto"/>
        <w:right w:val="none" w:sz="0" w:space="0" w:color="auto"/>
      </w:divBdr>
      <w:divsChild>
        <w:div w:id="1607351657">
          <w:marLeft w:val="0"/>
          <w:marRight w:val="0"/>
          <w:marTop w:val="0"/>
          <w:marBottom w:val="0"/>
          <w:divBdr>
            <w:top w:val="none" w:sz="0" w:space="0" w:color="auto"/>
            <w:left w:val="none" w:sz="0" w:space="0" w:color="auto"/>
            <w:bottom w:val="none" w:sz="0" w:space="0" w:color="auto"/>
            <w:right w:val="none" w:sz="0" w:space="0" w:color="auto"/>
          </w:divBdr>
          <w:divsChild>
            <w:div w:id="1335957511">
              <w:marLeft w:val="0"/>
              <w:marRight w:val="0"/>
              <w:marTop w:val="0"/>
              <w:marBottom w:val="0"/>
              <w:divBdr>
                <w:top w:val="none" w:sz="0" w:space="0" w:color="auto"/>
                <w:left w:val="none" w:sz="0" w:space="0" w:color="auto"/>
                <w:bottom w:val="none" w:sz="0" w:space="0" w:color="auto"/>
                <w:right w:val="none" w:sz="0" w:space="0" w:color="auto"/>
              </w:divBdr>
              <w:divsChild>
                <w:div w:id="838689951">
                  <w:marLeft w:val="0"/>
                  <w:marRight w:val="0"/>
                  <w:marTop w:val="0"/>
                  <w:marBottom w:val="0"/>
                  <w:divBdr>
                    <w:top w:val="none" w:sz="0" w:space="0" w:color="auto"/>
                    <w:left w:val="none" w:sz="0" w:space="0" w:color="auto"/>
                    <w:bottom w:val="none" w:sz="0" w:space="0" w:color="auto"/>
                    <w:right w:val="none" w:sz="0" w:space="0" w:color="auto"/>
                  </w:divBdr>
                  <w:divsChild>
                    <w:div w:id="1804617334">
                      <w:marLeft w:val="0"/>
                      <w:marRight w:val="0"/>
                      <w:marTop w:val="0"/>
                      <w:marBottom w:val="0"/>
                      <w:divBdr>
                        <w:top w:val="none" w:sz="0" w:space="0" w:color="auto"/>
                        <w:left w:val="none" w:sz="0" w:space="0" w:color="auto"/>
                        <w:bottom w:val="none" w:sz="0" w:space="0" w:color="auto"/>
                        <w:right w:val="none" w:sz="0" w:space="0" w:color="auto"/>
                      </w:divBdr>
                      <w:divsChild>
                        <w:div w:id="675494572">
                          <w:marLeft w:val="0"/>
                          <w:marRight w:val="0"/>
                          <w:marTop w:val="0"/>
                          <w:marBottom w:val="0"/>
                          <w:divBdr>
                            <w:top w:val="none" w:sz="0" w:space="0" w:color="auto"/>
                            <w:left w:val="none" w:sz="0" w:space="0" w:color="auto"/>
                            <w:bottom w:val="none" w:sz="0" w:space="0" w:color="auto"/>
                            <w:right w:val="none" w:sz="0" w:space="0" w:color="auto"/>
                          </w:divBdr>
                          <w:divsChild>
                            <w:div w:id="1646474154">
                              <w:marLeft w:val="0"/>
                              <w:marRight w:val="0"/>
                              <w:marTop w:val="0"/>
                              <w:marBottom w:val="0"/>
                              <w:divBdr>
                                <w:top w:val="none" w:sz="0" w:space="0" w:color="auto"/>
                                <w:left w:val="none" w:sz="0" w:space="0" w:color="auto"/>
                                <w:bottom w:val="none" w:sz="0" w:space="0" w:color="auto"/>
                                <w:right w:val="none" w:sz="0" w:space="0" w:color="auto"/>
                              </w:divBdr>
                              <w:divsChild>
                                <w:div w:id="1057049184">
                                  <w:marLeft w:val="0"/>
                                  <w:marRight w:val="0"/>
                                  <w:marTop w:val="0"/>
                                  <w:marBottom w:val="0"/>
                                  <w:divBdr>
                                    <w:top w:val="none" w:sz="0" w:space="0" w:color="auto"/>
                                    <w:left w:val="none" w:sz="0" w:space="0" w:color="auto"/>
                                    <w:bottom w:val="none" w:sz="0" w:space="0" w:color="auto"/>
                                    <w:right w:val="none" w:sz="0" w:space="0" w:color="auto"/>
                                  </w:divBdr>
                                  <w:divsChild>
                                    <w:div w:id="725880307">
                                      <w:marLeft w:val="0"/>
                                      <w:marRight w:val="0"/>
                                      <w:marTop w:val="0"/>
                                      <w:marBottom w:val="0"/>
                                      <w:divBdr>
                                        <w:top w:val="none" w:sz="0" w:space="0" w:color="auto"/>
                                        <w:left w:val="none" w:sz="0" w:space="0" w:color="auto"/>
                                        <w:bottom w:val="none" w:sz="0" w:space="0" w:color="auto"/>
                                        <w:right w:val="none" w:sz="0" w:space="0" w:color="auto"/>
                                      </w:divBdr>
                                      <w:divsChild>
                                        <w:div w:id="835151170">
                                          <w:marLeft w:val="0"/>
                                          <w:marRight w:val="0"/>
                                          <w:marTop w:val="0"/>
                                          <w:marBottom w:val="0"/>
                                          <w:divBdr>
                                            <w:top w:val="none" w:sz="0" w:space="0" w:color="auto"/>
                                            <w:left w:val="none" w:sz="0" w:space="0" w:color="auto"/>
                                            <w:bottom w:val="none" w:sz="0" w:space="0" w:color="auto"/>
                                            <w:right w:val="none" w:sz="0" w:space="0" w:color="auto"/>
                                          </w:divBdr>
                                          <w:divsChild>
                                            <w:div w:id="177812822">
                                              <w:marLeft w:val="0"/>
                                              <w:marRight w:val="0"/>
                                              <w:marTop w:val="0"/>
                                              <w:marBottom w:val="0"/>
                                              <w:divBdr>
                                                <w:top w:val="none" w:sz="0" w:space="0" w:color="auto"/>
                                                <w:left w:val="none" w:sz="0" w:space="0" w:color="auto"/>
                                                <w:bottom w:val="none" w:sz="0" w:space="0" w:color="auto"/>
                                                <w:right w:val="none" w:sz="0" w:space="0" w:color="auto"/>
                                              </w:divBdr>
                                              <w:divsChild>
                                                <w:div w:id="1817793465">
                                                  <w:marLeft w:val="0"/>
                                                  <w:marRight w:val="0"/>
                                                  <w:marTop w:val="0"/>
                                                  <w:marBottom w:val="0"/>
                                                  <w:divBdr>
                                                    <w:top w:val="none" w:sz="0" w:space="0" w:color="auto"/>
                                                    <w:left w:val="none" w:sz="0" w:space="0" w:color="auto"/>
                                                    <w:bottom w:val="none" w:sz="0" w:space="0" w:color="auto"/>
                                                    <w:right w:val="none" w:sz="0" w:space="0" w:color="auto"/>
                                                  </w:divBdr>
                                                  <w:divsChild>
                                                    <w:div w:id="910625652">
                                                      <w:marLeft w:val="0"/>
                                                      <w:marRight w:val="335"/>
                                                      <w:marTop w:val="0"/>
                                                      <w:marBottom w:val="0"/>
                                                      <w:divBdr>
                                                        <w:top w:val="none" w:sz="0" w:space="0" w:color="auto"/>
                                                        <w:left w:val="none" w:sz="0" w:space="0" w:color="auto"/>
                                                        <w:bottom w:val="none" w:sz="0" w:space="0" w:color="auto"/>
                                                        <w:right w:val="none" w:sz="0" w:space="0" w:color="auto"/>
                                                      </w:divBdr>
                                                      <w:divsChild>
                                                        <w:div w:id="521936165">
                                                          <w:marLeft w:val="0"/>
                                                          <w:marRight w:val="0"/>
                                                          <w:marTop w:val="0"/>
                                                          <w:marBottom w:val="0"/>
                                                          <w:divBdr>
                                                            <w:top w:val="none" w:sz="0" w:space="0" w:color="auto"/>
                                                            <w:left w:val="none" w:sz="0" w:space="0" w:color="auto"/>
                                                            <w:bottom w:val="none" w:sz="0" w:space="0" w:color="auto"/>
                                                            <w:right w:val="none" w:sz="0" w:space="0" w:color="auto"/>
                                                          </w:divBdr>
                                                          <w:divsChild>
                                                            <w:div w:id="655308187">
                                                              <w:marLeft w:val="0"/>
                                                              <w:marRight w:val="0"/>
                                                              <w:marTop w:val="0"/>
                                                              <w:marBottom w:val="0"/>
                                                              <w:divBdr>
                                                                <w:top w:val="none" w:sz="0" w:space="0" w:color="auto"/>
                                                                <w:left w:val="none" w:sz="0" w:space="0" w:color="auto"/>
                                                                <w:bottom w:val="none" w:sz="0" w:space="0" w:color="auto"/>
                                                                <w:right w:val="none" w:sz="0" w:space="0" w:color="auto"/>
                                                              </w:divBdr>
                                                              <w:divsChild>
                                                                <w:div w:id="96755663">
                                                                  <w:marLeft w:val="0"/>
                                                                  <w:marRight w:val="0"/>
                                                                  <w:marTop w:val="0"/>
                                                                  <w:marBottom w:val="0"/>
                                                                  <w:divBdr>
                                                                    <w:top w:val="none" w:sz="0" w:space="0" w:color="auto"/>
                                                                    <w:left w:val="none" w:sz="0" w:space="0" w:color="auto"/>
                                                                    <w:bottom w:val="none" w:sz="0" w:space="0" w:color="auto"/>
                                                                    <w:right w:val="none" w:sz="0" w:space="0" w:color="auto"/>
                                                                  </w:divBdr>
                                                                  <w:divsChild>
                                                                    <w:div w:id="76709246">
                                                                      <w:marLeft w:val="0"/>
                                                                      <w:marRight w:val="0"/>
                                                                      <w:marTop w:val="0"/>
                                                                      <w:marBottom w:val="402"/>
                                                                      <w:divBdr>
                                                                        <w:top w:val="single" w:sz="6" w:space="0" w:color="CCCCCC"/>
                                                                        <w:left w:val="none" w:sz="0" w:space="0" w:color="auto"/>
                                                                        <w:bottom w:val="none" w:sz="0" w:space="0" w:color="auto"/>
                                                                        <w:right w:val="none" w:sz="0" w:space="0" w:color="auto"/>
                                                                      </w:divBdr>
                                                                      <w:divsChild>
                                                                        <w:div w:id="28800358">
                                                                          <w:marLeft w:val="0"/>
                                                                          <w:marRight w:val="0"/>
                                                                          <w:marTop w:val="0"/>
                                                                          <w:marBottom w:val="0"/>
                                                                          <w:divBdr>
                                                                            <w:top w:val="none" w:sz="0" w:space="0" w:color="auto"/>
                                                                            <w:left w:val="none" w:sz="0" w:space="0" w:color="auto"/>
                                                                            <w:bottom w:val="none" w:sz="0" w:space="0" w:color="auto"/>
                                                                            <w:right w:val="none" w:sz="0" w:space="0" w:color="auto"/>
                                                                          </w:divBdr>
                                                                          <w:divsChild>
                                                                            <w:div w:id="1100487432">
                                                                              <w:marLeft w:val="0"/>
                                                                              <w:marRight w:val="0"/>
                                                                              <w:marTop w:val="0"/>
                                                                              <w:marBottom w:val="0"/>
                                                                              <w:divBdr>
                                                                                <w:top w:val="none" w:sz="0" w:space="0" w:color="auto"/>
                                                                                <w:left w:val="none" w:sz="0" w:space="0" w:color="auto"/>
                                                                                <w:bottom w:val="none" w:sz="0" w:space="0" w:color="auto"/>
                                                                                <w:right w:val="none" w:sz="0" w:space="0" w:color="auto"/>
                                                                              </w:divBdr>
                                                                              <w:divsChild>
                                                                                <w:div w:id="1642273795">
                                                                                  <w:marLeft w:val="0"/>
                                                                                  <w:marRight w:val="0"/>
                                                                                  <w:marTop w:val="0"/>
                                                                                  <w:marBottom w:val="0"/>
                                                                                  <w:divBdr>
                                                                                    <w:top w:val="none" w:sz="0" w:space="0" w:color="auto"/>
                                                                                    <w:left w:val="none" w:sz="0" w:space="0" w:color="auto"/>
                                                                                    <w:bottom w:val="none" w:sz="0" w:space="0" w:color="auto"/>
                                                                                    <w:right w:val="none" w:sz="0" w:space="0" w:color="auto"/>
                                                                                  </w:divBdr>
                                                                                  <w:divsChild>
                                                                                    <w:div w:id="1763606159">
                                                                                      <w:marLeft w:val="0"/>
                                                                                      <w:marRight w:val="0"/>
                                                                                      <w:marTop w:val="0"/>
                                                                                      <w:marBottom w:val="0"/>
                                                                                      <w:divBdr>
                                                                                        <w:top w:val="none" w:sz="0" w:space="0" w:color="auto"/>
                                                                                        <w:left w:val="none" w:sz="0" w:space="0" w:color="auto"/>
                                                                                        <w:bottom w:val="none" w:sz="0" w:space="0" w:color="auto"/>
                                                                                        <w:right w:val="none" w:sz="0" w:space="0" w:color="auto"/>
                                                                                      </w:divBdr>
                                                                                      <w:divsChild>
                                                                                        <w:div w:id="1761295103">
                                                                                          <w:marLeft w:val="0"/>
                                                                                          <w:marRight w:val="0"/>
                                                                                          <w:marTop w:val="0"/>
                                                                                          <w:marBottom w:val="0"/>
                                                                                          <w:divBdr>
                                                                                            <w:top w:val="none" w:sz="0" w:space="0" w:color="auto"/>
                                                                                            <w:left w:val="none" w:sz="0" w:space="0" w:color="auto"/>
                                                                                            <w:bottom w:val="none" w:sz="0" w:space="0" w:color="auto"/>
                                                                                            <w:right w:val="none" w:sz="0" w:space="0" w:color="auto"/>
                                                                                          </w:divBdr>
                                                                                          <w:divsChild>
                                                                                            <w:div w:id="5210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cabinetoffice.gov.uk/content/social-mobility-indicators" TargetMode="External"/><Relationship Id="rId13" Type="http://schemas.openxmlformats.org/officeDocument/2006/relationships/hyperlink" Target="http://ideas.repec.org/p/cep/cepdps/dp062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eas.repec.org/s/aea/aecrev.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a/aea/aecrev/v96y2006i4p1308-132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deas.repec.org/s/bla/econom.html" TargetMode="External"/><Relationship Id="rId4" Type="http://schemas.openxmlformats.org/officeDocument/2006/relationships/settings" Target="settings.xml"/><Relationship Id="rId9" Type="http://schemas.openxmlformats.org/officeDocument/2006/relationships/hyperlink" Target="http://ideas.repec.org/a/bla/econom/v79y2012i316p658-679.html" TargetMode="External"/><Relationship Id="rId14" Type="http://schemas.openxmlformats.org/officeDocument/2006/relationships/hyperlink" Target="http://www.jstor.org.elibrary.ioe.ac.uk/stable/10.2307/41723081?Search=yes&amp;resultItemClick=true&amp;searchText=informal&amp;searchText=hiring&amp;searchText=and&amp;searchText=the&amp;searchText=labour&amp;searchText=market&amp;searchUri=%2Faction%2FdoBasicSearch%3FQuery%3Dinformal%2Bhiring%2Band%2Bthe%2Blabour%2Bmarket%26amp%3Bfilter%3Djid%253A10.2307%252Fj100080%26amp%3BSearch%3DSearch%26amp%3Bwc%3Don%26amp%3Bfc%3Doff%26amp%3BglobalSearch%3D%26amp%3BsbbBox%3D%26amp%3BsbjBox%3D%26amp%3BsbpBox%3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abinetoffice.gov.uk/sites/default/files/resources/IR_FairAccess_acc2.pdf" TargetMode="External"/><Relationship Id="rId1" Type="http://schemas.openxmlformats.org/officeDocument/2006/relationships/hyperlink" Target="http://webarchive.nationalarchives.gov.uk/+/http://www.cabinetoffice.gov.uk/media/227105/fair-acces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434AA-EEA9-4856-8582-300D87F6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7541</Words>
  <Characters>42989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50430</CharactersWithSpaces>
  <SharedDoc>false</SharedDoc>
  <HLinks>
    <vt:vector size="66" baseType="variant">
      <vt:variant>
        <vt:i4>3932267</vt:i4>
      </vt:variant>
      <vt:variant>
        <vt:i4>39</vt:i4>
      </vt:variant>
      <vt:variant>
        <vt:i4>0</vt:i4>
      </vt:variant>
      <vt:variant>
        <vt:i4>5</vt:i4>
      </vt:variant>
      <vt:variant>
        <vt:lpwstr>http://www.jstor.org.elibrary.ioe.ac.uk/stable/10.2307/41723081?Search=yes&amp;resultItemClick=true&amp;searchText=informal&amp;searchText=hiring&amp;searchText=and&amp;searchText=the&amp;searchText=labour&amp;searchText=market&amp;searchUri=%2Faction%2FdoBasicSearch%3FQuery%3Dinformal%2Bhiring%2Band%2Bthe%2Blabour%2Bmarket%26amp%3Bfilter%3Djid%253A10.2307%252Fj100080%26amp%3BSearch%3DSearch%26amp%3Bwc%3Don%26amp%3Bfc%3Doff%26amp%3BglobalSearch%3D%26amp%3BsbbBox%3D%26amp%3BsbjBox%3D%26amp%3BsbpBox%3D</vt:lpwstr>
      </vt:variant>
      <vt:variant>
        <vt:lpwstr/>
      </vt:variant>
      <vt:variant>
        <vt:i4>6422650</vt:i4>
      </vt:variant>
      <vt:variant>
        <vt:i4>36</vt:i4>
      </vt:variant>
      <vt:variant>
        <vt:i4>0</vt:i4>
      </vt:variant>
      <vt:variant>
        <vt:i4>5</vt:i4>
      </vt:variant>
      <vt:variant>
        <vt:lpwstr>http://ideas.repec.org/p/cep/cepdps/dp0623.html</vt:lpwstr>
      </vt:variant>
      <vt:variant>
        <vt:lpwstr/>
      </vt:variant>
      <vt:variant>
        <vt:i4>2031696</vt:i4>
      </vt:variant>
      <vt:variant>
        <vt:i4>33</vt:i4>
      </vt:variant>
      <vt:variant>
        <vt:i4>0</vt:i4>
      </vt:variant>
      <vt:variant>
        <vt:i4>5</vt:i4>
      </vt:variant>
      <vt:variant>
        <vt:lpwstr>http://ideas.repec.org/s/aea/aecrev.html</vt:lpwstr>
      </vt:variant>
      <vt:variant>
        <vt:lpwstr/>
      </vt:variant>
      <vt:variant>
        <vt:i4>4980828</vt:i4>
      </vt:variant>
      <vt:variant>
        <vt:i4>30</vt:i4>
      </vt:variant>
      <vt:variant>
        <vt:i4>0</vt:i4>
      </vt:variant>
      <vt:variant>
        <vt:i4>5</vt:i4>
      </vt:variant>
      <vt:variant>
        <vt:lpwstr>http://ideas.repec.org/a/aea/aecrev/v96y2006i4p1308-1320.html</vt:lpwstr>
      </vt:variant>
      <vt:variant>
        <vt:lpwstr/>
      </vt:variant>
      <vt:variant>
        <vt:i4>1966168</vt:i4>
      </vt:variant>
      <vt:variant>
        <vt:i4>27</vt:i4>
      </vt:variant>
      <vt:variant>
        <vt:i4>0</vt:i4>
      </vt:variant>
      <vt:variant>
        <vt:i4>5</vt:i4>
      </vt:variant>
      <vt:variant>
        <vt:lpwstr>http://ideas.repec.org/s/bla/econom.html</vt:lpwstr>
      </vt:variant>
      <vt:variant>
        <vt:lpwstr/>
      </vt:variant>
      <vt:variant>
        <vt:i4>5767244</vt:i4>
      </vt:variant>
      <vt:variant>
        <vt:i4>24</vt:i4>
      </vt:variant>
      <vt:variant>
        <vt:i4>0</vt:i4>
      </vt:variant>
      <vt:variant>
        <vt:i4>5</vt:i4>
      </vt:variant>
      <vt:variant>
        <vt:lpwstr>http://ideas.repec.org/a/bla/econom/v79y2012i316p658-679.html</vt:lpwstr>
      </vt:variant>
      <vt:variant>
        <vt:lpwstr/>
      </vt:variant>
      <vt:variant>
        <vt:i4>6815795</vt:i4>
      </vt:variant>
      <vt:variant>
        <vt:i4>21</vt:i4>
      </vt:variant>
      <vt:variant>
        <vt:i4>0</vt:i4>
      </vt:variant>
      <vt:variant>
        <vt:i4>5</vt:i4>
      </vt:variant>
      <vt:variant>
        <vt:lpwstr>http://www.dpm.cabinetoffice.gov.uk/content/social-mobility-indicators</vt:lpwstr>
      </vt:variant>
      <vt:variant>
        <vt:lpwstr/>
      </vt:variant>
      <vt:variant>
        <vt:i4>7340065</vt:i4>
      </vt:variant>
      <vt:variant>
        <vt:i4>9</vt:i4>
      </vt:variant>
      <vt:variant>
        <vt:i4>0</vt:i4>
      </vt:variant>
      <vt:variant>
        <vt:i4>5</vt:i4>
      </vt:variant>
      <vt:variant>
        <vt:lpwstr>http://www.cabinetoffice.gov.uk/sites/default/files/resources/IR_FairAccess_acc2.pdf</vt:lpwstr>
      </vt:variant>
      <vt:variant>
        <vt:lpwstr/>
      </vt:variant>
      <vt:variant>
        <vt:i4>7340065</vt:i4>
      </vt:variant>
      <vt:variant>
        <vt:i4>6</vt:i4>
      </vt:variant>
      <vt:variant>
        <vt:i4>0</vt:i4>
      </vt:variant>
      <vt:variant>
        <vt:i4>5</vt:i4>
      </vt:variant>
      <vt:variant>
        <vt:lpwstr>http://www.cabinetoffice.gov.uk/sites/default/files/resources/IR_FairAccess_acc2.pdf</vt:lpwstr>
      </vt:variant>
      <vt:variant>
        <vt:lpwstr/>
      </vt:variant>
      <vt:variant>
        <vt:i4>7340065</vt:i4>
      </vt:variant>
      <vt:variant>
        <vt:i4>3</vt:i4>
      </vt:variant>
      <vt:variant>
        <vt:i4>0</vt:i4>
      </vt:variant>
      <vt:variant>
        <vt:i4>5</vt:i4>
      </vt:variant>
      <vt:variant>
        <vt:lpwstr>http://www.cabinetoffice.gov.uk/sites/default/files/resources/IR_FairAccess_acc2.pdf</vt:lpwstr>
      </vt:variant>
      <vt:variant>
        <vt:lpwstr/>
      </vt:variant>
      <vt:variant>
        <vt:i4>5111833</vt:i4>
      </vt:variant>
      <vt:variant>
        <vt:i4>0</vt:i4>
      </vt:variant>
      <vt:variant>
        <vt:i4>0</vt:i4>
      </vt:variant>
      <vt:variant>
        <vt:i4>5</vt:i4>
      </vt:variant>
      <vt:variant>
        <vt:lpwstr>http://webarchive.nationalarchives.gov.uk/+/http://www.cabinetoffice.gov.uk/media/227105/fair-access-summary.pdf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Lindsey Macmillan</cp:lastModifiedBy>
  <cp:revision>5</cp:revision>
  <cp:lastPrinted>2013-12-17T11:40:00Z</cp:lastPrinted>
  <dcterms:created xsi:type="dcterms:W3CDTF">2014-07-23T13:34:00Z</dcterms:created>
  <dcterms:modified xsi:type="dcterms:W3CDTF">2014-11-12T17:43:00Z</dcterms:modified>
</cp:coreProperties>
</file>