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81DBF8" w14:textId="2F2B2161" w:rsidR="00FF223B" w:rsidRPr="00340CB7" w:rsidRDefault="00FF223B" w:rsidP="00FF223B">
      <w:pPr>
        <w:pStyle w:val="Heading1"/>
      </w:pPr>
      <w:r>
        <w:t xml:space="preserve">The </w:t>
      </w:r>
      <w:r w:rsidR="00452E54">
        <w:t xml:space="preserve">PISA </w:t>
      </w:r>
      <w:r>
        <w:t>Mathematics Regime</w:t>
      </w:r>
      <w:r w:rsidR="00423140">
        <w:t>: Knowledge Structures and Practices of the Self</w:t>
      </w:r>
    </w:p>
    <w:p w14:paraId="49E0715D" w14:textId="77777777" w:rsidR="00FF223B" w:rsidRDefault="00FF223B" w:rsidP="00FF223B">
      <w:pPr>
        <w:pStyle w:val="Heading2"/>
      </w:pPr>
      <w:r>
        <w:t>Introduction</w:t>
      </w:r>
    </w:p>
    <w:p w14:paraId="4269E66F" w14:textId="77777777" w:rsidR="00FF223B" w:rsidRPr="00FF223B" w:rsidRDefault="00FF223B" w:rsidP="00FF223B">
      <w:r>
        <w:t xml:space="preserve">The </w:t>
      </w:r>
      <w:proofErr w:type="spellStart"/>
      <w:r>
        <w:t>Organisation</w:t>
      </w:r>
      <w:proofErr w:type="spellEnd"/>
      <w:r>
        <w:t xml:space="preserve"> for Economic Co-operation and Development’s (OECD’s) </w:t>
      </w:r>
      <w:proofErr w:type="spellStart"/>
      <w:r>
        <w:t>Programme</w:t>
      </w:r>
      <w:proofErr w:type="spellEnd"/>
      <w:r>
        <w:t xml:space="preserve"> for International Student Assessment (PISA) aims to </w:t>
      </w:r>
      <w:r w:rsidRPr="00891CAA">
        <w:t>produce</w:t>
      </w:r>
      <w:r>
        <w:rPr>
          <w:lang w:val="en-GB"/>
        </w:rPr>
        <w:t xml:space="preserve"> </w:t>
      </w:r>
      <w:r w:rsidRPr="00891CAA">
        <w:rPr>
          <w:lang w:val="en-GB"/>
        </w:rPr>
        <w:t>“</w:t>
      </w:r>
      <w:r>
        <w:t>a new basis for policy dialogue and for collaboration in defining and implementing educational goals, in innovative ways that reflect judgments about the skills that are relevant to adult life</w:t>
      </w:r>
      <w:r w:rsidRPr="00891CAA">
        <w:rPr>
          <w:lang w:val="en-GB"/>
        </w:rPr>
        <w:t>”</w:t>
      </w:r>
      <w:r>
        <w:rPr>
          <w:lang w:val="en-GB"/>
        </w:rPr>
        <w:t xml:space="preserve"> </w:t>
      </w:r>
      <w:r w:rsidR="000B54AF">
        <w:rPr>
          <w:noProof/>
          <w:lang w:val="en-GB"/>
        </w:rPr>
        <w:t>(OECD, 2013, p.13)</w:t>
      </w:r>
      <w:r>
        <w:rPr>
          <w:lang w:val="en-GB"/>
        </w:rPr>
        <w:t xml:space="preserve"> by providing:</w:t>
      </w:r>
    </w:p>
    <w:p w14:paraId="73BA0E82" w14:textId="77777777" w:rsidR="00FF223B" w:rsidRPr="00C77FE4" w:rsidRDefault="00FF223B" w:rsidP="00BB39FF">
      <w:pPr>
        <w:numPr>
          <w:ilvl w:val="0"/>
          <w:numId w:val="13"/>
        </w:numPr>
      </w:pPr>
      <w:r w:rsidRPr="00C77FE4">
        <w:t xml:space="preserve">Basic indicators that </w:t>
      </w:r>
      <w:r>
        <w:t>represent</w:t>
      </w:r>
      <w:r w:rsidRPr="00C77FE4">
        <w:t xml:space="preserve"> a baseline profile of the knowledge and skills of students.</w:t>
      </w:r>
    </w:p>
    <w:p w14:paraId="43CB776E" w14:textId="77777777" w:rsidR="00FF223B" w:rsidRPr="00C77FE4" w:rsidRDefault="00FF223B" w:rsidP="00BB39FF">
      <w:pPr>
        <w:numPr>
          <w:ilvl w:val="0"/>
          <w:numId w:val="13"/>
        </w:numPr>
      </w:pPr>
      <w:r w:rsidRPr="00C77FE4">
        <w:t>Indicators derived from the contextual questionnaire that show how such skills relate to important demographic,</w:t>
      </w:r>
      <w:r>
        <w:t xml:space="preserve"> </w:t>
      </w:r>
      <w:r w:rsidRPr="00C77FE4">
        <w:t>social, economic and educational variables.</w:t>
      </w:r>
    </w:p>
    <w:p w14:paraId="6FB18782" w14:textId="77777777" w:rsidR="00FF223B" w:rsidRPr="00C77FE4" w:rsidRDefault="00FF223B" w:rsidP="00BB39FF">
      <w:pPr>
        <w:numPr>
          <w:ilvl w:val="0"/>
          <w:numId w:val="13"/>
        </w:numPr>
      </w:pPr>
      <w:r w:rsidRPr="00C77FE4">
        <w:t>Indicators on trends that emerge from the on-going nature of the data collection and that show changes in outcome levels</w:t>
      </w:r>
      <w:r>
        <w:t xml:space="preserve"> </w:t>
      </w:r>
      <w:r w:rsidRPr="00C77FE4">
        <w:t>and distributions, and in relationships between student-level and school-level background variables and outcomes.</w:t>
      </w:r>
      <w:r w:rsidRPr="00C77FE4">
        <w:rPr>
          <w:lang w:val="en-GB"/>
        </w:rPr>
        <w:t xml:space="preserve"> </w:t>
      </w:r>
      <w:r>
        <w:rPr>
          <w:lang w:val="en-GB"/>
        </w:rPr>
        <w:t>(p.16)</w:t>
      </w:r>
    </w:p>
    <w:p w14:paraId="08A86A2F" w14:textId="77777777" w:rsidR="00FF223B" w:rsidRDefault="00FF223B" w:rsidP="00FF223B">
      <w:r w:rsidRPr="00891CAA">
        <w:t>Officially, PISA responds to a regime of economic development as a service to economic production</w:t>
      </w:r>
      <w:r>
        <w:t xml:space="preserve"> by, for example, providing </w:t>
      </w:r>
      <w:r w:rsidRPr="00891CAA">
        <w:t xml:space="preserve">information about workforce knowledge-bases, skill formation, allocation of educational resources, efficiency of markets for skill formation and training </w:t>
      </w:r>
      <w:r w:rsidRPr="007B7875">
        <w:t>(Hirsch, 2002).</w:t>
      </w:r>
      <w:r>
        <w:t xml:space="preserve"> The growing number of studies from within different academic areas and traditions in educational research indicates strongly the significance attributed to PISA for national educational systems, schools, and, perhaps more importantly, the global discourse on knowledge, which also affects national and international academic research in education.</w:t>
      </w:r>
      <w:r w:rsidR="00CF164A">
        <w:t xml:space="preserve"> Given this widespread influence, i</w:t>
      </w:r>
      <w:r w:rsidR="00423140">
        <w:t>t is important to develop a critical understanding of what PISA is, what it does and how.</w:t>
      </w:r>
    </w:p>
    <w:p w14:paraId="3FFE4C8A" w14:textId="233FF407" w:rsidR="00FF223B" w:rsidRDefault="00FF223B" w:rsidP="00FF223B">
      <w:r>
        <w:t xml:space="preserve">In a sociologically grounded, systematic analysis of the reception of PISA in six European countries, Pons </w:t>
      </w:r>
      <w:r w:rsidR="000B54AF">
        <w:rPr>
          <w:noProof/>
        </w:rPr>
        <w:t>(2012)</w:t>
      </w:r>
      <w:r>
        <w:t xml:space="preserve"> focuses not on “PISA shock” – the popular media discourse that focuses primarily on how each country is positioned in the PISA rankings, producing and disseminating “shocking” headlines – but on how better to understand the forms and the mechanisms of the “continuous social fabrication of the legitimate ‘PISA knowledge’” in each national policy context (p.207). The word “fabrication” here conveys the idea that “[a]</w:t>
      </w:r>
      <w:proofErr w:type="spellStart"/>
      <w:r>
        <w:t>ccountability</w:t>
      </w:r>
      <w:proofErr w:type="spellEnd"/>
      <w:r>
        <w:t xml:space="preserve"> regimes such as PISA produce … selective accounts that represent results and outcomes in the best possible light </w:t>
      </w:r>
      <w:r w:rsidR="000B54AF">
        <w:rPr>
          <w:noProof/>
        </w:rPr>
        <w:t>(Ozga, 2012</w:t>
      </w:r>
      <w:r w:rsidR="00D57936">
        <w:rPr>
          <w:noProof/>
        </w:rPr>
        <w:t>a</w:t>
      </w:r>
      <w:r w:rsidR="000B54AF">
        <w:rPr>
          <w:noProof/>
        </w:rPr>
        <w:t>, p.167)</w:t>
      </w:r>
      <w:r>
        <w:t>. On the basis of these national case stud</w:t>
      </w:r>
      <w:r w:rsidR="00BB39FF">
        <w:t>ies, Pons was able to show that</w:t>
      </w:r>
      <w:r>
        <w:t xml:space="preserve"> new forms of knowledge, what he termed “knowledge for learning”, that is knowledge inspired by the strict content of the PISA survey, beyond the description of the general and gross results, were rare in each country for the period studied (2001-2008). In particular he documents the “lack of institutional and cognitive spaces of enrolment and interest-building…in which PISA results could be </w:t>
      </w:r>
      <w:proofErr w:type="spellStart"/>
      <w:r>
        <w:t>analysed</w:t>
      </w:r>
      <w:proofErr w:type="spellEnd"/>
      <w:r>
        <w:t xml:space="preserve">, translated and reinvested by people” </w:t>
      </w:r>
      <w:r w:rsidR="000B54AF">
        <w:rPr>
          <w:noProof/>
        </w:rPr>
        <w:t>(Pons, 2012, p.207)</w:t>
      </w:r>
      <w:r>
        <w:t xml:space="preserve">.  In contrast to this paucity of knowledge for learning by national knowledge producers, he identified a high number of arguments based on PISA, what he calls “knowledge for policy”, used in the national public debates to argue for all kinds of opinions, stances and reforms. </w:t>
      </w:r>
      <w:r w:rsidR="00CF164A">
        <w:t>These</w:t>
      </w:r>
      <w:r>
        <w:t xml:space="preserve"> arguments, </w:t>
      </w:r>
      <w:r w:rsidR="00CF164A">
        <w:t xml:space="preserve">formed </w:t>
      </w:r>
      <w:r>
        <w:t>in particular cognitive and institutional contexts, have progressively formed specific bodies of knowledge for policy</w:t>
      </w:r>
      <w:r w:rsidR="00CF164A">
        <w:t xml:space="preserve"> and possess both </w:t>
      </w:r>
      <w:r>
        <w:t xml:space="preserve">internal structures (their formation and logic) and external structures relating to “why each actor is encouraged to use them” (p 223). </w:t>
      </w:r>
    </w:p>
    <w:p w14:paraId="19CB1E34" w14:textId="00CF94E5" w:rsidR="00FF223B" w:rsidRDefault="00CF164A" w:rsidP="00FF223B">
      <w:r>
        <w:t>T</w:t>
      </w:r>
      <w:r w:rsidR="00FF223B">
        <w:t xml:space="preserve">he purpose of the present paper is to </w:t>
      </w:r>
      <w:r w:rsidR="00567B76">
        <w:t xml:space="preserve">propose an approach to </w:t>
      </w:r>
      <w:proofErr w:type="spellStart"/>
      <w:r w:rsidR="00567B76">
        <w:t>analysing</w:t>
      </w:r>
      <w:proofErr w:type="spellEnd"/>
      <w:r w:rsidR="00FF223B">
        <w:t xml:space="preserve"> the PISA regime, with specific regard to mathematics</w:t>
      </w:r>
      <w:r>
        <w:t xml:space="preserve">, that can address not only the knowledge structures produced by the regime but also the ways in which </w:t>
      </w:r>
      <w:r w:rsidR="00B870B0">
        <w:t>students, teachers and other agents may be produced as subjects</w:t>
      </w:r>
      <w:r w:rsidR="00FF223B">
        <w:t xml:space="preserve">. </w:t>
      </w:r>
      <w:r w:rsidR="00B870B0">
        <w:t xml:space="preserve">In the next section we clarify what we mean by the “PISA </w:t>
      </w:r>
      <w:r w:rsidR="00A44997">
        <w:t xml:space="preserve">mathematics </w:t>
      </w:r>
      <w:r w:rsidR="00B870B0">
        <w:t xml:space="preserve">regime”, taken as an </w:t>
      </w:r>
      <w:r w:rsidR="00B870B0">
        <w:lastRenderedPageBreak/>
        <w:t xml:space="preserve">exemplar of global trends in education policy formation </w:t>
      </w:r>
      <w:r w:rsidR="00B870B0" w:rsidRPr="007B7875">
        <w:t>(Ball, 2008).</w:t>
      </w:r>
      <w:r w:rsidR="00653B5A">
        <w:rPr>
          <w:rStyle w:val="FootnoteReference"/>
        </w:rPr>
        <w:footnoteReference w:id="1"/>
      </w:r>
      <w:r w:rsidR="00B870B0">
        <w:t xml:space="preserve"> We then outline and discuss the ways in which PISA has been taken up and responded to in public debate, policy and research.  We propose a further mode of critique of PISA that allows us to </w:t>
      </w:r>
      <w:proofErr w:type="spellStart"/>
      <w:r w:rsidR="00B870B0">
        <w:t>analyse</w:t>
      </w:r>
      <w:proofErr w:type="spellEnd"/>
      <w:r w:rsidR="00B870B0">
        <w:t xml:space="preserve"> </w:t>
      </w:r>
      <w:r w:rsidR="00653B5A">
        <w:t xml:space="preserve">first </w:t>
      </w:r>
      <w:r w:rsidR="00B870B0">
        <w:t>its knowledge structures, making</w:t>
      </w:r>
      <w:r w:rsidR="00FF223B">
        <w:t xml:space="preserve"> use of Bernstein’s theory on the formation of pedagogical discourse</w:t>
      </w:r>
      <w:r w:rsidR="00B870B0">
        <w:t>, and,</w:t>
      </w:r>
      <w:r w:rsidR="00FF223B">
        <w:t xml:space="preserve"> </w:t>
      </w:r>
      <w:r w:rsidR="00653B5A">
        <w:t xml:space="preserve">then, </w:t>
      </w:r>
      <w:r w:rsidR="00B870B0">
        <w:t xml:space="preserve">drawing on </w:t>
      </w:r>
      <w:r w:rsidR="00FF223B">
        <w:t>Foucault’s last work on the self-constitution of the self</w:t>
      </w:r>
      <w:r w:rsidR="00B870B0">
        <w:t xml:space="preserve">, the ways these knowledge forms provide </w:t>
      </w:r>
      <w:r w:rsidR="00653B5A">
        <w:t>spaces for subjective experience</w:t>
      </w:r>
      <w:r w:rsidR="00FF223B">
        <w:t xml:space="preserve">. </w:t>
      </w:r>
      <w:r w:rsidR="00653B5A">
        <w:t xml:space="preserve">This mode of critique is illustrated by applying it to an example text drawn from the PISA </w:t>
      </w:r>
      <w:r w:rsidR="005F4232">
        <w:t xml:space="preserve">mathematics </w:t>
      </w:r>
      <w:r w:rsidR="00653B5A">
        <w:t>regime.</w:t>
      </w:r>
      <w:r w:rsidR="00FF223B">
        <w:t xml:space="preserve">  Out of these discussions numerous theoretical concerns and difficulties arise: </w:t>
      </w:r>
      <w:r w:rsidR="00567B76">
        <w:t>finally,</w:t>
      </w:r>
      <w:r w:rsidR="00FF223B">
        <w:t xml:space="preserve"> therefore</w:t>
      </w:r>
      <w:r w:rsidR="00567B76">
        <w:t>, we</w:t>
      </w:r>
      <w:r w:rsidR="00FF223B">
        <w:t xml:space="preserve"> identify some of these as directions for follow up research.  With these aims in mind, we argue that our approach to the analysis of PISA regime may provide a means of explaining the formation and logic of knowledge for policy. Of necessity, this is only an outline of our approach.  Given the obvious limitations of space, however, we </w:t>
      </w:r>
      <w:proofErr w:type="spellStart"/>
      <w:r w:rsidR="00FF223B">
        <w:t>emphasise</w:t>
      </w:r>
      <w:proofErr w:type="spellEnd"/>
      <w:r w:rsidR="00FF223B">
        <w:t xml:space="preserve"> at the outset that the work reported here is offered principally as an indication of the kinds of analyses required to engage the mathematics education research community. </w:t>
      </w:r>
    </w:p>
    <w:p w14:paraId="20528317" w14:textId="368FC2F9" w:rsidR="00FF223B" w:rsidRDefault="00653B5A" w:rsidP="00FF223B">
      <w:pPr>
        <w:pStyle w:val="Heading2"/>
      </w:pPr>
      <w:r>
        <w:t xml:space="preserve">The </w:t>
      </w:r>
      <w:r w:rsidR="00FF223B">
        <w:t>PISA</w:t>
      </w:r>
      <w:r>
        <w:t xml:space="preserve"> </w:t>
      </w:r>
      <w:r w:rsidR="00A44997">
        <w:t xml:space="preserve">Mathematics </w:t>
      </w:r>
      <w:r>
        <w:t>Regime</w:t>
      </w:r>
    </w:p>
    <w:p w14:paraId="187BC6CD" w14:textId="258CF5E9" w:rsidR="00FF223B" w:rsidRPr="0056239C" w:rsidRDefault="00FF223B" w:rsidP="00FF223B">
      <w:r>
        <w:t xml:space="preserve">Before proceeding, we want to be more specific about what we mean by </w:t>
      </w:r>
      <w:r w:rsidR="00653B5A">
        <w:t xml:space="preserve">the </w:t>
      </w:r>
      <w:r>
        <w:t>PISA</w:t>
      </w:r>
      <w:r w:rsidR="00653B5A">
        <w:t xml:space="preserve"> </w:t>
      </w:r>
      <w:r w:rsidR="00A44997">
        <w:t xml:space="preserve">mathematics </w:t>
      </w:r>
      <w:r w:rsidR="00653B5A">
        <w:t>regime</w:t>
      </w:r>
      <w:r>
        <w:t xml:space="preserve">. We take the PISA regime in general to comprise the texts and technologies produced by OECD in the name of PISA, but also the discourses and practices produced by these in the realms of policy, practice and research. In the words of </w:t>
      </w:r>
      <w:proofErr w:type="spellStart"/>
      <w:r>
        <w:t>Carvalho</w:t>
      </w:r>
      <w:proofErr w:type="spellEnd"/>
      <w:r>
        <w:t xml:space="preserve"> </w:t>
      </w:r>
      <w:r w:rsidR="000B54AF">
        <w:rPr>
          <w:noProof/>
        </w:rPr>
        <w:t>(2012)</w:t>
      </w:r>
      <w:r>
        <w:t>, PISA is “</w:t>
      </w:r>
      <w:r w:rsidRPr="0056239C">
        <w:t>a complex of activities, objects and actors that generates diverse resources for social action in various social spaces</w:t>
      </w:r>
      <w:r>
        <w:t>” (p.173). The PISA</w:t>
      </w:r>
      <w:r w:rsidR="00A44997" w:rsidRPr="00A44997">
        <w:t xml:space="preserve"> </w:t>
      </w:r>
      <w:r w:rsidR="00A44997">
        <w:t>mathematics</w:t>
      </w:r>
      <w:r>
        <w:t xml:space="preserve"> regime is the subset of this complex that serves to generate resources for action specifically in relation to mathematics and mathematics education.</w:t>
      </w:r>
    </w:p>
    <w:p w14:paraId="5F8657D9" w14:textId="77777777" w:rsidR="00FF223B" w:rsidRDefault="00FF223B" w:rsidP="00FF223B">
      <w:pPr>
        <w:outlineLvl w:val="0"/>
        <w:rPr>
          <w:lang w:val="en-GB"/>
        </w:rPr>
      </w:pPr>
      <w:r w:rsidRPr="00891CAA">
        <w:rPr>
          <w:lang w:val="en-GB"/>
        </w:rPr>
        <w:t>The PISA regime includes</w:t>
      </w:r>
      <w:r>
        <w:rPr>
          <w:lang w:val="en-GB"/>
        </w:rPr>
        <w:t xml:space="preserve"> texts produced for a variety of audiences directly by OECD and its agents at</w:t>
      </w:r>
      <w:r w:rsidRPr="00FA6619">
        <w:rPr>
          <w:lang w:val="en-GB"/>
        </w:rPr>
        <w:t xml:space="preserve"> </w:t>
      </w:r>
      <w:r>
        <w:rPr>
          <w:lang w:val="en-GB"/>
        </w:rPr>
        <w:t>both international and national levels, for example:</w:t>
      </w:r>
    </w:p>
    <w:p w14:paraId="3FE51492" w14:textId="77777777" w:rsidR="00FF223B" w:rsidRPr="001F33C7" w:rsidRDefault="00FF223B" w:rsidP="00FF223B">
      <w:pPr>
        <w:pStyle w:val="ListParagraph"/>
        <w:numPr>
          <w:ilvl w:val="0"/>
          <w:numId w:val="1"/>
        </w:numPr>
        <w:outlineLvl w:val="0"/>
        <w:rPr>
          <w:lang w:val="en-GB"/>
        </w:rPr>
      </w:pPr>
      <w:r w:rsidRPr="001F33C7">
        <w:rPr>
          <w:lang w:val="en-GB"/>
        </w:rPr>
        <w:t>the tests themselves</w:t>
      </w:r>
    </w:p>
    <w:p w14:paraId="5252FEBA" w14:textId="77777777" w:rsidR="00FF223B" w:rsidRPr="001F33C7" w:rsidRDefault="00FF223B" w:rsidP="00FF223B">
      <w:pPr>
        <w:pStyle w:val="ListParagraph"/>
        <w:numPr>
          <w:ilvl w:val="0"/>
          <w:numId w:val="1"/>
        </w:numPr>
        <w:outlineLvl w:val="0"/>
        <w:rPr>
          <w:lang w:val="en-GB"/>
        </w:rPr>
      </w:pPr>
      <w:r w:rsidRPr="001F33C7">
        <w:rPr>
          <w:lang w:val="en-GB"/>
        </w:rPr>
        <w:t>reports on the outcomes of testing</w:t>
      </w:r>
    </w:p>
    <w:p w14:paraId="55030FAB" w14:textId="77777777" w:rsidR="00FF223B" w:rsidRDefault="00FF223B" w:rsidP="00FF223B">
      <w:pPr>
        <w:pStyle w:val="ListParagraph"/>
        <w:numPr>
          <w:ilvl w:val="0"/>
          <w:numId w:val="1"/>
        </w:numPr>
        <w:outlineLvl w:val="0"/>
        <w:rPr>
          <w:lang w:val="en-GB"/>
        </w:rPr>
      </w:pPr>
      <w:r w:rsidRPr="001F33C7">
        <w:rPr>
          <w:lang w:val="en-GB"/>
        </w:rPr>
        <w:t>technical reports</w:t>
      </w:r>
    </w:p>
    <w:p w14:paraId="717CF4C0" w14:textId="77777777" w:rsidR="00FF223B" w:rsidRDefault="00FF223B" w:rsidP="00FF223B">
      <w:pPr>
        <w:pStyle w:val="ListParagraph"/>
        <w:numPr>
          <w:ilvl w:val="0"/>
          <w:numId w:val="1"/>
        </w:numPr>
        <w:outlineLvl w:val="0"/>
        <w:rPr>
          <w:lang w:val="en-GB"/>
        </w:rPr>
      </w:pPr>
      <w:r>
        <w:rPr>
          <w:lang w:val="en-GB"/>
        </w:rPr>
        <w:t>policy statements</w:t>
      </w:r>
    </w:p>
    <w:p w14:paraId="61C65D96" w14:textId="77777777" w:rsidR="00FF223B" w:rsidRPr="001F33C7" w:rsidRDefault="00FF223B" w:rsidP="00FF223B">
      <w:pPr>
        <w:pStyle w:val="ListParagraph"/>
        <w:numPr>
          <w:ilvl w:val="0"/>
          <w:numId w:val="1"/>
        </w:numPr>
        <w:outlineLvl w:val="0"/>
        <w:rPr>
          <w:lang w:val="en-GB"/>
        </w:rPr>
      </w:pPr>
      <w:r w:rsidRPr="004636F1">
        <w:rPr>
          <w:lang w:val="en-GB"/>
        </w:rPr>
        <w:t>documents produced for audiences of teachers, students and parents, including exemplification of the test materials</w:t>
      </w:r>
      <w:r>
        <w:rPr>
          <w:lang w:val="en-GB"/>
        </w:rPr>
        <w:t xml:space="preserve"> and assessment rubrics</w:t>
      </w:r>
    </w:p>
    <w:p w14:paraId="12013CCE" w14:textId="77777777" w:rsidR="00FF223B" w:rsidRDefault="00FF223B" w:rsidP="00FF223B">
      <w:pPr>
        <w:outlineLvl w:val="0"/>
        <w:rPr>
          <w:lang w:val="en-GB"/>
        </w:rPr>
      </w:pPr>
      <w:r>
        <w:rPr>
          <w:lang w:val="en-GB"/>
        </w:rPr>
        <w:t>It also includes the technologies that lie behind the production of knowledge, including methods involved in:</w:t>
      </w:r>
    </w:p>
    <w:p w14:paraId="5486613C" w14:textId="77777777" w:rsidR="00FF223B" w:rsidRPr="001F33C7" w:rsidRDefault="00FF223B" w:rsidP="00FF223B">
      <w:pPr>
        <w:pStyle w:val="ListParagraph"/>
        <w:numPr>
          <w:ilvl w:val="0"/>
          <w:numId w:val="2"/>
        </w:numPr>
        <w:outlineLvl w:val="0"/>
        <w:rPr>
          <w:lang w:val="en-GB"/>
        </w:rPr>
      </w:pPr>
      <w:r w:rsidRPr="001F33C7">
        <w:rPr>
          <w:lang w:val="en-GB"/>
        </w:rPr>
        <w:t>constructing test instruments and test items</w:t>
      </w:r>
    </w:p>
    <w:p w14:paraId="424D0FB1" w14:textId="77777777" w:rsidR="00FF223B" w:rsidRPr="00D46BBC" w:rsidRDefault="00FF223B" w:rsidP="00FF223B">
      <w:pPr>
        <w:pStyle w:val="ListParagraph"/>
        <w:numPr>
          <w:ilvl w:val="0"/>
          <w:numId w:val="2"/>
        </w:numPr>
        <w:outlineLvl w:val="0"/>
        <w:rPr>
          <w:lang w:val="en-GB"/>
        </w:rPr>
      </w:pPr>
      <w:r w:rsidRPr="00D46BBC">
        <w:rPr>
          <w:lang w:val="en-GB"/>
        </w:rPr>
        <w:t>population sampling</w:t>
      </w:r>
    </w:p>
    <w:p w14:paraId="215FCB6D" w14:textId="77777777" w:rsidR="00FF223B" w:rsidRPr="006A01DF" w:rsidRDefault="00FF223B" w:rsidP="00FF223B">
      <w:pPr>
        <w:pStyle w:val="ListParagraph"/>
        <w:numPr>
          <w:ilvl w:val="0"/>
          <w:numId w:val="2"/>
        </w:numPr>
        <w:outlineLvl w:val="0"/>
        <w:rPr>
          <w:lang w:val="en-GB"/>
        </w:rPr>
      </w:pPr>
      <w:r w:rsidRPr="006A01DF">
        <w:rPr>
          <w:lang w:val="en-GB"/>
        </w:rPr>
        <w:t>definition and maintenance of quality of measurements</w:t>
      </w:r>
    </w:p>
    <w:p w14:paraId="730BCB11" w14:textId="77777777" w:rsidR="00FF223B" w:rsidRPr="00935693" w:rsidRDefault="00FF223B" w:rsidP="00FF223B">
      <w:pPr>
        <w:pStyle w:val="ListParagraph"/>
        <w:numPr>
          <w:ilvl w:val="0"/>
          <w:numId w:val="2"/>
        </w:numPr>
        <w:outlineLvl w:val="0"/>
        <w:rPr>
          <w:lang w:val="en-GB"/>
        </w:rPr>
      </w:pPr>
      <w:r w:rsidRPr="00935693">
        <w:rPr>
          <w:lang w:val="en-GB"/>
        </w:rPr>
        <w:t>data analysis</w:t>
      </w:r>
    </w:p>
    <w:p w14:paraId="267A4D67" w14:textId="77777777" w:rsidR="00FF223B" w:rsidRPr="00BF6BF3" w:rsidRDefault="00FF223B" w:rsidP="00FF223B">
      <w:pPr>
        <w:pStyle w:val="ListParagraph"/>
        <w:numPr>
          <w:ilvl w:val="0"/>
          <w:numId w:val="2"/>
        </w:numPr>
        <w:outlineLvl w:val="0"/>
        <w:rPr>
          <w:lang w:val="en-GB"/>
        </w:rPr>
      </w:pPr>
      <w:r w:rsidRPr="00BF6BF3">
        <w:rPr>
          <w:lang w:val="en-GB"/>
        </w:rPr>
        <w:t>formulation and dissemination of indicators and results</w:t>
      </w:r>
    </w:p>
    <w:p w14:paraId="3CF83692" w14:textId="77777777" w:rsidR="00FF223B" w:rsidRDefault="00FF223B" w:rsidP="00FF223B">
      <w:r>
        <w:t xml:space="preserve">Together, these texts and technologies construct ways of thinking about mathematics, mathematical knowledge and mathematics education, about students, teachers and educational processes, and about how these are related to social and economic activity. </w:t>
      </w:r>
    </w:p>
    <w:p w14:paraId="195243D3" w14:textId="77777777" w:rsidR="00FF223B" w:rsidRDefault="00FF223B" w:rsidP="00FF223B">
      <w:r>
        <w:lastRenderedPageBreak/>
        <w:t>It is important to note at this point that PISA itself defines mathematics, or rather “mathematical literacy”, in terms that are consistent with the overall focus on preparation for adult life:</w:t>
      </w:r>
    </w:p>
    <w:p w14:paraId="0400C5C1" w14:textId="77777777" w:rsidR="00FF223B" w:rsidRPr="00C666BF" w:rsidRDefault="00FF223B" w:rsidP="00FF223B">
      <w:pPr>
        <w:pStyle w:val="Quote"/>
      </w:pPr>
      <w:r w:rsidRPr="00C666BF">
        <w:rPr>
          <w:b/>
        </w:rPr>
        <w:t>Mathematical literacy</w:t>
      </w:r>
      <w:r>
        <w:t xml:space="preserve">: An individual’s capacity to formulate, employ, and interpret mathematics in a variety of contexts. It includes reasoning mathematically and using mathematical concepts, procedures, facts and tools to describe, explain and predict phenomena. It assists individuals to </w:t>
      </w:r>
      <w:proofErr w:type="spellStart"/>
      <w:r>
        <w:t>recognise</w:t>
      </w:r>
      <w:proofErr w:type="spellEnd"/>
      <w:r>
        <w:t xml:space="preserve"> the role that mathematics plays in the world and to make the well-founded judgments and decisions needed by constructive, engaged and reflective citizens. (OECD, 2013, p.17)</w:t>
      </w:r>
    </w:p>
    <w:p w14:paraId="2CAF3742" w14:textId="77777777" w:rsidR="00FF223B" w:rsidRDefault="00FF223B" w:rsidP="00FF223B">
      <w:pPr>
        <w:rPr>
          <w:lang w:val="en-GB"/>
        </w:rPr>
      </w:pPr>
      <w:r>
        <w:t>The domain of mathematical literacy (the domain to be assessed in the PISA tests) is defined here in terms of “mathematics” and there is an explicit orientation towards the application of knowledge learnt in school rather than the mastery of curricular content. However, elsewhere in the same document</w:t>
      </w:r>
      <w:r w:rsidR="00034568">
        <w:t>,</w:t>
      </w:r>
      <w:r>
        <w:t xml:space="preserve"> it is “mathematics” that is being tested. There is thus slippage between these two constructs and an ambiguity about the distinction between mastery and application.</w:t>
      </w:r>
    </w:p>
    <w:p w14:paraId="58E7B704" w14:textId="77777777" w:rsidR="00FF223B" w:rsidRDefault="00FF223B" w:rsidP="00FF223B">
      <w:pPr>
        <w:pStyle w:val="Heading2"/>
      </w:pPr>
      <w:r>
        <w:t>The reception of PISA in public debate, policy and research</w:t>
      </w:r>
    </w:p>
    <w:p w14:paraId="4C64FEB3" w14:textId="77777777" w:rsidR="00FF223B" w:rsidRDefault="00FF223B" w:rsidP="00FF223B">
      <w:r>
        <w:t>The PISA regime provides resources that are integrated into existing ways of thinking about education. For example, Pons notes that the public discussion surrounding PISA in different countries to a large extent reflects “long-existing trends and characteristics of each national public debate in education” (2012, p. 213). Nevertheless, as PISA resources are recruited, the debates are shaped by them:</w:t>
      </w:r>
    </w:p>
    <w:p w14:paraId="598C0898" w14:textId="77777777" w:rsidR="00FF223B" w:rsidRPr="00D46BBC" w:rsidRDefault="00FF223B" w:rsidP="00597F65">
      <w:pPr>
        <w:pStyle w:val="Quote"/>
      </w:pPr>
      <w:proofErr w:type="gramStart"/>
      <w:r w:rsidRPr="00D46BBC">
        <w:t>the</w:t>
      </w:r>
      <w:proofErr w:type="gramEnd"/>
      <w:r w:rsidRPr="00D46BBC">
        <w:t xml:space="preserve"> current PISA is commonly referred to and acknowledged as a valid and reliable resource for education policies and public action. In fact, one might say that PISA has achieved the condition of an </w:t>
      </w:r>
      <w:r w:rsidRPr="00D46BBC">
        <w:rPr>
          <w:i/>
          <w:iCs/>
        </w:rPr>
        <w:t xml:space="preserve">obligatory point of passage </w:t>
      </w:r>
      <w:r w:rsidRPr="007B7875">
        <w:t>(</w:t>
      </w:r>
      <w:proofErr w:type="spellStart"/>
      <w:r w:rsidRPr="007B7875">
        <w:t>Callon</w:t>
      </w:r>
      <w:proofErr w:type="spellEnd"/>
      <w:r w:rsidRPr="007B7875">
        <w:t xml:space="preserve">, 1986; </w:t>
      </w:r>
      <w:proofErr w:type="spellStart"/>
      <w:r w:rsidRPr="007B7875">
        <w:t>Lascoumes</w:t>
      </w:r>
      <w:proofErr w:type="spellEnd"/>
      <w:r w:rsidRPr="007B7875">
        <w:t xml:space="preserve"> &amp; Le </w:t>
      </w:r>
      <w:proofErr w:type="spellStart"/>
      <w:r w:rsidRPr="007B7875">
        <w:t>Galès</w:t>
      </w:r>
      <w:proofErr w:type="spellEnd"/>
      <w:r w:rsidRPr="007B7875">
        <w:t>, 2007)</w:t>
      </w:r>
      <w:r w:rsidRPr="00D46BBC">
        <w:t xml:space="preserve"> for policy-making: it becomes an unavoidable (and ‘obvious’) provider of information ‘based on proof’, a tool that creates and allows the creation of new problems and imagined new tomorrows.</w:t>
      </w:r>
      <w:r>
        <w:t xml:space="preserve"> (</w:t>
      </w:r>
      <w:proofErr w:type="spellStart"/>
      <w:r>
        <w:t>Carvalho</w:t>
      </w:r>
      <w:proofErr w:type="spellEnd"/>
      <w:r>
        <w:t>, 2012, p. 183)</w:t>
      </w:r>
    </w:p>
    <w:p w14:paraId="6C329AD0" w14:textId="0E5E5B71" w:rsidR="009B3F4B" w:rsidRDefault="00FF223B" w:rsidP="00FF223B">
      <w:pPr>
        <w:jc w:val="both"/>
      </w:pPr>
      <w:r>
        <w:t>PISA is usually referenced, especially in the policy field, as a “global script” that is performed in national contexts (</w:t>
      </w:r>
      <w:proofErr w:type="spellStart"/>
      <w:r>
        <w:t>Ozga</w:t>
      </w:r>
      <w:proofErr w:type="spellEnd"/>
      <w:r>
        <w:t>, 2012</w:t>
      </w:r>
      <w:r w:rsidR="00D57936">
        <w:t>a</w:t>
      </w:r>
      <w:r>
        <w:t xml:space="preserve">, p.166). However, as we indicated in the introduction, critical researchers document that PISA </w:t>
      </w:r>
      <w:r w:rsidR="00345FD6">
        <w:t xml:space="preserve">has </w:t>
      </w:r>
      <w:r>
        <w:t>brought about relatively few additional primary or secondary analyses of the data by national researchers, evaluators and experts</w:t>
      </w:r>
      <w:r w:rsidR="00345FD6">
        <w:t>. I</w:t>
      </w:r>
      <w:r>
        <w:t xml:space="preserve">n contrast it </w:t>
      </w:r>
      <w:r w:rsidR="00345FD6">
        <w:t xml:space="preserve">has been </w:t>
      </w:r>
      <w:r>
        <w:t xml:space="preserve">used </w:t>
      </w:r>
      <w:r w:rsidR="00345FD6">
        <w:t xml:space="preserve">extensively </w:t>
      </w:r>
      <w:r>
        <w:t xml:space="preserve">to support all kinds of arguments in national public debates (Pons, 2012). Furthermore, while </w:t>
      </w:r>
      <w:r w:rsidR="00345FD6">
        <w:t>similar</w:t>
      </w:r>
      <w:r>
        <w:t xml:space="preserve"> kinds of argument </w:t>
      </w:r>
      <w:r w:rsidR="00345FD6">
        <w:t>can be found across countries</w:t>
      </w:r>
      <w:r>
        <w:t xml:space="preserve">, the arguments also depend on the interests, representations and cognitive predispositions of the numerous actors who individually or collectively support them (Pons, 2012). </w:t>
      </w:r>
      <w:r w:rsidR="00345FD6">
        <w:t>I</w:t>
      </w:r>
      <w:r>
        <w:t xml:space="preserve">n many countries in Europe PISA results </w:t>
      </w:r>
      <w:r w:rsidR="00345FD6">
        <w:t xml:space="preserve">have </w:t>
      </w:r>
      <w:r>
        <w:t xml:space="preserve">paved the way for significant educational reforms. For example, </w:t>
      </w:r>
      <w:proofErr w:type="spellStart"/>
      <w:r w:rsidRPr="007B7875">
        <w:t>Ertl</w:t>
      </w:r>
      <w:proofErr w:type="spellEnd"/>
      <w:r w:rsidRPr="007B7875">
        <w:t xml:space="preserve"> (2006)</w:t>
      </w:r>
      <w:r>
        <w:t xml:space="preserve"> discusses three main areas that have been affected by the reception of PISA in Germany: the political discourse, changes in which have led to a wide-ranging reform agenda, </w:t>
      </w:r>
      <w:r w:rsidR="00345FD6">
        <w:t xml:space="preserve">including </w:t>
      </w:r>
      <w:r>
        <w:t xml:space="preserve">the introduction of national educational standards; curriculum development processes, where PISA has led to the growing importance of principles such as outcome control, orientation </w:t>
      </w:r>
      <w:r w:rsidR="00345FD6">
        <w:t xml:space="preserve">towards </w:t>
      </w:r>
      <w:r w:rsidR="00345FD6" w:rsidRPr="009B3F4B">
        <w:t>competences</w:t>
      </w:r>
      <w:r w:rsidR="00345FD6">
        <w:t xml:space="preserve"> </w:t>
      </w:r>
      <w:r>
        <w:t xml:space="preserve">and external assessment; and the academic discourse, where there has been a re-orientation of educational studies towards greater emphasis on the empirical research of pedagogic practice. </w:t>
      </w:r>
      <w:r w:rsidR="009B3F4B">
        <w:t>PISA thus may be seen to drive reforms at a national level, though t</w:t>
      </w:r>
      <w:r w:rsidR="00455A80">
        <w:t>hese are strongly shaped by pre-</w:t>
      </w:r>
      <w:r w:rsidR="009B3F4B">
        <w:t xml:space="preserve">existing local arguments and predispositions. </w:t>
      </w:r>
    </w:p>
    <w:p w14:paraId="6C6A1778" w14:textId="67816B0F" w:rsidR="00FF223B" w:rsidRDefault="00686B5B" w:rsidP="00FF223B">
      <w:pPr>
        <w:jc w:val="both"/>
      </w:pPr>
      <w:proofErr w:type="spellStart"/>
      <w:r>
        <w:t>Man</w:t>
      </w:r>
      <w:r w:rsidR="00FF223B">
        <w:t>gez</w:t>
      </w:r>
      <w:proofErr w:type="spellEnd"/>
      <w:r w:rsidR="00FF223B">
        <w:t xml:space="preserve"> </w:t>
      </w:r>
      <w:r>
        <w:t>and</w:t>
      </w:r>
      <w:r w:rsidR="00FF223B">
        <w:t xml:space="preserve"> </w:t>
      </w:r>
      <w:proofErr w:type="spellStart"/>
      <w:r w:rsidR="00FF223B">
        <w:t>Hilgers</w:t>
      </w:r>
      <w:proofErr w:type="spellEnd"/>
      <w:r w:rsidR="00FF223B">
        <w:t xml:space="preserve"> </w:t>
      </w:r>
      <w:r w:rsidR="000B54AF">
        <w:rPr>
          <w:noProof/>
        </w:rPr>
        <w:t>(2012)</w:t>
      </w:r>
      <w:r w:rsidR="00FF223B">
        <w:t xml:space="preserve">, </w:t>
      </w:r>
      <w:proofErr w:type="spellStart"/>
      <w:r w:rsidR="00FF223B">
        <w:t>analysing</w:t>
      </w:r>
      <w:proofErr w:type="spellEnd"/>
      <w:r w:rsidR="00FF223B">
        <w:t xml:space="preserve"> the role of PISA as a “cultural product”, argue that the development of PISA is transforming the very form and shape of the field of knowledge</w:t>
      </w:r>
      <w:r w:rsidR="009B3F4B">
        <w:t xml:space="preserve"> at a global level</w:t>
      </w:r>
      <w:r w:rsidR="00FF223B">
        <w:t xml:space="preserve">. They show how the development of PISA has brought about a subordination of educational forms of cultural production to transnational “political and economic interests”, while the diffusion of PISA, in a sense, dissolves the very boundaries of (national) education policy fields, and </w:t>
      </w:r>
      <w:r w:rsidR="00FF223B">
        <w:lastRenderedPageBreak/>
        <w:t>progresses through a “heteronomous definition of education” (p. 189). Educational researchers, internationally, have described PISA effects as the encroachment of markets into curriculum formation and as changes in the regimes of accountability, from professional and political to “technical accountability” (</w:t>
      </w:r>
      <w:proofErr w:type="spellStart"/>
      <w:r w:rsidR="00FF223B">
        <w:t>Ozga</w:t>
      </w:r>
      <w:proofErr w:type="spellEnd"/>
      <w:r w:rsidR="00FF223B">
        <w:t>, 2012</w:t>
      </w:r>
      <w:r w:rsidR="00D57936">
        <w:t>a</w:t>
      </w:r>
      <w:r w:rsidR="00FF223B">
        <w:t>, p.167)</w:t>
      </w:r>
      <w:r w:rsidR="008D3FFC">
        <w:t>.</w:t>
      </w:r>
      <w:r w:rsidR="00FF223B">
        <w:t xml:space="preserve"> The connection between PISA and the </w:t>
      </w:r>
      <w:proofErr w:type="spellStart"/>
      <w:r w:rsidR="00FF223B">
        <w:t>marketisation</w:t>
      </w:r>
      <w:proofErr w:type="spellEnd"/>
      <w:r w:rsidR="00FF223B">
        <w:t xml:space="preserve"> of curriculum formation is evident in the fact that </w:t>
      </w:r>
      <w:r w:rsidR="00FF223B" w:rsidRPr="001E68CB">
        <w:t>Pearson, the transnational publisher of academic</w:t>
      </w:r>
      <w:r w:rsidR="00FF223B">
        <w:t xml:space="preserve"> texts and standardized tests, </w:t>
      </w:r>
      <w:r w:rsidR="00FF223B" w:rsidRPr="001E68CB">
        <w:t>has recently won a contract for generating PISA 2014 test items</w:t>
      </w:r>
      <w:r w:rsidR="00FF223B">
        <w:t xml:space="preserve"> – furthering Pearson’s efforts to “control education” </w:t>
      </w:r>
      <w:r w:rsidR="000B54AF">
        <w:rPr>
          <w:noProof/>
        </w:rPr>
        <w:t>(see Gutstein, 2012)</w:t>
      </w:r>
      <w:r w:rsidR="00FF223B">
        <w:t>.</w:t>
      </w:r>
    </w:p>
    <w:p w14:paraId="3D1344D0" w14:textId="77777777" w:rsidR="00AE3BAB" w:rsidRDefault="00AE3BAB" w:rsidP="00AE3BAB">
      <w:r>
        <w:t>Neumann</w:t>
      </w:r>
      <w:r w:rsidR="00686B5B">
        <w:t xml:space="preserve"> et al.</w:t>
      </w:r>
      <w:r>
        <w:t xml:space="preserve">’s </w:t>
      </w:r>
      <w:r w:rsidR="000B54AF">
        <w:rPr>
          <w:noProof/>
        </w:rPr>
        <w:t>(Neumann et al., 2012)</w:t>
      </w:r>
      <w:r>
        <w:t xml:space="preserve"> comparative </w:t>
      </w:r>
      <w:r w:rsidR="00E4437B">
        <w:t>study</w:t>
      </w:r>
      <w:r>
        <w:t xml:space="preserve"> is </w:t>
      </w:r>
      <w:r w:rsidR="00E4437B">
        <w:t xml:space="preserve">somewhat </w:t>
      </w:r>
      <w:r>
        <w:t>different in emphasis. It discusses the specificities of the reception process in two post-communist countries, Hungary and Romania, with attention to the institutional changes facilitated by PISA in public administration and in the emergent instruments of regulation. These authors understand PISA as a particularly successful carrier of global ideologies of education regulation. Their aim was to identify the convergences and divergences in the patterns of the reception of PISA, in the light of country-specific socio-histories of educational assessment. They argue that comparative data generate vernacular translations of problems and policy solutions, and “PISA’s local meanings unfold and alter in the national context of political, scientific and symbolic struggles” (</w:t>
      </w:r>
      <w:r w:rsidR="00686B5B">
        <w:t>p.</w:t>
      </w:r>
      <w:r>
        <w:t>228). Interestingly, Hungary borrowed the concept and methodology from PISA and fabricated the national Assessment of Basic Competences as a tool to push the idea of schools’ self-monitoring; with Hungarian actors presenting themselves in the national policy domain “as messengers of the civilizing achievement of evidence-based policy making” (</w:t>
      </w:r>
      <w:r w:rsidR="00686B5B">
        <w:t>p.</w:t>
      </w:r>
      <w:r>
        <w:t>237). In contrast, Romania considered PISA “as a diplomatic obligation” (</w:t>
      </w:r>
      <w:r w:rsidR="00686B5B">
        <w:t>p.</w:t>
      </w:r>
      <w:r>
        <w:t xml:space="preserve">237), Romanian actors conceived it as a bureaucratic task, thereby resisting the implied policy consequences, and PISA had had a limited effect on shaping the logic of national education regulation in that country.   </w:t>
      </w:r>
    </w:p>
    <w:p w14:paraId="6D4BE928" w14:textId="77777777" w:rsidR="009B3F4B" w:rsidRDefault="009B3F4B" w:rsidP="00455A80">
      <w:pPr>
        <w:pStyle w:val="Heading3"/>
      </w:pPr>
      <w:r>
        <w:t>PISA in Mathematics Education Research</w:t>
      </w:r>
    </w:p>
    <w:p w14:paraId="143C86D0" w14:textId="2BC2BBBF" w:rsidR="00FF223B" w:rsidRDefault="00FF223B" w:rsidP="00FF223B">
      <w:r>
        <w:t xml:space="preserve">Looking specifically at the field of mathematics education research, </w:t>
      </w:r>
      <w:r w:rsidR="009B3F4B">
        <w:t>we ask how</w:t>
      </w:r>
      <w:r>
        <w:t xml:space="preserve"> </w:t>
      </w:r>
      <w:r w:rsidR="009B3F4B">
        <w:t xml:space="preserve">the </w:t>
      </w:r>
      <w:r>
        <w:t>PISA</w:t>
      </w:r>
      <w:r w:rsidR="009B3F4B">
        <w:t xml:space="preserve"> </w:t>
      </w:r>
      <w:r w:rsidR="005F4232">
        <w:t xml:space="preserve">mathematics </w:t>
      </w:r>
      <w:r w:rsidR="009B3F4B">
        <w:t>regime</w:t>
      </w:r>
      <w:r>
        <w:t xml:space="preserve"> is shaping the practices of researchers. A search within the papers presented at the 2011 Congress of the European Society for Research in Mathematics Education (CERME7) and the 2012 Conference of the International Group for the Psychology of Mathematics Education (PME36) reveals a large number of references to PISA (and other large-scale international studies such as TIMSS).</w:t>
      </w:r>
      <w:r>
        <w:rPr>
          <w:rStyle w:val="FootnoteReference"/>
        </w:rPr>
        <w:footnoteReference w:id="2"/>
      </w:r>
      <w:r>
        <w:t xml:space="preserve"> The majority of these deploy PISA in a way similar to that suggested by </w:t>
      </w:r>
      <w:proofErr w:type="spellStart"/>
      <w:r>
        <w:t>Carvalho</w:t>
      </w:r>
      <w:proofErr w:type="spellEnd"/>
      <w:r>
        <w:t xml:space="preserve"> (2012) for policy-making – as an “obligatory point of passage”. The outcomes of PISA are cited uncritically (and generally briefly) as part of the rationale for the research, for example:</w:t>
      </w:r>
    </w:p>
    <w:p w14:paraId="710CA6F6" w14:textId="77777777" w:rsidR="00FF223B" w:rsidRDefault="00FF223B" w:rsidP="00FF223B">
      <w:pPr>
        <w:pStyle w:val="ListParagraph"/>
        <w:numPr>
          <w:ilvl w:val="0"/>
          <w:numId w:val="3"/>
        </w:numPr>
      </w:pPr>
      <w:proofErr w:type="spellStart"/>
      <w:r>
        <w:t>contextualising</w:t>
      </w:r>
      <w:proofErr w:type="spellEnd"/>
      <w:r>
        <w:t xml:space="preserve"> the research in response to a curriculum reform motivated by a government response to national PISA outcomes</w:t>
      </w:r>
    </w:p>
    <w:p w14:paraId="0D6E1D90" w14:textId="77777777" w:rsidR="00FF223B" w:rsidRDefault="00FF223B" w:rsidP="00FF223B">
      <w:pPr>
        <w:pStyle w:val="ListParagraph"/>
        <w:numPr>
          <w:ilvl w:val="0"/>
          <w:numId w:val="3"/>
        </w:numPr>
      </w:pPr>
      <w:r>
        <w:t>identifying weaknesses in national performance, as defined by PISA outcomes, that ‘need’ to be addressed by research and development</w:t>
      </w:r>
    </w:p>
    <w:p w14:paraId="5470C9E5" w14:textId="77777777" w:rsidR="00FF223B" w:rsidRDefault="00FF223B" w:rsidP="00FF223B">
      <w:pPr>
        <w:pStyle w:val="ListParagraph"/>
        <w:numPr>
          <w:ilvl w:val="0"/>
          <w:numId w:val="3"/>
        </w:numPr>
      </w:pPr>
      <w:proofErr w:type="gramStart"/>
      <w:r>
        <w:t>justifying</w:t>
      </w:r>
      <w:proofErr w:type="gramEnd"/>
      <w:r>
        <w:t xml:space="preserve"> the choice of countries to consider in international comparative studies by reference to their relative positions in PISA rankings.</w:t>
      </w:r>
    </w:p>
    <w:p w14:paraId="05FE32F5" w14:textId="41506172" w:rsidR="00FF223B" w:rsidRDefault="00FF223B" w:rsidP="00FF223B">
      <w:r>
        <w:t xml:space="preserve">A smaller number of studies make more substantive use of the constructs and values of </w:t>
      </w:r>
      <w:r w:rsidR="00455A80">
        <w:t xml:space="preserve">the </w:t>
      </w:r>
      <w:r>
        <w:t>PISA</w:t>
      </w:r>
      <w:r w:rsidR="00455A80">
        <w:t xml:space="preserve"> </w:t>
      </w:r>
      <w:r w:rsidR="005F4232">
        <w:t xml:space="preserve">mathematics </w:t>
      </w:r>
      <w:r w:rsidR="00455A80">
        <w:t>regime</w:t>
      </w:r>
      <w:r>
        <w:t xml:space="preserve"> in framing their research, for example:</w:t>
      </w:r>
    </w:p>
    <w:p w14:paraId="03F58F8A" w14:textId="77777777" w:rsidR="00FF223B" w:rsidRDefault="00FF223B" w:rsidP="00FF223B">
      <w:pPr>
        <w:pStyle w:val="ListParagraph"/>
        <w:numPr>
          <w:ilvl w:val="0"/>
          <w:numId w:val="4"/>
        </w:numPr>
      </w:pPr>
      <w:r>
        <w:lastRenderedPageBreak/>
        <w:t>making use of PISA results of various kinds as benchmarks for interpreting their own data</w:t>
      </w:r>
    </w:p>
    <w:p w14:paraId="7E904CE3" w14:textId="77777777" w:rsidR="00FF223B" w:rsidRDefault="00FF223B" w:rsidP="00FF223B">
      <w:pPr>
        <w:pStyle w:val="ListParagraph"/>
        <w:numPr>
          <w:ilvl w:val="0"/>
          <w:numId w:val="4"/>
        </w:numPr>
      </w:pPr>
      <w:r>
        <w:t>framing the researchers’ theoretical and analytical approach in terms of PISA constructs (including in particular the definition of mathematical competences and the assessment framework for mathematical literacy)</w:t>
      </w:r>
    </w:p>
    <w:p w14:paraId="00E2A3AB" w14:textId="77777777" w:rsidR="00FF223B" w:rsidRDefault="00FF223B" w:rsidP="00FF223B">
      <w:pPr>
        <w:pStyle w:val="ListParagraph"/>
        <w:numPr>
          <w:ilvl w:val="0"/>
          <w:numId w:val="4"/>
        </w:numPr>
      </w:pPr>
      <w:r>
        <w:t>using PISA tasks as a tool for teacher professional development</w:t>
      </w:r>
    </w:p>
    <w:p w14:paraId="11AD8CB3" w14:textId="77777777" w:rsidR="00FF223B" w:rsidRDefault="00FF223B" w:rsidP="00FF223B">
      <w:pPr>
        <w:pStyle w:val="ListParagraph"/>
        <w:numPr>
          <w:ilvl w:val="0"/>
          <w:numId w:val="4"/>
        </w:numPr>
      </w:pPr>
      <w:proofErr w:type="spellStart"/>
      <w:proofErr w:type="gramStart"/>
      <w:r>
        <w:t>analysing</w:t>
      </w:r>
      <w:proofErr w:type="spellEnd"/>
      <w:proofErr w:type="gramEnd"/>
      <w:r>
        <w:t xml:space="preserve"> PISA data in greater detail than that provided by OECD published analyses.</w:t>
      </w:r>
    </w:p>
    <w:p w14:paraId="49FB5DA2" w14:textId="77777777" w:rsidR="00FF223B" w:rsidRDefault="00FF223B" w:rsidP="00FF223B">
      <w:r>
        <w:t xml:space="preserve">The uncritical adoption of PISA constructs by such studies </w:t>
      </w:r>
      <w:proofErr w:type="spellStart"/>
      <w:r>
        <w:t>naturalises</w:t>
      </w:r>
      <w:proofErr w:type="spellEnd"/>
      <w:r>
        <w:t xml:space="preserve"> these as legitimate ways of describing mathematics and mathematics education practices.</w:t>
      </w:r>
    </w:p>
    <w:p w14:paraId="4B43F471" w14:textId="43B73CAA" w:rsidR="00FF223B" w:rsidRDefault="00FF223B" w:rsidP="00FF223B">
      <w:r>
        <w:t xml:space="preserve">Only one paper presented at CERME7 (and none at PME36) adopted any kind of critical stance towards PISA or its use: </w:t>
      </w:r>
      <w:proofErr w:type="spellStart"/>
      <w:r>
        <w:t>Cabassut</w:t>
      </w:r>
      <w:proofErr w:type="spellEnd"/>
      <w:r>
        <w:t xml:space="preserve"> and </w:t>
      </w:r>
      <w:proofErr w:type="spellStart"/>
      <w:r>
        <w:t>Villette</w:t>
      </w:r>
      <w:proofErr w:type="spellEnd"/>
      <w:r>
        <w:t xml:space="preserve"> </w:t>
      </w:r>
      <w:r w:rsidR="000B54AF">
        <w:rPr>
          <w:noProof/>
        </w:rPr>
        <w:t>(2011)</w:t>
      </w:r>
      <w:r>
        <w:t>, having used the PISA definition of modelling to frame their study, then use their findings to challenge the kind of interpretation of PISA results at national level that leads to policy-makers trying to follow the systemic approaches of high-performing nations such as Finland. They suggest that looking at disaggregated data reveals differences within nations. This is thus a challenge to the local policy manifestation of the PISA</w:t>
      </w:r>
      <w:r w:rsidR="005F4232" w:rsidRPr="005F4232">
        <w:t xml:space="preserve"> </w:t>
      </w:r>
      <w:r w:rsidR="005F4232">
        <w:t>mathematics</w:t>
      </w:r>
      <w:r>
        <w:t xml:space="preserve"> regime rather than to PISA as a whole. </w:t>
      </w:r>
    </w:p>
    <w:p w14:paraId="09057A75" w14:textId="5C0DDEF6" w:rsidR="00FF223B" w:rsidRDefault="00FF223B" w:rsidP="00FF223B">
      <w:r>
        <w:t xml:space="preserve">A similar search within the papers presented at the 2013 International Conference of Mathematics Education and Society (MES7), a conference at which many participants adopt sociological frameworks and critical perspectives, shows just two references to PISA. One of these </w:t>
      </w:r>
      <w:r w:rsidR="000B54AF">
        <w:rPr>
          <w:noProof/>
        </w:rPr>
        <w:t>(Norén &amp; Björklund Boistrup, 2013)</w:t>
      </w:r>
      <w:r>
        <w:t xml:space="preserve"> includes a critique of the practice (by PISA/OECD as just one agency among many) of categorizing students into groups. The other </w:t>
      </w:r>
      <w:r w:rsidR="000B54AF">
        <w:rPr>
          <w:noProof/>
        </w:rPr>
        <w:t>(Braathe &amp; Otterstad, 2013)</w:t>
      </w:r>
      <w:r>
        <w:t xml:space="preserve"> presents a critical analysis of how neo-liberal discourses, such as those associated with PISA, have been taken up in teacher education in Norway. While the absence of uncritical references to PISA in the papers presented at MES7 suggests that this group of researchers stands outside the mainstream adoption and legitimation of PISA constructs, the paucity of explicit critique nevertheless suggests a lack of general recognition of the extent to which </w:t>
      </w:r>
      <w:r w:rsidR="00455A80">
        <w:t xml:space="preserve">the </w:t>
      </w:r>
      <w:r>
        <w:t>PISA</w:t>
      </w:r>
      <w:r w:rsidR="00455A80">
        <w:t xml:space="preserve"> </w:t>
      </w:r>
      <w:r w:rsidR="005F4232">
        <w:t xml:space="preserve">mathematics </w:t>
      </w:r>
      <w:r w:rsidR="00455A80">
        <w:t>regime</w:t>
      </w:r>
      <w:r>
        <w:t xml:space="preserve"> is shaping mathematics education and mathematics education research.</w:t>
      </w:r>
    </w:p>
    <w:p w14:paraId="32378118" w14:textId="77777777" w:rsidR="00FF223B" w:rsidRDefault="00FF223B" w:rsidP="00FF223B">
      <w:r w:rsidRPr="00891CAA">
        <w:t xml:space="preserve">However, it </w:t>
      </w:r>
      <w:r>
        <w:t>is important</w:t>
      </w:r>
      <w:r w:rsidRPr="00891CAA">
        <w:t xml:space="preserve"> to note that PISA </w:t>
      </w:r>
      <w:r>
        <w:t>and other large-scale international surveys have</w:t>
      </w:r>
      <w:r w:rsidRPr="00891CAA">
        <w:t xml:space="preserve"> also leveraged debates that run </w:t>
      </w:r>
      <w:r w:rsidRPr="00891CAA">
        <w:rPr>
          <w:i/>
          <w:iCs/>
        </w:rPr>
        <w:t>counter</w:t>
      </w:r>
      <w:r w:rsidRPr="00891CAA">
        <w:t xml:space="preserve"> to precisely the bureaucratic and market agendas </w:t>
      </w:r>
      <w:r>
        <w:t>they are</w:t>
      </w:r>
      <w:r w:rsidRPr="00891CAA">
        <w:t xml:space="preserve"> often thought to </w:t>
      </w:r>
      <w:r w:rsidR="00455A80">
        <w:t>support</w:t>
      </w:r>
      <w:r w:rsidRPr="00891CAA">
        <w:t>. For example</w:t>
      </w:r>
      <w:r>
        <w:t xml:space="preserve">, </w:t>
      </w:r>
      <w:proofErr w:type="spellStart"/>
      <w:r>
        <w:t>Oppedisano</w:t>
      </w:r>
      <w:proofErr w:type="spellEnd"/>
      <w:r>
        <w:t xml:space="preserve"> and </w:t>
      </w:r>
      <w:proofErr w:type="spellStart"/>
      <w:r>
        <w:t>Turati</w:t>
      </w:r>
      <w:proofErr w:type="spellEnd"/>
      <w:r>
        <w:t xml:space="preserve"> </w:t>
      </w:r>
      <w:r w:rsidR="000B54AF">
        <w:rPr>
          <w:noProof/>
        </w:rPr>
        <w:t>(2012)</w:t>
      </w:r>
      <w:r>
        <w:t xml:space="preserve"> make use of econometric techniques on PISA survey data to investigate educational inequality (in this case in reading literacy rather than in mathematics), identifying a reduction between 2000 and 2006 in levels of inequality in countries with </w:t>
      </w:r>
      <w:proofErr w:type="spellStart"/>
      <w:r>
        <w:t>decentralised</w:t>
      </w:r>
      <w:proofErr w:type="spellEnd"/>
      <w:r>
        <w:t xml:space="preserve"> educational systems and increased inequality in those with </w:t>
      </w:r>
      <w:proofErr w:type="spellStart"/>
      <w:r>
        <w:t>centralised</w:t>
      </w:r>
      <w:proofErr w:type="spellEnd"/>
      <w:r>
        <w:t xml:space="preserve"> systems. A comparable challenge is offered by </w:t>
      </w:r>
      <w:proofErr w:type="spellStart"/>
      <w:r>
        <w:t>Jurdak</w:t>
      </w:r>
      <w:proofErr w:type="spellEnd"/>
      <w:r>
        <w:t xml:space="preserve"> </w:t>
      </w:r>
      <w:r w:rsidR="000B54AF">
        <w:rPr>
          <w:noProof/>
        </w:rPr>
        <w:t>(2009)</w:t>
      </w:r>
      <w:r>
        <w:t xml:space="preserve">, who uses TIMSS data to argue that some inequities in mathematics education are a result of factors such as levels of parental education and national levels of economic development that are “out of the reach of math educators and even national governments” (p. 153) and thus not susceptible to policy change. Taking an educational assessment approach, </w:t>
      </w:r>
      <w:proofErr w:type="spellStart"/>
      <w:r w:rsidRPr="00891CAA">
        <w:t>Doig</w:t>
      </w:r>
      <w:proofErr w:type="spellEnd"/>
      <w:r w:rsidRPr="00891CAA">
        <w:t xml:space="preserve"> </w:t>
      </w:r>
      <w:r w:rsidR="000B54AF">
        <w:rPr>
          <w:noProof/>
        </w:rPr>
        <w:t>(2006)</w:t>
      </w:r>
      <w:r>
        <w:t xml:space="preserve"> argues that the information provided by the standard summative reporting methods of large-scale testing regimes such as PISA can have little effect at the level of mathematics teachers’ practice. He proposes alternative ways of using the data to inform teaching and enhance learning, while noting that these would require substantial </w:t>
      </w:r>
      <w:proofErr w:type="spellStart"/>
      <w:r>
        <w:t>programmes</w:t>
      </w:r>
      <w:proofErr w:type="spellEnd"/>
      <w:r>
        <w:t xml:space="preserve"> of professional development and might need to overcome teachers’ existing perception that large-scale assessments hold little information of value to them or their students. Such</w:t>
      </w:r>
      <w:r w:rsidRPr="00891CAA">
        <w:t xml:space="preserve"> studies</w:t>
      </w:r>
      <w:r>
        <w:t xml:space="preserve"> </w:t>
      </w:r>
      <w:r w:rsidRPr="00891CAA">
        <w:t xml:space="preserve">give empirical and theoretical impetus to redefining educational problems in ways </w:t>
      </w:r>
      <w:r>
        <w:t>that suggest that alternative agendas can be enrolled within the logic of</w:t>
      </w:r>
      <w:r w:rsidRPr="00891CAA">
        <w:t xml:space="preserve"> transnational bureaucratic marketizatio</w:t>
      </w:r>
      <w:r>
        <w:t>n</w:t>
      </w:r>
      <w:r>
        <w:rPr>
          <w:rStyle w:val="FootnoteReference"/>
        </w:rPr>
        <w:footnoteReference w:id="3"/>
      </w:r>
      <w:r w:rsidRPr="00891CAA">
        <w:t xml:space="preserve">. </w:t>
      </w:r>
    </w:p>
    <w:p w14:paraId="16603E1A" w14:textId="41EA7535" w:rsidR="00FF223B" w:rsidRPr="006E1421" w:rsidRDefault="00FF223B" w:rsidP="00FF223B">
      <w:r>
        <w:lastRenderedPageBreak/>
        <w:t xml:space="preserve">We thus observe that the tendencies </w:t>
      </w:r>
      <w:proofErr w:type="spellStart"/>
      <w:r>
        <w:t>charact</w:t>
      </w:r>
      <w:r w:rsidR="001A5D88">
        <w:t>er</w:t>
      </w:r>
      <w:r>
        <w:t>ised</w:t>
      </w:r>
      <w:proofErr w:type="spellEnd"/>
      <w:r>
        <w:t xml:space="preserve"> by </w:t>
      </w:r>
      <w:proofErr w:type="spellStart"/>
      <w:r>
        <w:t>Ca</w:t>
      </w:r>
      <w:r w:rsidR="001A5D88">
        <w:t>r</w:t>
      </w:r>
      <w:r>
        <w:t>valho</w:t>
      </w:r>
      <w:proofErr w:type="spellEnd"/>
      <w:r>
        <w:t xml:space="preserve"> (2012) and </w:t>
      </w:r>
      <w:proofErr w:type="spellStart"/>
      <w:r>
        <w:t>Ozga</w:t>
      </w:r>
      <w:proofErr w:type="spellEnd"/>
      <w:r>
        <w:t xml:space="preserve"> (2012</w:t>
      </w:r>
      <w:r w:rsidR="00D57936">
        <w:t>a</w:t>
      </w:r>
      <w:r>
        <w:t xml:space="preserve">) as </w:t>
      </w:r>
      <w:proofErr w:type="spellStart"/>
      <w:r>
        <w:t>fabricatory</w:t>
      </w:r>
      <w:proofErr w:type="spellEnd"/>
      <w:r>
        <w:t xml:space="preserve"> tendencies are not unidirectional.  </w:t>
      </w:r>
      <w:r w:rsidR="00257E4D">
        <w:t xml:space="preserve">They </w:t>
      </w:r>
      <w:r>
        <w:t xml:space="preserve">can also foreshadow forms of resistance immanent to the logic of these same </w:t>
      </w:r>
      <w:proofErr w:type="spellStart"/>
      <w:r>
        <w:t>fabricatory</w:t>
      </w:r>
      <w:proofErr w:type="spellEnd"/>
      <w:r>
        <w:t xml:space="preserve"> processes.  </w:t>
      </w:r>
      <w:r w:rsidR="00257E4D">
        <w:t xml:space="preserve">For as </w:t>
      </w:r>
      <w:r>
        <w:t xml:space="preserve">Foucault </w:t>
      </w:r>
      <w:r w:rsidR="00CD1369">
        <w:t>(1978, p. 95)</w:t>
      </w:r>
      <w:r w:rsidR="007B7875">
        <w:t xml:space="preserve"> </w:t>
      </w:r>
      <w:r w:rsidR="00257E4D">
        <w:t>suggests</w:t>
      </w:r>
      <w:r w:rsidR="007B7875">
        <w:t>,</w:t>
      </w:r>
      <w:r w:rsidR="00257E4D">
        <w:t xml:space="preserve"> </w:t>
      </w:r>
      <w:r w:rsidR="00CD1369">
        <w:t xml:space="preserve">“[w]here there is power, there is resistance, and yet, or rather consequently, this resistance is never in a position of exteriority in relation to power”. And also, </w:t>
      </w:r>
      <w:r w:rsidR="00A0365A">
        <w:t>“</w:t>
      </w:r>
      <w:r w:rsidR="00CD1369">
        <w:t xml:space="preserve">[resistances] are the odd term in relations of power; they are inscribed in the latter as an irreducible opposite” (ibid: p.96). So for Foucault </w:t>
      </w:r>
      <w:r>
        <w:t xml:space="preserve">the potency of power exists in the dimension of its logical reversibility.  </w:t>
      </w:r>
      <w:r w:rsidRPr="009D78EA">
        <w:t xml:space="preserve">This observation frames the approach we seek to develop, with the aim to investigate PISA from the perspective of how its actions on mathematics curriculum and policy raise issues </w:t>
      </w:r>
      <w:r w:rsidR="00F8335B" w:rsidRPr="009D78EA">
        <w:t>about its reception by both institutions and individuals</w:t>
      </w:r>
      <w:r w:rsidRPr="009D78EA">
        <w:t>.</w:t>
      </w:r>
    </w:p>
    <w:p w14:paraId="053B30C2" w14:textId="3CDAA334" w:rsidR="00FF223B" w:rsidRDefault="00FF223B" w:rsidP="00FF223B">
      <w:r>
        <w:t>Though there are numerous ways to approach this problem, we seek an approach that (</w:t>
      </w:r>
      <w:proofErr w:type="spellStart"/>
      <w:r>
        <w:t>i</w:t>
      </w:r>
      <w:proofErr w:type="spellEnd"/>
      <w:r>
        <w:t xml:space="preserve">) details the formation of knowledge structures and (ii) opens the black box of </w:t>
      </w:r>
      <w:r w:rsidR="00B47B05">
        <w:t>practices of the self</w:t>
      </w:r>
      <w:r>
        <w:t xml:space="preserve">.  </w:t>
      </w:r>
      <w:r w:rsidR="005F4232">
        <w:t>W</w:t>
      </w:r>
      <w:r w:rsidR="00B47B05">
        <w:t xml:space="preserve">e </w:t>
      </w:r>
      <w:r>
        <w:t xml:space="preserve">note that </w:t>
      </w:r>
      <w:r w:rsidR="005F4232">
        <w:t xml:space="preserve">currently </w:t>
      </w:r>
      <w:r>
        <w:t>work at the level of knowledge is mostly at a highly general level</w:t>
      </w:r>
      <w:r w:rsidR="00B47B05">
        <w:t xml:space="preserve"> and </w:t>
      </w:r>
      <w:r w:rsidR="009D78EA">
        <w:t xml:space="preserve">we </w:t>
      </w:r>
      <w:r w:rsidR="00B47B05">
        <w:t>seek</w:t>
      </w:r>
      <w:r>
        <w:t xml:space="preserve"> a theoretical frame capable of a high degree of specialization to education – and to mathematics education in particular.  We need the capability to name and get to terms with the enormous variety of </w:t>
      </w:r>
      <w:r w:rsidR="00381F9B">
        <w:t xml:space="preserve">national, economic, </w:t>
      </w:r>
      <w:r>
        <w:t>cultural and micro-cultural variation documented in recent mathematics education research.  To our knowledge</w:t>
      </w:r>
      <w:r w:rsidRPr="009D78EA">
        <w:t xml:space="preserve">, work at the second level, whereby knowledge agents (policy makers, researchers, teachers, students, parents) respond to the production of </w:t>
      </w:r>
      <w:proofErr w:type="spellStart"/>
      <w:r w:rsidRPr="009D78EA">
        <w:t>knowledges</w:t>
      </w:r>
      <w:proofErr w:type="spellEnd"/>
      <w:r w:rsidRPr="009D78EA">
        <w:t xml:space="preserve"> in their specificity in order to produce </w:t>
      </w:r>
      <w:r w:rsidRPr="00134C8A">
        <w:t>themselves</w:t>
      </w:r>
      <w:r w:rsidRPr="009D78EA">
        <w:t xml:space="preserve">, in Foucault’s terms, as legitimate subjects of </w:t>
      </w:r>
      <w:r w:rsidR="005F4232">
        <w:t xml:space="preserve">the </w:t>
      </w:r>
      <w:r w:rsidRPr="009D78EA">
        <w:t xml:space="preserve">PISA </w:t>
      </w:r>
      <w:r w:rsidR="005F4232" w:rsidRPr="009D78EA">
        <w:t xml:space="preserve">mathematics </w:t>
      </w:r>
      <w:r w:rsidRPr="009D78EA">
        <w:t xml:space="preserve">regime, and self-organization and empowerment, is less understood.  This </w:t>
      </w:r>
      <w:r w:rsidR="00B47B05" w:rsidRPr="009D78EA">
        <w:t xml:space="preserve">analysis </w:t>
      </w:r>
      <w:r w:rsidRPr="009D78EA">
        <w:t xml:space="preserve">must be detailed and </w:t>
      </w:r>
      <w:r w:rsidR="00C22FA8">
        <w:t>thoroughly situated in knowledge of the context</w:t>
      </w:r>
      <w:r w:rsidRPr="009D78EA">
        <w:t xml:space="preserve"> if it is to show why, in relation to </w:t>
      </w:r>
      <w:proofErr w:type="gramStart"/>
      <w:r w:rsidRPr="009D78EA">
        <w:t>themselves</w:t>
      </w:r>
      <w:proofErr w:type="gramEnd"/>
      <w:r w:rsidRPr="009D78EA">
        <w:t xml:space="preserve">, individuals act as they do under and against the PISA </w:t>
      </w:r>
      <w:r w:rsidR="005F4232" w:rsidRPr="009D78EA">
        <w:t xml:space="preserve">mathematics </w:t>
      </w:r>
      <w:r w:rsidRPr="009D78EA">
        <w:t xml:space="preserve">regime. </w:t>
      </w:r>
      <w:r w:rsidR="00B47B05" w:rsidRPr="009D78EA">
        <w:t>O</w:t>
      </w:r>
      <w:r w:rsidRPr="009D78EA">
        <w:t xml:space="preserve">ur analyses are </w:t>
      </w:r>
      <w:r w:rsidR="00B47B05" w:rsidRPr="009D78EA">
        <w:t xml:space="preserve">thus </w:t>
      </w:r>
      <w:r w:rsidRPr="009D78EA">
        <w:t>oriented towards the interrelations between</w:t>
      </w:r>
      <w:r>
        <w:t xml:space="preserve"> the PISA</w:t>
      </w:r>
      <w:r w:rsidR="005F4232" w:rsidRPr="005F4232">
        <w:t xml:space="preserve"> </w:t>
      </w:r>
      <w:r w:rsidR="005F4232">
        <w:t>mathematics</w:t>
      </w:r>
      <w:r>
        <w:t xml:space="preserve"> regime and </w:t>
      </w:r>
      <w:r w:rsidR="00B47B05">
        <w:t>practices</w:t>
      </w:r>
      <w:r>
        <w:t xml:space="preserve"> of self.</w:t>
      </w:r>
    </w:p>
    <w:p w14:paraId="4ACA36A0" w14:textId="77777777" w:rsidR="00FF223B" w:rsidRPr="00704517" w:rsidRDefault="00FF223B" w:rsidP="00AE0349">
      <w:pPr>
        <w:pStyle w:val="Heading2"/>
        <w:rPr>
          <w:lang w:val="en-GB"/>
        </w:rPr>
      </w:pPr>
      <w:r>
        <w:rPr>
          <w:lang w:val="en-GB"/>
        </w:rPr>
        <w:t xml:space="preserve">Modes of </w:t>
      </w:r>
      <w:r w:rsidR="00B47B05">
        <w:rPr>
          <w:lang w:val="en-GB"/>
        </w:rPr>
        <w:t xml:space="preserve">Analysis </w:t>
      </w:r>
      <w:r w:rsidR="001A5D88">
        <w:rPr>
          <w:lang w:val="en-GB"/>
        </w:rPr>
        <w:t>of PISA</w:t>
      </w:r>
    </w:p>
    <w:p w14:paraId="4A9E8226" w14:textId="77777777" w:rsidR="00FF223B" w:rsidRPr="00AE0349" w:rsidRDefault="001A5D88" w:rsidP="00FF223B">
      <w:pPr>
        <w:outlineLvl w:val="0"/>
        <w:rPr>
          <w:lang w:val="en-GB"/>
        </w:rPr>
      </w:pPr>
      <w:r>
        <w:rPr>
          <w:lang w:val="en-GB"/>
        </w:rPr>
        <w:t xml:space="preserve">The academic literature related to </w:t>
      </w:r>
      <w:r w:rsidR="00FF223B" w:rsidRPr="00AE0349">
        <w:rPr>
          <w:lang w:val="en-GB"/>
        </w:rPr>
        <w:t xml:space="preserve">PISA </w:t>
      </w:r>
      <w:r>
        <w:rPr>
          <w:lang w:val="en-GB"/>
        </w:rPr>
        <w:t>is</w:t>
      </w:r>
      <w:r w:rsidR="00FF223B" w:rsidRPr="00AE0349">
        <w:rPr>
          <w:lang w:val="en-GB"/>
        </w:rPr>
        <w:t xml:space="preserve"> steadily growing</w:t>
      </w:r>
      <w:r w:rsidR="007B7875">
        <w:rPr>
          <w:lang w:val="en-GB"/>
        </w:rPr>
        <w:t>.</w:t>
      </w:r>
      <w:r w:rsidR="00FF223B" w:rsidRPr="00AE0349">
        <w:rPr>
          <w:lang w:val="en-GB"/>
        </w:rPr>
        <w:t xml:space="preserve"> In this section we shall describe four main </w:t>
      </w:r>
      <w:r>
        <w:rPr>
          <w:lang w:val="en-GB"/>
        </w:rPr>
        <w:t>modes of response</w:t>
      </w:r>
      <w:r w:rsidR="00FF223B" w:rsidRPr="00AE0349">
        <w:rPr>
          <w:lang w:val="en-GB"/>
        </w:rPr>
        <w:t xml:space="preserve"> that we have identified in this work, arguing that </w:t>
      </w:r>
      <w:r>
        <w:rPr>
          <w:lang w:val="en-GB"/>
        </w:rPr>
        <w:t>these</w:t>
      </w:r>
      <w:r w:rsidRPr="00AE0349">
        <w:rPr>
          <w:lang w:val="en-GB"/>
        </w:rPr>
        <w:t xml:space="preserve"> </w:t>
      </w:r>
      <w:r w:rsidR="00FF223B" w:rsidRPr="00AE0349">
        <w:rPr>
          <w:lang w:val="en-GB"/>
        </w:rPr>
        <w:t>constitute a space of critique framing the horizon of action of academic researchers vis-à-vis PISA. This will allow us to locate our own approach in relation to this space.</w:t>
      </w:r>
    </w:p>
    <w:p w14:paraId="3DF3C678" w14:textId="77777777" w:rsidR="00FF223B" w:rsidRDefault="00FF223B" w:rsidP="001A5D88">
      <w:pPr>
        <w:pStyle w:val="Heading3"/>
      </w:pPr>
      <w:r>
        <w:t>(</w:t>
      </w:r>
      <w:r w:rsidR="00B47B05">
        <w:t>1</w:t>
      </w:r>
      <w:r>
        <w:t xml:space="preserve">) </w:t>
      </w:r>
      <w:r w:rsidR="00A15F93">
        <w:t>Further analysis of PISA data</w:t>
      </w:r>
      <w:r>
        <w:t xml:space="preserve"> </w:t>
      </w:r>
    </w:p>
    <w:p w14:paraId="4C11BB31" w14:textId="2AB3DECE" w:rsidR="00FF223B" w:rsidRDefault="00FF223B" w:rsidP="00FF223B">
      <w:r>
        <w:t xml:space="preserve">A </w:t>
      </w:r>
      <w:r w:rsidR="00A15F93">
        <w:t xml:space="preserve">major </w:t>
      </w:r>
      <w:r>
        <w:t xml:space="preserve">group of </w:t>
      </w:r>
      <w:r w:rsidR="00A15F93">
        <w:t xml:space="preserve">research </w:t>
      </w:r>
      <w:r>
        <w:t>studies</w:t>
      </w:r>
      <w:r w:rsidRPr="00704517">
        <w:t xml:space="preserve"> make</w:t>
      </w:r>
      <w:r>
        <w:t>s</w:t>
      </w:r>
      <w:r w:rsidRPr="00704517">
        <w:t xml:space="preserve"> use of intra/international</w:t>
      </w:r>
      <w:r w:rsidRPr="0047344D">
        <w:t xml:space="preserve"> data sets to identify factors correlated with the different PISA test outcomes. These findings add to in-country curriculum debates, policy formation and implementation.</w:t>
      </w:r>
      <w:r>
        <w:rPr>
          <w:lang w:val="en-GB"/>
        </w:rPr>
        <w:t xml:space="preserve"> </w:t>
      </w:r>
      <w:r w:rsidRPr="0047344D">
        <w:t xml:space="preserve">For instance, focusing on teaching resources and teacher expertise, </w:t>
      </w:r>
      <w:proofErr w:type="spellStart"/>
      <w:r w:rsidRPr="007B7875">
        <w:t>Ammermüller</w:t>
      </w:r>
      <w:proofErr w:type="spellEnd"/>
      <w:r w:rsidRPr="007B7875">
        <w:t xml:space="preserve"> (2007)</w:t>
      </w:r>
      <w:r w:rsidRPr="0047344D">
        <w:t xml:space="preserve"> argues that in Finland levels of professional formal education of teachers might explain the relative superiority and narrower distribution (and thus possibl</w:t>
      </w:r>
      <w:r w:rsidR="00381F9B">
        <w:t>y greater</w:t>
      </w:r>
      <w:r w:rsidRPr="0047344D">
        <w:t xml:space="preserve"> educational equ</w:t>
      </w:r>
      <w:r w:rsidR="00C22FA8">
        <w:t>ali</w:t>
      </w:r>
      <w:r w:rsidRPr="0047344D">
        <w:t>ty) of Fi</w:t>
      </w:r>
      <w:r>
        <w:t>n</w:t>
      </w:r>
      <w:r w:rsidRPr="0047344D">
        <w:t>nish results compared to German scores and score distributions</w:t>
      </w:r>
      <w:r w:rsidRPr="002E5108">
        <w:t xml:space="preserve">.  </w:t>
      </w:r>
      <w:proofErr w:type="spellStart"/>
      <w:r w:rsidRPr="002E5108">
        <w:t>Bodin</w:t>
      </w:r>
      <w:proofErr w:type="spellEnd"/>
      <w:r w:rsidRPr="002E5108">
        <w:t xml:space="preserve"> (2005),</w:t>
      </w:r>
      <w:r w:rsidRPr="0047344D">
        <w:t xml:space="preserve"> writing from the French perspective, addresses matters of a similar kind. </w:t>
      </w:r>
      <w:proofErr w:type="spellStart"/>
      <w:r w:rsidRPr="0047344D">
        <w:t>A</w:t>
      </w:r>
      <w:r w:rsidR="00A15F93">
        <w:t>nalysing</w:t>
      </w:r>
      <w:proofErr w:type="spellEnd"/>
      <w:r w:rsidR="00A15F93">
        <w:t xml:space="preserve"> data a</w:t>
      </w:r>
      <w:r w:rsidRPr="0047344D">
        <w:t>t the school leve</w:t>
      </w:r>
      <w:r w:rsidRPr="005B5CB1">
        <w:t>l Fuchs</w:t>
      </w:r>
      <w:r w:rsidR="005B5CB1" w:rsidRPr="005B5CB1">
        <w:t xml:space="preserve"> &amp; </w:t>
      </w:r>
      <w:proofErr w:type="spellStart"/>
      <w:r w:rsidR="005B5CB1" w:rsidRPr="005B5CB1">
        <w:t>Woessmann</w:t>
      </w:r>
      <w:proofErr w:type="spellEnd"/>
      <w:r w:rsidR="005B5CB1" w:rsidRPr="005B5CB1">
        <w:t xml:space="preserve"> (2008</w:t>
      </w:r>
      <w:r w:rsidRPr="005B5CB1">
        <w:t>)</w:t>
      </w:r>
      <w:r w:rsidRPr="0047344D">
        <w:t xml:space="preserve"> found that “institutional variation” accounts for 85</w:t>
      </w:r>
      <w:r>
        <w:t>%</w:t>
      </w:r>
      <w:r w:rsidRPr="0047344D">
        <w:t xml:space="preserve"> of between-country </w:t>
      </w:r>
      <w:r>
        <w:t>differences</w:t>
      </w:r>
      <w:r w:rsidR="00A15F93">
        <w:t>, identifying correlation between</w:t>
      </w:r>
      <w:r w:rsidRPr="0047344D">
        <w:t xml:space="preserve"> </w:t>
      </w:r>
      <w:r w:rsidR="00A15F93">
        <w:t xml:space="preserve">high </w:t>
      </w:r>
      <w:r w:rsidRPr="0047344D">
        <w:t xml:space="preserve">levels of school autonomy </w:t>
      </w:r>
      <w:r w:rsidR="00A15F93">
        <w:t>and</w:t>
      </w:r>
      <w:r w:rsidRPr="0047344D">
        <w:t xml:space="preserve"> higher levels of student performance. </w:t>
      </w:r>
    </w:p>
    <w:p w14:paraId="5F471938" w14:textId="77777777" w:rsidR="00FF223B" w:rsidRPr="0047344D" w:rsidRDefault="00FF223B" w:rsidP="00FF223B">
      <w:pPr>
        <w:rPr>
          <w:lang w:val="en-GB"/>
        </w:rPr>
      </w:pPr>
      <w:r w:rsidRPr="0047344D">
        <w:t xml:space="preserve">Other studies use PISA’s comparative findings to motivate and give credence to debates about the governance of the teaching profession. </w:t>
      </w:r>
      <w:r w:rsidR="00A15F93">
        <w:t>F</w:t>
      </w:r>
      <w:r w:rsidR="00A15F93" w:rsidRPr="0047344D">
        <w:t xml:space="preserve">or </w:t>
      </w:r>
      <w:r w:rsidR="0077669E">
        <w:t>example</w:t>
      </w:r>
      <w:r w:rsidR="0077669E" w:rsidRPr="00A408A7">
        <w:t>,</w:t>
      </w:r>
      <w:r w:rsidR="00A15F93" w:rsidRPr="00A408A7">
        <w:t xml:space="preserve"> </w:t>
      </w:r>
      <w:proofErr w:type="spellStart"/>
      <w:r w:rsidR="005B5CB1" w:rsidRPr="00A408A7">
        <w:t>Malaty</w:t>
      </w:r>
      <w:proofErr w:type="spellEnd"/>
      <w:r w:rsidR="005B5CB1" w:rsidRPr="00A408A7">
        <w:t xml:space="preserve"> (2009</w:t>
      </w:r>
      <w:r w:rsidR="00A15F93" w:rsidRPr="00A408A7">
        <w:t>)</w:t>
      </w:r>
      <w:r w:rsidR="00A15F93">
        <w:t xml:space="preserve"> uses</w:t>
      </w:r>
      <w:r w:rsidR="0077669E">
        <w:t xml:space="preserve"> analysis showing that</w:t>
      </w:r>
      <w:r w:rsidRPr="0047344D">
        <w:t xml:space="preserve"> Finland’s </w:t>
      </w:r>
      <w:r>
        <w:t>superior</w:t>
      </w:r>
      <w:r w:rsidRPr="0047344D">
        <w:t xml:space="preserve"> </w:t>
      </w:r>
      <w:r>
        <w:t xml:space="preserve">results in the PISA tests </w:t>
      </w:r>
      <w:r w:rsidRPr="0047344D">
        <w:t xml:space="preserve">are correlated with the quality of pre-service and in-service teacher education, positive characteristics of the “culture of the teaching profession”, and </w:t>
      </w:r>
      <w:r w:rsidRPr="0047344D">
        <w:lastRenderedPageBreak/>
        <w:t>broad-based support in Finnish society for school education</w:t>
      </w:r>
      <w:r w:rsidR="0077669E">
        <w:t xml:space="preserve"> to</w:t>
      </w:r>
      <w:r w:rsidRPr="0047344D">
        <w:t xml:space="preserve"> makes a plausible case </w:t>
      </w:r>
      <w:r w:rsidR="0077669E">
        <w:t>for the</w:t>
      </w:r>
      <w:r w:rsidRPr="0047344D">
        <w:t xml:space="preserve"> involvement of higher education institutions in schemes to strengthen the mathematics proficiencies of primary school tea</w:t>
      </w:r>
      <w:r>
        <w:t>chers</w:t>
      </w:r>
      <w:r w:rsidRPr="0047344D">
        <w:t>.</w:t>
      </w:r>
    </w:p>
    <w:p w14:paraId="459F720E" w14:textId="77777777" w:rsidR="0077669E" w:rsidRDefault="0077669E" w:rsidP="00FF223B">
      <w:r>
        <w:t xml:space="preserve">Research in this first mode makes use of PISA data to address national and international issues of direct concern. </w:t>
      </w:r>
      <w:r w:rsidR="00381F9B">
        <w:t>It does</w:t>
      </w:r>
      <w:r>
        <w:t xml:space="preserve"> not pose any critical challenge to the PISA regime. This contrasts with the other three modes, all of which question the methods and/or effects of the regime.</w:t>
      </w:r>
    </w:p>
    <w:p w14:paraId="10E74E78" w14:textId="77777777" w:rsidR="00B47B05" w:rsidRDefault="00B47B05" w:rsidP="00B47B05">
      <w:pPr>
        <w:pStyle w:val="Heading3"/>
        <w:rPr>
          <w:lang w:val="en-GB"/>
        </w:rPr>
      </w:pPr>
      <w:r>
        <w:rPr>
          <w:lang w:val="en-GB"/>
        </w:rPr>
        <w:t>(2) Critique from an e</w:t>
      </w:r>
      <w:r w:rsidRPr="00F873EE">
        <w:rPr>
          <w:lang w:val="en-GB"/>
        </w:rPr>
        <w:t>ducational assessment</w:t>
      </w:r>
      <w:r>
        <w:rPr>
          <w:lang w:val="en-GB"/>
        </w:rPr>
        <w:t xml:space="preserve"> perspective</w:t>
      </w:r>
    </w:p>
    <w:p w14:paraId="14B9FABB" w14:textId="4A226B86" w:rsidR="00B47B05" w:rsidRPr="0047344D" w:rsidRDefault="00B47B05" w:rsidP="00B47B05">
      <w:pPr>
        <w:outlineLvl w:val="0"/>
        <w:rPr>
          <w:lang w:val="en-GB"/>
        </w:rPr>
      </w:pPr>
      <w:r w:rsidRPr="0047344D">
        <w:rPr>
          <w:lang w:val="en-GB"/>
        </w:rPr>
        <w:t xml:space="preserve">Critique from </w:t>
      </w:r>
      <w:r>
        <w:rPr>
          <w:lang w:val="en-GB"/>
        </w:rPr>
        <w:t>the</w:t>
      </w:r>
      <w:r w:rsidRPr="0047344D">
        <w:rPr>
          <w:lang w:val="en-GB"/>
        </w:rPr>
        <w:t xml:space="preserve"> perspective</w:t>
      </w:r>
      <w:r>
        <w:rPr>
          <w:lang w:val="en-GB"/>
        </w:rPr>
        <w:t xml:space="preserve"> of educational assessment</w:t>
      </w:r>
      <w:r w:rsidRPr="0047344D">
        <w:rPr>
          <w:lang w:val="en-GB"/>
        </w:rPr>
        <w:t xml:space="preserve"> </w:t>
      </w:r>
      <w:r>
        <w:rPr>
          <w:lang w:val="en-GB"/>
        </w:rPr>
        <w:t>centres</w:t>
      </w:r>
      <w:r w:rsidRPr="0047344D">
        <w:rPr>
          <w:lang w:val="en-GB"/>
        </w:rPr>
        <w:t xml:space="preserve"> on</w:t>
      </w:r>
      <w:r>
        <w:rPr>
          <w:lang w:val="en-GB"/>
        </w:rPr>
        <w:t xml:space="preserve"> issues of validity of various kinds (e.g. </w:t>
      </w:r>
      <w:r w:rsidRPr="0047344D">
        <w:rPr>
          <w:lang w:val="en-GB"/>
        </w:rPr>
        <w:t xml:space="preserve">face, content, construct, parallel, consequential </w:t>
      </w:r>
      <w:r w:rsidRPr="00FF7C74">
        <w:rPr>
          <w:lang w:val="en-GB"/>
        </w:rPr>
        <w:t>(</w:t>
      </w:r>
      <w:proofErr w:type="spellStart"/>
      <w:r w:rsidRPr="00FF7C74">
        <w:t>Messick</w:t>
      </w:r>
      <w:proofErr w:type="spellEnd"/>
      <w:r w:rsidRPr="00FF7C74">
        <w:t>, 1989</w:t>
      </w:r>
      <w:r w:rsidRPr="00FF7C74">
        <w:rPr>
          <w:lang w:val="en-GB"/>
        </w:rPr>
        <w:t>)</w:t>
      </w:r>
      <w:r>
        <w:rPr>
          <w:lang w:val="en-GB"/>
        </w:rPr>
        <w:t xml:space="preserve">) </w:t>
      </w:r>
      <w:r w:rsidRPr="0047344D">
        <w:rPr>
          <w:lang w:val="en-GB"/>
        </w:rPr>
        <w:t>and</w:t>
      </w:r>
      <w:r>
        <w:rPr>
          <w:lang w:val="en-GB"/>
        </w:rPr>
        <w:t xml:space="preserve"> reliability. Studies in this category tend to consider </w:t>
      </w:r>
      <w:r w:rsidRPr="0047344D">
        <w:t xml:space="preserve">PISA </w:t>
      </w:r>
      <w:r>
        <w:t xml:space="preserve">from </w:t>
      </w:r>
      <w:r w:rsidRPr="0047344D">
        <w:t>wi</w:t>
      </w:r>
      <w:r>
        <w:t xml:space="preserve">thin a test theory perspective and examine </w:t>
      </w:r>
      <w:r w:rsidRPr="0047344D">
        <w:t xml:space="preserve">the construction of PISA instruments (test and questionnaire items and </w:t>
      </w:r>
      <w:r>
        <w:t>instruments) and their technical application. T</w:t>
      </w:r>
      <w:r w:rsidRPr="0047344D">
        <w:t>hese are taken up as technical issues of reliability and validity</w:t>
      </w:r>
      <w:r>
        <w:t>, sampling and bias</w:t>
      </w:r>
      <w:r w:rsidRPr="0047344D">
        <w:t xml:space="preserve"> (</w:t>
      </w:r>
      <w:r w:rsidR="00737F70">
        <w:t xml:space="preserve">e.g., </w:t>
      </w:r>
      <w:proofErr w:type="spellStart"/>
      <w:r w:rsidR="00737F70">
        <w:t>McGaw</w:t>
      </w:r>
      <w:proofErr w:type="spellEnd"/>
      <w:r w:rsidR="00737F70">
        <w:t xml:space="preserve">, 2006, </w:t>
      </w:r>
      <w:r w:rsidR="002449EA">
        <w:t>2008</w:t>
      </w:r>
      <w:r w:rsidR="002449EA" w:rsidRPr="002449EA">
        <w:t>;</w:t>
      </w:r>
      <w:r w:rsidRPr="002449EA">
        <w:t xml:space="preserve"> </w:t>
      </w:r>
      <w:proofErr w:type="spellStart"/>
      <w:r w:rsidRPr="002449EA">
        <w:t>Wiliam</w:t>
      </w:r>
      <w:proofErr w:type="spellEnd"/>
      <w:r w:rsidRPr="002449EA">
        <w:t>, 2008).</w:t>
      </w:r>
      <w:r w:rsidRPr="0047344D">
        <w:t xml:space="preserve"> </w:t>
      </w:r>
      <w:r>
        <w:t>At issue are t</w:t>
      </w:r>
      <w:r w:rsidRPr="0047344D">
        <w:t>he way</w:t>
      </w:r>
      <w:r>
        <w:t>s</w:t>
      </w:r>
      <w:r w:rsidRPr="0047344D">
        <w:t xml:space="preserve"> items are tested, </w:t>
      </w:r>
      <w:r>
        <w:t xml:space="preserve">tests administered </w:t>
      </w:r>
      <w:r w:rsidRPr="0047344D">
        <w:t xml:space="preserve">and test scores interpreted </w:t>
      </w:r>
      <w:r w:rsidRPr="00737F70">
        <w:t>(Goldstein, 2004</w:t>
      </w:r>
      <w:r w:rsidRPr="0047344D">
        <w:t xml:space="preserve">).  </w:t>
      </w:r>
      <w:r>
        <w:t>For example,</w:t>
      </w:r>
      <w:r w:rsidRPr="0047344D">
        <w:t xml:space="preserve"> the debates relate to appli</w:t>
      </w:r>
      <w:r>
        <w:t>cation of Item Response Theory (</w:t>
      </w:r>
      <w:r w:rsidRPr="0047344D">
        <w:t>the appropriateness and applicati</w:t>
      </w:r>
      <w:r>
        <w:t xml:space="preserve">on of </w:t>
      </w:r>
      <w:proofErr w:type="spellStart"/>
      <w:r>
        <w:t>Rasch</w:t>
      </w:r>
      <w:proofErr w:type="spellEnd"/>
      <w:r>
        <w:t xml:space="preserve"> modeling techniques)</w:t>
      </w:r>
      <w:r w:rsidRPr="0047344D">
        <w:t>, disputes about the dimensionality of item responses, etc.</w:t>
      </w:r>
    </w:p>
    <w:p w14:paraId="3DD4A70F" w14:textId="77777777" w:rsidR="00B47B05" w:rsidRDefault="00B47B05" w:rsidP="00B47B05">
      <w:pPr>
        <w:tabs>
          <w:tab w:val="left" w:pos="7088"/>
        </w:tabs>
        <w:rPr>
          <w:lang w:val="en-GB"/>
        </w:rPr>
      </w:pPr>
      <w:r>
        <w:t xml:space="preserve">In this category we can include </w:t>
      </w:r>
      <w:proofErr w:type="spellStart"/>
      <w:r w:rsidRPr="007B7875">
        <w:t>Dohn</w:t>
      </w:r>
      <w:proofErr w:type="spellEnd"/>
      <w:r w:rsidRPr="007B7875">
        <w:t xml:space="preserve"> (2007)</w:t>
      </w:r>
      <w:r w:rsidRPr="0047344D">
        <w:t xml:space="preserve"> </w:t>
      </w:r>
      <w:r>
        <w:t xml:space="preserve">who </w:t>
      </w:r>
      <w:r w:rsidRPr="0047344D">
        <w:t>pi</w:t>
      </w:r>
      <w:r>
        <w:t>cks up a question relating to</w:t>
      </w:r>
      <w:r w:rsidRPr="0047344D">
        <w:t xml:space="preserve"> the construct validity</w:t>
      </w:r>
      <w:r>
        <w:t xml:space="preserve"> (but see Tsatsaroni &amp; Evans, this issue)</w:t>
      </w:r>
      <w:r w:rsidRPr="0047344D">
        <w:t xml:space="preserve"> of PISA test items: What does it mean </w:t>
      </w:r>
      <w:r>
        <w:t>to be competent in real life situations</w:t>
      </w:r>
      <w:r w:rsidRPr="0077669E">
        <w:t xml:space="preserve">?  </w:t>
      </w:r>
      <w:proofErr w:type="spellStart"/>
      <w:r>
        <w:rPr>
          <w:lang w:val="en-GB"/>
        </w:rPr>
        <w:t>Dohn</w:t>
      </w:r>
      <w:proofErr w:type="spellEnd"/>
      <w:r w:rsidR="0047142A">
        <w:rPr>
          <w:lang w:val="en-GB"/>
        </w:rPr>
        <w:t xml:space="preserve"> </w:t>
      </w:r>
      <w:r>
        <w:rPr>
          <w:lang w:val="en-GB"/>
        </w:rPr>
        <w:t xml:space="preserve">raises a serious methodological objection: PISA makes a faulty attempt to draw conclusions about absolute levels of knowledge and skills on the basis of an evaluation of students that is defined </w:t>
      </w:r>
      <w:r w:rsidR="0047142A">
        <w:rPr>
          <w:lang w:val="en-GB"/>
        </w:rPr>
        <w:t>using</w:t>
      </w:r>
      <w:r>
        <w:rPr>
          <w:lang w:val="en-GB"/>
        </w:rPr>
        <w:t xml:space="preserve"> methodological/statistical decisions made in accordance with the way one constructs a relative evaluation. She concludes her analysis by claiming that “PISA gives a relatively reliable assessment of ‘knowledge and skills for PISA’, that is, of how well students exercise competence within the PISA focus areas in one – and only one -  ‘real life’ situation, the PISA test situation</w:t>
      </w:r>
      <w:r w:rsidR="0047142A">
        <w:rPr>
          <w:lang w:val="en-GB"/>
        </w:rPr>
        <w:t>”</w:t>
      </w:r>
      <w:r>
        <w:rPr>
          <w:lang w:val="en-GB"/>
        </w:rPr>
        <w:t xml:space="preserve"> (</w:t>
      </w:r>
      <w:r w:rsidR="0047142A">
        <w:rPr>
          <w:lang w:val="en-GB"/>
        </w:rPr>
        <w:t>p.</w:t>
      </w:r>
      <w:r>
        <w:rPr>
          <w:lang w:val="en-GB"/>
        </w:rPr>
        <w:t>14)</w:t>
      </w:r>
      <w:r w:rsidR="0047142A">
        <w:rPr>
          <w:lang w:val="en-GB"/>
        </w:rPr>
        <w:t>,</w:t>
      </w:r>
      <w:r>
        <w:rPr>
          <w:lang w:val="en-GB"/>
        </w:rPr>
        <w:t xml:space="preserve"> but that it cannot be assumed to be an adequate instrument for assessing the competence necessary in dealing with the variety of situations of life. </w:t>
      </w:r>
    </w:p>
    <w:p w14:paraId="2219BD19" w14:textId="77777777" w:rsidR="00FF223B" w:rsidRDefault="00B47B05" w:rsidP="00B47B05">
      <w:pPr>
        <w:pStyle w:val="Heading3"/>
        <w:rPr>
          <w:lang w:val="en-GB"/>
        </w:rPr>
      </w:pPr>
      <w:r>
        <w:rPr>
          <w:lang w:val="en-GB"/>
        </w:rPr>
        <w:t xml:space="preserve"> </w:t>
      </w:r>
      <w:r w:rsidR="00FF223B">
        <w:rPr>
          <w:lang w:val="en-GB"/>
        </w:rPr>
        <w:t>(3) C</w:t>
      </w:r>
      <w:r w:rsidR="008D184F">
        <w:rPr>
          <w:lang w:val="en-GB"/>
        </w:rPr>
        <w:t>ritique focusing on c</w:t>
      </w:r>
      <w:r w:rsidR="00FF223B">
        <w:rPr>
          <w:lang w:val="en-GB"/>
        </w:rPr>
        <w:t>ultur</w:t>
      </w:r>
      <w:r w:rsidR="008D184F">
        <w:rPr>
          <w:lang w:val="en-GB"/>
        </w:rPr>
        <w:t>al bias</w:t>
      </w:r>
      <w:r w:rsidR="00FF223B">
        <w:rPr>
          <w:lang w:val="en-GB"/>
        </w:rPr>
        <w:t>, distributional effects and equity</w:t>
      </w:r>
    </w:p>
    <w:p w14:paraId="507828F8" w14:textId="77777777" w:rsidR="008A1CF2" w:rsidRDefault="00FF223B" w:rsidP="00FF223B">
      <w:pPr>
        <w:rPr>
          <w:lang w:val="en-GB"/>
        </w:rPr>
      </w:pPr>
      <w:r w:rsidRPr="00AE0349">
        <w:rPr>
          <w:lang w:val="en-GB"/>
        </w:rPr>
        <w:t>The third mode of critique we identify again focuses on the validity of PISA and other large-scale assessment regimes but from the perspective of cultural bias and inequity.</w:t>
      </w:r>
      <w:r w:rsidR="0047142A">
        <w:rPr>
          <w:lang w:val="en-GB"/>
        </w:rPr>
        <w:t xml:space="preserve"> </w:t>
      </w:r>
      <w:r>
        <w:rPr>
          <w:lang w:val="en-GB"/>
        </w:rPr>
        <w:t>Cultural biase</w:t>
      </w:r>
      <w:r w:rsidR="0047142A">
        <w:rPr>
          <w:lang w:val="en-GB"/>
        </w:rPr>
        <w:t>s</w:t>
      </w:r>
      <w:r>
        <w:rPr>
          <w:lang w:val="en-GB"/>
        </w:rPr>
        <w:t xml:space="preserve"> and fairness in </w:t>
      </w:r>
      <w:r w:rsidR="008C2A44">
        <w:rPr>
          <w:lang w:val="en-GB"/>
        </w:rPr>
        <w:t>large-</w:t>
      </w:r>
      <w:r>
        <w:rPr>
          <w:lang w:val="en-GB"/>
        </w:rPr>
        <w:t xml:space="preserve">scale assessment systems </w:t>
      </w:r>
      <w:r w:rsidR="0047142A">
        <w:rPr>
          <w:lang w:val="en-GB"/>
        </w:rPr>
        <w:t>are</w:t>
      </w:r>
      <w:r>
        <w:rPr>
          <w:lang w:val="en-GB"/>
        </w:rPr>
        <w:t xml:space="preserve"> clearly of relevance to OECD’s PISA</w:t>
      </w:r>
      <w:r w:rsidR="0047142A">
        <w:rPr>
          <w:lang w:val="en-GB"/>
        </w:rPr>
        <w:t>, but pose considerable challenges</w:t>
      </w:r>
      <w:r>
        <w:rPr>
          <w:lang w:val="en-GB"/>
        </w:rPr>
        <w:t xml:space="preserve">. As </w:t>
      </w:r>
      <w:proofErr w:type="spellStart"/>
      <w:r w:rsidRPr="00737F70">
        <w:rPr>
          <w:lang w:val="en-GB"/>
        </w:rPr>
        <w:t>Stobart</w:t>
      </w:r>
      <w:proofErr w:type="spellEnd"/>
      <w:r w:rsidRPr="00737F70">
        <w:rPr>
          <w:lang w:val="en-GB"/>
        </w:rPr>
        <w:t xml:space="preserve"> (2005)</w:t>
      </w:r>
      <w:r>
        <w:rPr>
          <w:lang w:val="en-GB"/>
        </w:rPr>
        <w:t xml:space="preserve"> argues, with reference to large-scale assessment systems within multicultural societies, “fairness is essentially a social process and judgement” (2005</w:t>
      </w:r>
      <w:r w:rsidR="008A1CF2">
        <w:rPr>
          <w:lang w:val="en-GB"/>
        </w:rPr>
        <w:t>, p.</w:t>
      </w:r>
      <w:r>
        <w:rPr>
          <w:lang w:val="en-GB"/>
        </w:rPr>
        <w:t xml:space="preserve">285). </w:t>
      </w:r>
      <w:r w:rsidR="008A1CF2">
        <w:rPr>
          <w:lang w:val="en-GB"/>
        </w:rPr>
        <w:t xml:space="preserve">While the ways that assessment systems recognise and handle </w:t>
      </w:r>
      <w:r>
        <w:rPr>
          <w:lang w:val="en-GB"/>
        </w:rPr>
        <w:t xml:space="preserve">cultural and social differences are </w:t>
      </w:r>
      <w:r w:rsidR="008A1CF2">
        <w:rPr>
          <w:lang w:val="en-GB"/>
        </w:rPr>
        <w:t>critical, it is also essential to consider issues of fairness in</w:t>
      </w:r>
      <w:r>
        <w:rPr>
          <w:lang w:val="en-GB"/>
        </w:rPr>
        <w:t xml:space="preserve"> the impact </w:t>
      </w:r>
      <w:r w:rsidR="008A1CF2">
        <w:rPr>
          <w:lang w:val="en-GB"/>
        </w:rPr>
        <w:t xml:space="preserve">of an assessment regime </w:t>
      </w:r>
      <w:r>
        <w:rPr>
          <w:lang w:val="en-GB"/>
        </w:rPr>
        <w:t xml:space="preserve">on the </w:t>
      </w:r>
      <w:r w:rsidR="008A1CF2">
        <w:rPr>
          <w:lang w:val="en-GB"/>
        </w:rPr>
        <w:t xml:space="preserve">interpretation and implementation of </w:t>
      </w:r>
      <w:r>
        <w:rPr>
          <w:lang w:val="en-GB"/>
        </w:rPr>
        <w:t xml:space="preserve">curriculum. </w:t>
      </w:r>
    </w:p>
    <w:p w14:paraId="2CC89779" w14:textId="7623377D" w:rsidR="00FF223B" w:rsidRPr="006F1EAB" w:rsidRDefault="008A1CF2" w:rsidP="00FF223B">
      <w:pPr>
        <w:rPr>
          <w:lang w:val="en-GB"/>
        </w:rPr>
      </w:pPr>
      <w:r>
        <w:rPr>
          <w:lang w:val="en-GB"/>
        </w:rPr>
        <w:t xml:space="preserve">Sources of cultural bias identified by </w:t>
      </w:r>
      <w:proofErr w:type="spellStart"/>
      <w:r w:rsidR="00FF223B" w:rsidRPr="007B7875">
        <w:rPr>
          <w:lang w:val="en-GB"/>
        </w:rPr>
        <w:t>Nardi</w:t>
      </w:r>
      <w:proofErr w:type="spellEnd"/>
      <w:r w:rsidR="00FF223B" w:rsidRPr="007B7875">
        <w:rPr>
          <w:lang w:val="en-GB"/>
        </w:rPr>
        <w:t xml:space="preserve"> (2008)</w:t>
      </w:r>
      <w:r>
        <w:rPr>
          <w:lang w:val="en-GB"/>
        </w:rPr>
        <w:t xml:space="preserve"> in a study of literacy tests</w:t>
      </w:r>
      <w:r w:rsidR="00FF223B">
        <w:rPr>
          <w:lang w:val="en-GB"/>
        </w:rPr>
        <w:t xml:space="preserve"> raise issues about the validity and reliability of the PISA items. Cultural biases are present when students are </w:t>
      </w:r>
      <w:r w:rsidR="00232E34">
        <w:rPr>
          <w:lang w:val="en-GB"/>
        </w:rPr>
        <w:t xml:space="preserve">disadvantaged by being </w:t>
      </w:r>
      <w:r w:rsidR="00FF223B">
        <w:rPr>
          <w:lang w:val="en-GB"/>
        </w:rPr>
        <w:t>asked for skills which have not been taught to them</w:t>
      </w:r>
      <w:r w:rsidR="00232E34">
        <w:rPr>
          <w:lang w:val="en-GB"/>
        </w:rPr>
        <w:t xml:space="preserve">, but also </w:t>
      </w:r>
      <w:r w:rsidR="00FF223B">
        <w:rPr>
          <w:lang w:val="en-GB"/>
        </w:rPr>
        <w:t xml:space="preserve">when the abstract curriculum envisaged by the OECD is narrower than those used in reality. </w:t>
      </w:r>
      <w:proofErr w:type="spellStart"/>
      <w:r w:rsidR="00232E34">
        <w:rPr>
          <w:lang w:val="en-GB"/>
        </w:rPr>
        <w:t>Nardi</w:t>
      </w:r>
      <w:proofErr w:type="spellEnd"/>
      <w:r w:rsidR="00232E34">
        <w:rPr>
          <w:lang w:val="en-GB"/>
        </w:rPr>
        <w:t xml:space="preserve"> </w:t>
      </w:r>
      <w:r w:rsidR="00FF223B">
        <w:rPr>
          <w:lang w:val="en-GB"/>
        </w:rPr>
        <w:t xml:space="preserve">also </w:t>
      </w:r>
      <w:r w:rsidR="00232E34">
        <w:rPr>
          <w:lang w:val="en-GB"/>
        </w:rPr>
        <w:t>identifies bias</w:t>
      </w:r>
      <w:r w:rsidR="00FF223B">
        <w:rPr>
          <w:lang w:val="en-GB"/>
        </w:rPr>
        <w:t xml:space="preserve"> related to translation and related disadvantages for non-Anglophone countries. </w:t>
      </w:r>
      <w:r w:rsidR="00232E34">
        <w:rPr>
          <w:lang w:val="en-GB"/>
        </w:rPr>
        <w:t>The c</w:t>
      </w:r>
      <w:r w:rsidR="00FF223B">
        <w:rPr>
          <w:lang w:val="en-GB"/>
        </w:rPr>
        <w:t xml:space="preserve">ultural and social assumptions of large-scale testing have also been the subject of the research done by </w:t>
      </w:r>
      <w:r w:rsidR="00FF223B">
        <w:t xml:space="preserve">Cooper &amp; Dunne </w:t>
      </w:r>
      <w:r w:rsidR="000B54AF">
        <w:rPr>
          <w:noProof/>
        </w:rPr>
        <w:t>(2000)</w:t>
      </w:r>
      <w:r w:rsidR="00FF223B">
        <w:t>. This research focused on national assessments</w:t>
      </w:r>
      <w:r w:rsidR="00232E34">
        <w:t xml:space="preserve"> of mathematics</w:t>
      </w:r>
      <w:r w:rsidR="00FF223B">
        <w:t xml:space="preserve"> in the UK. </w:t>
      </w:r>
      <w:proofErr w:type="gramStart"/>
      <w:r w:rsidR="00FF223B">
        <w:t>which</w:t>
      </w:r>
      <w:proofErr w:type="gramEnd"/>
      <w:r w:rsidR="00FF223B">
        <w:t>, much like PISA, uses “realistic” test items. Their findings and interpretations are of crucial importance, as they focus on knowledge forms, their social (class, gender, race) assumptions and their distributional consequences for students’ success and failure. More specifically, the</w:t>
      </w:r>
      <w:r w:rsidR="00232E34">
        <w:t>ir</w:t>
      </w:r>
      <w:r w:rsidR="00FF223B">
        <w:t xml:space="preserve"> research revealed that children </w:t>
      </w:r>
      <w:r w:rsidR="00232E34">
        <w:t xml:space="preserve">from some social groups </w:t>
      </w:r>
      <w:r w:rsidR="00FF223B">
        <w:t xml:space="preserve">are likely to have “a better feel for this </w:t>
      </w:r>
      <w:r w:rsidR="00FF223B">
        <w:lastRenderedPageBreak/>
        <w:t>game” than others</w:t>
      </w:r>
      <w:r w:rsidR="00232E34">
        <w:t>,</w:t>
      </w:r>
      <w:r w:rsidR="00FF223B">
        <w:t xml:space="preserve"> show</w:t>
      </w:r>
      <w:r w:rsidR="00232E34">
        <w:t>ing</w:t>
      </w:r>
      <w:r w:rsidR="00FF223B">
        <w:t xml:space="preserve"> that many children, </w:t>
      </w:r>
      <w:r w:rsidR="00232E34">
        <w:t>unclear of</w:t>
      </w:r>
      <w:r w:rsidR="00FF223B">
        <w:t xml:space="preserve"> the requirements of “realistic” test items, fail to demonstrate mathematical knowledge and understanding that they actually possess. </w:t>
      </w:r>
    </w:p>
    <w:p w14:paraId="2667CD95" w14:textId="77777777" w:rsidR="00FF223B" w:rsidRPr="00F873EE" w:rsidRDefault="00AE0349" w:rsidP="001A5D88">
      <w:pPr>
        <w:pStyle w:val="Heading3"/>
      </w:pPr>
      <w:r>
        <w:t xml:space="preserve"> </w:t>
      </w:r>
      <w:r w:rsidR="00FF223B">
        <w:t xml:space="preserve">(4) </w:t>
      </w:r>
      <w:r w:rsidR="009C34C7">
        <w:t>Critique focusing on “</w:t>
      </w:r>
      <w:r w:rsidR="00116ED5">
        <w:t>s</w:t>
      </w:r>
      <w:r w:rsidR="00FF223B">
        <w:t>oft</w:t>
      </w:r>
      <w:r w:rsidR="00116ED5">
        <w:t xml:space="preserve"> </w:t>
      </w:r>
      <w:r w:rsidR="00FF223B">
        <w:t>governance</w:t>
      </w:r>
      <w:r w:rsidR="009C34C7">
        <w:t>”</w:t>
      </w:r>
    </w:p>
    <w:p w14:paraId="774691AF" w14:textId="77777777" w:rsidR="00FF223B" w:rsidRPr="0047344D" w:rsidRDefault="00FF223B" w:rsidP="00FF223B">
      <w:pPr>
        <w:rPr>
          <w:lang w:val="en-GB"/>
        </w:rPr>
      </w:pPr>
      <w:r>
        <w:t>The final</w:t>
      </w:r>
      <w:r w:rsidRPr="0047344D">
        <w:t xml:space="preserve"> </w:t>
      </w:r>
      <w:r>
        <w:t xml:space="preserve">mode of </w:t>
      </w:r>
      <w:r w:rsidRPr="0047344D">
        <w:t xml:space="preserve">critique relates to </w:t>
      </w:r>
      <w:r w:rsidR="00232E34">
        <w:t xml:space="preserve">PISA’s role in </w:t>
      </w:r>
      <w:r w:rsidRPr="0047344D">
        <w:t>“soft governance”</w:t>
      </w:r>
      <w:r>
        <w:t xml:space="preserve">. Soft governance or soft power is a form of governing which is not statutory or nationally bounded. It involves “the replacement of traditional, bureaucratically </w:t>
      </w:r>
      <w:proofErr w:type="spellStart"/>
      <w:r>
        <w:t>organised</w:t>
      </w:r>
      <w:proofErr w:type="spellEnd"/>
      <w:r>
        <w:t>, command and control systems with networks of relationships, in which cooperation and coordination must be constantly negotiated and managed…and which rely on a mix of particular policy technologies, and on constant work by policy actors to maintain connections and coherence in re-</w:t>
      </w:r>
      <w:proofErr w:type="spellStart"/>
      <w:r>
        <w:t>spatialised</w:t>
      </w:r>
      <w:proofErr w:type="spellEnd"/>
      <w:r>
        <w:t xml:space="preserve"> governing relations</w:t>
      </w:r>
      <w:r w:rsidR="005804DA">
        <w:t>”</w:t>
      </w:r>
      <w:r>
        <w:t xml:space="preserve"> </w:t>
      </w:r>
      <w:r w:rsidRPr="007B7875">
        <w:t>(</w:t>
      </w:r>
      <w:proofErr w:type="spellStart"/>
      <w:r w:rsidRPr="007B7875">
        <w:t>Ozga</w:t>
      </w:r>
      <w:proofErr w:type="spellEnd"/>
      <w:r w:rsidRPr="007B7875">
        <w:t xml:space="preserve">, 2012b: 440). According to </w:t>
      </w:r>
      <w:proofErr w:type="spellStart"/>
      <w:r w:rsidRPr="007B7875">
        <w:t>Ozga</w:t>
      </w:r>
      <w:proofErr w:type="spellEnd"/>
      <w:r w:rsidRPr="007B7875">
        <w:t xml:space="preserve"> (2012a, p 166)</w:t>
      </w:r>
      <w:r>
        <w:t xml:space="preserve"> </w:t>
      </w:r>
      <w:r w:rsidRPr="0047344D">
        <w:t>“education and learning policies attempt to regulate and manage systems and populations in networked, rapidly moving and changing national and transnational contexts”.</w:t>
      </w:r>
      <w:r>
        <w:t xml:space="preserve"> She and her collaborators </w:t>
      </w:r>
      <w:r w:rsidRPr="0047344D">
        <w:t xml:space="preserve">have been concerned </w:t>
      </w:r>
      <w:r>
        <w:t>in particular about PISA as an aspect of a “European project”, within a context of increasing cooperation between the European Commission and the OECD in the production of educational data and in “governing through data”</w:t>
      </w:r>
      <w:r w:rsidRPr="0047344D">
        <w:t xml:space="preserve"> </w:t>
      </w:r>
      <w:r w:rsidRPr="00656A5E">
        <w:t xml:space="preserve">(Lawn, 2006; </w:t>
      </w:r>
      <w:proofErr w:type="spellStart"/>
      <w:r w:rsidRPr="00656A5E">
        <w:t>Grek</w:t>
      </w:r>
      <w:proofErr w:type="spellEnd"/>
      <w:r w:rsidRPr="00656A5E">
        <w:t xml:space="preserve"> et al, 2009; </w:t>
      </w:r>
      <w:proofErr w:type="spellStart"/>
      <w:r w:rsidRPr="00656A5E">
        <w:t>Ozga</w:t>
      </w:r>
      <w:proofErr w:type="spellEnd"/>
      <w:r w:rsidRPr="00656A5E">
        <w:t>, 2012b)</w:t>
      </w:r>
      <w:r w:rsidRPr="0047344D">
        <w:t xml:space="preserve">. </w:t>
      </w:r>
      <w:proofErr w:type="spellStart"/>
      <w:r>
        <w:t>Ozga</w:t>
      </w:r>
      <w:proofErr w:type="spellEnd"/>
      <w:r>
        <w:t xml:space="preserve"> argues that </w:t>
      </w:r>
      <w:r w:rsidRPr="0047344D">
        <w:t xml:space="preserve">PISA needs to </w:t>
      </w:r>
      <w:r>
        <w:t xml:space="preserve">be </w:t>
      </w:r>
      <w:r w:rsidRPr="0047344D">
        <w:t>understood as one policy thread tow</w:t>
      </w:r>
      <w:r>
        <w:t>ards the “</w:t>
      </w:r>
      <w:proofErr w:type="spellStart"/>
      <w:r>
        <w:t>respatialisation</w:t>
      </w:r>
      <w:proofErr w:type="spellEnd"/>
      <w:r>
        <w:t>” of “Europe”</w:t>
      </w:r>
      <w:r w:rsidRPr="0047344D">
        <w:t xml:space="preserve"> through the “redesign of institutions, the organization of networks and the flow of comparative knowledge and data” (</w:t>
      </w:r>
      <w:r>
        <w:t xml:space="preserve">2012a, </w:t>
      </w:r>
      <w:r w:rsidRPr="0047344D">
        <w:t xml:space="preserve">p 167). </w:t>
      </w:r>
    </w:p>
    <w:p w14:paraId="694FEE7E" w14:textId="5902980C" w:rsidR="00116ED5" w:rsidRDefault="00FF223B" w:rsidP="00FF223B">
      <w:proofErr w:type="spellStart"/>
      <w:r w:rsidRPr="0047344D">
        <w:t>Ozga</w:t>
      </w:r>
      <w:proofErr w:type="spellEnd"/>
      <w:r w:rsidRPr="0047344D">
        <w:t xml:space="preserve"> argues that PISA is co</w:t>
      </w:r>
      <w:r>
        <w:t>nducted through the systematic “fabrication” of new “accountability regimes”</w:t>
      </w:r>
      <w:r w:rsidRPr="0047344D">
        <w:t xml:space="preserve"> (</w:t>
      </w:r>
      <w:proofErr w:type="spellStart"/>
      <w:r>
        <w:t>Ozga</w:t>
      </w:r>
      <w:proofErr w:type="spellEnd"/>
      <w:r>
        <w:t xml:space="preserve">, 2012a; </w:t>
      </w:r>
      <w:proofErr w:type="spellStart"/>
      <w:r w:rsidRPr="0047344D">
        <w:t>Carvalho</w:t>
      </w:r>
      <w:proofErr w:type="spellEnd"/>
      <w:r w:rsidRPr="0047344D">
        <w:t>, 2012).  But these regimes are only responsive to selective accounts of performance, the refiguring of eva</w:t>
      </w:r>
      <w:r>
        <w:t>luation/self-evaluation as the “</w:t>
      </w:r>
      <w:r w:rsidRPr="0047344D">
        <w:t>conduct of conduc</w:t>
      </w:r>
      <w:r>
        <w:t>t” (Foucault, 1991</w:t>
      </w:r>
      <w:r w:rsidR="00A33206">
        <w:t>a</w:t>
      </w:r>
      <w:r>
        <w:t xml:space="preserve">) and </w:t>
      </w:r>
      <w:r w:rsidRPr="0047344D">
        <w:t>the installation of t</w:t>
      </w:r>
      <w:r>
        <w:t xml:space="preserve">he citizen as consumer. So PISA is here perceived as a knowledge-based and knowledge-generating regulatory tool: </w:t>
      </w:r>
      <w:r w:rsidR="00853A66">
        <w:t>i</w:t>
      </w:r>
      <w:r>
        <w:t>t conveys different ways of imagining and doing education and social relations, and at the same time it plays a crucial part in the coordination of education policies and public action (</w:t>
      </w:r>
      <w:proofErr w:type="spellStart"/>
      <w:r>
        <w:t>Carvalho</w:t>
      </w:r>
      <w:proofErr w:type="spellEnd"/>
      <w:r>
        <w:t>, 2012). As</w:t>
      </w:r>
      <w:r w:rsidR="009C34C7">
        <w:t xml:space="preserve"> an</w:t>
      </w:r>
      <w:r>
        <w:t xml:space="preserve"> instrument of public policy, PISA “constitutes a condensed form of knowledge about social control and ways of exercising it” (</w:t>
      </w:r>
      <w:proofErr w:type="spellStart"/>
      <w:r>
        <w:t>Lascoumes</w:t>
      </w:r>
      <w:proofErr w:type="spellEnd"/>
      <w:r>
        <w:t xml:space="preserve"> &amp; Le Gales, 2007, p.3, in </w:t>
      </w:r>
      <w:proofErr w:type="spellStart"/>
      <w:r>
        <w:t>Carvalho</w:t>
      </w:r>
      <w:proofErr w:type="spellEnd"/>
      <w:r>
        <w:t xml:space="preserve">, 2012, p. 184). </w:t>
      </w:r>
    </w:p>
    <w:p w14:paraId="3A7D44CB" w14:textId="77777777" w:rsidR="00FF223B" w:rsidRPr="0047344D" w:rsidRDefault="00FF223B" w:rsidP="00E6358B">
      <w:pPr>
        <w:rPr>
          <w:lang w:val="en-GB"/>
        </w:rPr>
      </w:pPr>
      <w:r w:rsidRPr="0047344D">
        <w:t xml:space="preserve">In general, </w:t>
      </w:r>
      <w:r>
        <w:t>this mode</w:t>
      </w:r>
      <w:r w:rsidRPr="0047344D">
        <w:t xml:space="preserve"> of critique </w:t>
      </w:r>
      <w:r>
        <w:t xml:space="preserve">aims to reveal the ideas that PISA disseminates as main vehicles in regulatory processes. These include the idea of the primacy of the rational and </w:t>
      </w:r>
      <w:r w:rsidR="00853A66">
        <w:t xml:space="preserve">a </w:t>
      </w:r>
      <w:r>
        <w:t>data</w:t>
      </w:r>
      <w:r w:rsidR="00E6358B">
        <w:t>-based</w:t>
      </w:r>
      <w:r>
        <w:t xml:space="preserve"> model for coordinating action in the educational sector, as opposed to opinion-based or ideological coordination; the freedom of decision-makers to be involved and to exercise mutual surveillance, materially and symbolically, as an effective practice; and a systematic assessment of student performances as a trustworthy resource for the steering of educational systems (</w:t>
      </w:r>
      <w:proofErr w:type="spellStart"/>
      <w:r>
        <w:t>Carvalho</w:t>
      </w:r>
      <w:proofErr w:type="spellEnd"/>
      <w:r>
        <w:t xml:space="preserve">, 2012). </w:t>
      </w:r>
      <w:r w:rsidR="00116ED5">
        <w:rPr>
          <w:lang w:val="en-GB"/>
        </w:rPr>
        <w:t>These critiques</w:t>
      </w:r>
      <w:r>
        <w:rPr>
          <w:lang w:val="en-GB"/>
        </w:rPr>
        <w:t xml:space="preserve"> describe </w:t>
      </w:r>
      <w:r w:rsidRPr="0047344D">
        <w:t>the techniques of</w:t>
      </w:r>
      <w:r>
        <w:t xml:space="preserve"> post-</w:t>
      </w:r>
      <w:r w:rsidRPr="0047344D">
        <w:t xml:space="preserve">bureaucratic </w:t>
      </w:r>
      <w:r>
        <w:t>(</w:t>
      </w:r>
      <w:r w:rsidRPr="0047344D">
        <w:t>and economic</w:t>
      </w:r>
      <w:r>
        <w:t>)</w:t>
      </w:r>
      <w:r w:rsidRPr="0047344D">
        <w:t xml:space="preserve"> rationalism as </w:t>
      </w:r>
      <w:r>
        <w:t>a dimension</w:t>
      </w:r>
      <w:r w:rsidRPr="0047344D">
        <w:t xml:space="preserve"> of gover</w:t>
      </w:r>
      <w:r w:rsidRPr="00E6358B">
        <w:t xml:space="preserve">nment.  </w:t>
      </w:r>
      <w:r w:rsidRPr="009D78EA">
        <w:t xml:space="preserve">Nevertheless, </w:t>
      </w:r>
      <w:r w:rsidR="00116ED5" w:rsidRPr="009D78EA">
        <w:t>although</w:t>
      </w:r>
      <w:r w:rsidRPr="009D78EA">
        <w:t xml:space="preserve"> they are concerned with questions around ‘useful’ and ‘valued’ forms of knowledge in policy instruments like PISA, they do not tell us a great deal about </w:t>
      </w:r>
      <w:r w:rsidR="00116ED5" w:rsidRPr="009D78EA">
        <w:t>the specific knowledge structures</w:t>
      </w:r>
      <w:r w:rsidRPr="009D78EA">
        <w:t xml:space="preserve"> considered legitimate, or how such educational knowledge forms can construct subjective experiences</w:t>
      </w:r>
      <w:r w:rsidR="00116ED5" w:rsidRPr="009D78EA">
        <w:t xml:space="preserve">, </w:t>
      </w:r>
      <w:proofErr w:type="spellStart"/>
      <w:r w:rsidR="00E6358B" w:rsidRPr="009D78EA">
        <w:t>organise</w:t>
      </w:r>
      <w:proofErr w:type="spellEnd"/>
      <w:r w:rsidR="00116ED5" w:rsidRPr="009D78EA">
        <w:t xml:space="preserve"> practices and provide techniques for the construction of the self</w:t>
      </w:r>
      <w:r w:rsidRPr="009D78EA">
        <w:t>.</w:t>
      </w:r>
      <w:r w:rsidRPr="0047344D">
        <w:t xml:space="preserve">  </w:t>
      </w:r>
    </w:p>
    <w:p w14:paraId="72C50499" w14:textId="77777777" w:rsidR="00FF223B" w:rsidRPr="00E2366C" w:rsidRDefault="00FF223B" w:rsidP="00AE0349">
      <w:pPr>
        <w:pStyle w:val="Heading2"/>
      </w:pPr>
      <w:r>
        <w:t xml:space="preserve">Opening up the space of </w:t>
      </w:r>
      <w:r w:rsidRPr="00E2366C">
        <w:t>critique</w:t>
      </w:r>
    </w:p>
    <w:p w14:paraId="0B4E4E28" w14:textId="77777777" w:rsidR="00FF223B" w:rsidRPr="00FE4BAD" w:rsidRDefault="001C5349" w:rsidP="00FF223B">
      <w:pPr>
        <w:rPr>
          <w:lang w:val="en-GB"/>
        </w:rPr>
      </w:pPr>
      <w:r>
        <w:t xml:space="preserve">In order to develop an approach to critique that enables us to answer in more specific terms the question of what PISA does, we turn first to </w:t>
      </w:r>
      <w:r w:rsidR="00FF223B" w:rsidRPr="00FE4BAD">
        <w:t xml:space="preserve">Bernstein’s </w:t>
      </w:r>
      <w:r w:rsidR="000B54AF">
        <w:rPr>
          <w:noProof/>
        </w:rPr>
        <w:t>(1990, 2000)</w:t>
      </w:r>
      <w:r w:rsidR="00FF223B">
        <w:t xml:space="preserve"> </w:t>
      </w:r>
      <w:r w:rsidR="00FF223B" w:rsidRPr="00FE4BAD">
        <w:t xml:space="preserve">theory of the </w:t>
      </w:r>
      <w:r w:rsidR="00FF223B" w:rsidRPr="00FE4BAD">
        <w:rPr>
          <w:i/>
          <w:iCs/>
        </w:rPr>
        <w:t>pedagogic device</w:t>
      </w:r>
      <w:r>
        <w:t>.</w:t>
      </w:r>
      <w:r w:rsidR="00FF223B" w:rsidRPr="00FE4BAD">
        <w:t xml:space="preserve"> </w:t>
      </w:r>
      <w:r w:rsidR="00D657CB">
        <w:t>This directs us to see</w:t>
      </w:r>
      <w:r w:rsidR="00FF223B" w:rsidRPr="00FE4BAD">
        <w:t xml:space="preserve"> that both the </w:t>
      </w:r>
      <w:r w:rsidR="00FF223B" w:rsidRPr="004A1383">
        <w:t>PISA</w:t>
      </w:r>
      <w:r w:rsidR="00FF223B" w:rsidRPr="004A1383">
        <w:rPr>
          <w:vertAlign w:val="superscript"/>
        </w:rPr>
        <w:t xml:space="preserve"> </w:t>
      </w:r>
      <w:r w:rsidR="00FF223B" w:rsidRPr="00B218F4">
        <w:t>texts</w:t>
      </w:r>
      <w:r w:rsidR="00FF223B" w:rsidRPr="00B218F4">
        <w:rPr>
          <w:sz w:val="28"/>
          <w:vertAlign w:val="superscript"/>
        </w:rPr>
        <w:t xml:space="preserve"> </w:t>
      </w:r>
      <w:r w:rsidR="00FF223B" w:rsidRPr="004A1383">
        <w:t xml:space="preserve">and </w:t>
      </w:r>
      <w:r w:rsidR="00FF223B">
        <w:t>the modes of critique briefly discussed in the previous section</w:t>
      </w:r>
      <w:r w:rsidR="00FF223B" w:rsidRPr="00FE4BAD">
        <w:t xml:space="preserve"> relate to the acceptance/non-acceptance of particular rules for the production of </w:t>
      </w:r>
      <w:r w:rsidR="00FF223B" w:rsidRPr="00FE4BAD">
        <w:rPr>
          <w:i/>
          <w:iCs/>
        </w:rPr>
        <w:t>pedagogic discourse</w:t>
      </w:r>
      <w:r w:rsidR="00FF223B" w:rsidRPr="00FE4BAD">
        <w:t xml:space="preserve"> </w:t>
      </w:r>
      <w:r w:rsidR="00D657CB">
        <w:t>and knowledge structures.</w:t>
      </w:r>
      <w:r w:rsidR="00FF223B" w:rsidRPr="00FE4BAD">
        <w:t xml:space="preserve"> </w:t>
      </w:r>
      <w:r w:rsidR="00FF223B" w:rsidRPr="006C6AD2">
        <w:t xml:space="preserve"> </w:t>
      </w:r>
      <w:r w:rsidR="00FF223B">
        <w:t>We outline</w:t>
      </w:r>
      <w:r w:rsidR="00D657CB">
        <w:t xml:space="preserve"> below</w:t>
      </w:r>
      <w:r w:rsidR="00FF223B">
        <w:t xml:space="preserve"> a theorization of PISA taking up Bernstein’s theory of the pedagogical device as an analytical resource,</w:t>
      </w:r>
      <w:r w:rsidR="00D657CB">
        <w:t xml:space="preserve"> illustrating the analytical method with an example PISA text</w:t>
      </w:r>
      <w:r w:rsidR="00FF223B">
        <w:t xml:space="preserve">. </w:t>
      </w:r>
    </w:p>
    <w:p w14:paraId="56190FA6" w14:textId="77777777" w:rsidR="00FF223B" w:rsidRDefault="00FF223B" w:rsidP="00FF223B">
      <w:pPr>
        <w:rPr>
          <w:lang w:val="en-GB"/>
        </w:rPr>
      </w:pPr>
      <w:r w:rsidRPr="00FE4BAD">
        <w:lastRenderedPageBreak/>
        <w:t xml:space="preserve">However, </w:t>
      </w:r>
      <w:r>
        <w:t xml:space="preserve">in order to describe </w:t>
      </w:r>
      <w:r w:rsidR="00D657CB">
        <w:t xml:space="preserve">more </w:t>
      </w:r>
      <w:r>
        <w:t xml:space="preserve">adequately what PISA does we also need to have a theory of how </w:t>
      </w:r>
      <w:r w:rsidRPr="00FE4BAD">
        <w:t>pedagogic discourse tran</w:t>
      </w:r>
      <w:r>
        <w:t>slates into material practice</w:t>
      </w:r>
      <w:r w:rsidR="00783389">
        <w:t xml:space="preserve">, </w:t>
      </w:r>
      <w:r>
        <w:t>processes of individual action</w:t>
      </w:r>
      <w:r>
        <w:rPr>
          <w:rStyle w:val="FootnoteReference"/>
        </w:rPr>
        <w:footnoteReference w:id="4"/>
      </w:r>
      <w:r w:rsidR="00783389">
        <w:t xml:space="preserve"> and the construction of the self</w:t>
      </w:r>
      <w:r>
        <w:t xml:space="preserve">, </w:t>
      </w:r>
      <w:r w:rsidRPr="00FE4BAD">
        <w:t xml:space="preserve">a level of analysis </w:t>
      </w:r>
      <w:r>
        <w:t xml:space="preserve">which is still under-developed in </w:t>
      </w:r>
      <w:r w:rsidRPr="00FE4BAD">
        <w:t xml:space="preserve">Bernstein’s theory.  This leads to </w:t>
      </w:r>
      <w:r w:rsidR="00A23043">
        <w:t xml:space="preserve">the development and brief illustration of </w:t>
      </w:r>
      <w:r w:rsidRPr="00FE4BAD">
        <w:t xml:space="preserve">a </w:t>
      </w:r>
      <w:r w:rsidR="00EA22F5">
        <w:t>further mode of</w:t>
      </w:r>
      <w:r w:rsidR="00EA22F5" w:rsidRPr="00FE4BAD">
        <w:t xml:space="preserve"> </w:t>
      </w:r>
      <w:r w:rsidRPr="00FE4BAD">
        <w:t>critique of PISA</w:t>
      </w:r>
      <w:r w:rsidR="00783389">
        <w:t>, drawing on Foucault</w:t>
      </w:r>
      <w:r w:rsidRPr="00FE4BAD">
        <w:t>.</w:t>
      </w:r>
    </w:p>
    <w:p w14:paraId="1A7A3936" w14:textId="77777777" w:rsidR="00FF223B" w:rsidRPr="001F5DD4" w:rsidRDefault="00FF223B" w:rsidP="00783389">
      <w:pPr>
        <w:pStyle w:val="Heading3"/>
      </w:pPr>
      <w:r w:rsidRPr="001F5DD4">
        <w:t xml:space="preserve">Analysis </w:t>
      </w:r>
      <w:r>
        <w:t>of</w:t>
      </w:r>
      <w:r w:rsidRPr="001F5DD4">
        <w:t xml:space="preserve"> </w:t>
      </w:r>
      <w:r w:rsidR="00783389">
        <w:t xml:space="preserve">knowledge </w:t>
      </w:r>
      <w:r w:rsidRPr="001F5DD4">
        <w:t>structures</w:t>
      </w:r>
    </w:p>
    <w:p w14:paraId="5DF1814A" w14:textId="5177414D" w:rsidR="00FF223B" w:rsidRPr="005D4A66" w:rsidRDefault="00FF223B" w:rsidP="00FF223B">
      <w:pPr>
        <w:rPr>
          <w:lang w:val="en-GB"/>
        </w:rPr>
      </w:pPr>
      <w:r w:rsidRPr="001F5DD4">
        <w:t xml:space="preserve">In this critique the focus is on the rules </w:t>
      </w:r>
      <w:r>
        <w:t xml:space="preserve">underlying the </w:t>
      </w:r>
      <w:r w:rsidR="00A23043">
        <w:t>knowledge structures</w:t>
      </w:r>
      <w:r w:rsidRPr="001F5DD4">
        <w:t xml:space="preserve"> of </w:t>
      </w:r>
      <w:r w:rsidR="00783389">
        <w:t xml:space="preserve">the </w:t>
      </w:r>
      <w:r w:rsidRPr="001F5DD4">
        <w:t>PISA</w:t>
      </w:r>
      <w:r w:rsidR="005F4232" w:rsidRPr="005F4232">
        <w:t xml:space="preserve"> </w:t>
      </w:r>
      <w:r w:rsidR="005F4232">
        <w:t>mathematics</w:t>
      </w:r>
      <w:r w:rsidR="00783389">
        <w:t xml:space="preserve"> regime</w:t>
      </w:r>
      <w:r w:rsidRPr="001F5DD4">
        <w:t>.  Bernstein argues that it is possible to give an account of such rule</w:t>
      </w:r>
      <w:r>
        <w:t>s</w:t>
      </w:r>
      <w:r w:rsidRPr="001F5DD4">
        <w:t xml:space="preserve">. They are given by what he calls the </w:t>
      </w:r>
      <w:r w:rsidRPr="001F5DD4">
        <w:rPr>
          <w:i/>
          <w:iCs/>
        </w:rPr>
        <w:t>pedagogic device</w:t>
      </w:r>
      <w:r w:rsidRPr="001F5DD4">
        <w:t>.</w:t>
      </w:r>
    </w:p>
    <w:p w14:paraId="14F9E853" w14:textId="77777777" w:rsidR="00FF223B" w:rsidRDefault="00FF223B" w:rsidP="00FF223B">
      <w:r>
        <w:t xml:space="preserve">Bernstein’s theory works at two levels: discourse and practice.  Concerning the first, he draws attention to the ways in which what he calls </w:t>
      </w:r>
      <w:r w:rsidRPr="005A6E42">
        <w:rPr>
          <w:i/>
        </w:rPr>
        <w:t>pedagogic discourse</w:t>
      </w:r>
      <w:r>
        <w:rPr>
          <w:i/>
        </w:rPr>
        <w:t xml:space="preserve"> </w:t>
      </w:r>
      <w:r w:rsidRPr="006B255A">
        <w:t>is constituted through recontextualisation</w:t>
      </w:r>
      <w:r>
        <w:t xml:space="preserve">.  It is important to understand that discourse does not refer to a concrete practice, but to the constitutive principles determining rules and criteria of legitimate communications relating to content experienced at the level of practice. Two features of Bernstein’s theory are crucial for our analysis.  First, Bernstein offers very useful detailed suggestions about how the pedagogic device is realized in practice within diverse concrete circumstances. In other words, using his technique we are able to </w:t>
      </w:r>
      <w:proofErr w:type="spellStart"/>
      <w:r>
        <w:t>analyse</w:t>
      </w:r>
      <w:proofErr w:type="spellEnd"/>
      <w:r>
        <w:t xml:space="preserve"> the effects of knowledge transformations. He hypothesizes three sets of meta-rules for the production of this discourse: rules of knowledge distribution, rules of recontextualisation and rules of evaluation. We illustrate these in the example below. </w:t>
      </w:r>
    </w:p>
    <w:p w14:paraId="525275F8" w14:textId="758BF855" w:rsidR="00FF223B" w:rsidRDefault="00FF223B" w:rsidP="00FF223B">
      <w:r>
        <w:t xml:space="preserve">Bernstein’s theory of the pedagogic device also helps us better understand the factors at issue in </w:t>
      </w:r>
      <w:r w:rsidR="00C22FA8">
        <w:t xml:space="preserve">debates </w:t>
      </w:r>
      <w:r>
        <w:t xml:space="preserve">over PISA.  This second major advantage can be realized by analysis directly on the elements of PISA regime itself and indirectly on the critiques and the debates.  This means we are able to </w:t>
      </w:r>
      <w:proofErr w:type="spellStart"/>
      <w:r>
        <w:t>mobilise</w:t>
      </w:r>
      <w:proofErr w:type="spellEnd"/>
      <w:r>
        <w:t xml:space="preserve"> all items, instruments, design, interpretations, evaluations, directly related to PISA, as well as the peripheral communications (fabrications), critiques etc. as our object of analysis. </w:t>
      </w:r>
    </w:p>
    <w:p w14:paraId="40847F50" w14:textId="15B47692" w:rsidR="00FF223B" w:rsidRDefault="00FF223B" w:rsidP="00FF223B">
      <w:r>
        <w:t xml:space="preserve">To elaborate this important point Bernstein introduces </w:t>
      </w:r>
      <w:r w:rsidR="00650EB7">
        <w:t>the notion of the</w:t>
      </w:r>
      <w:r>
        <w:t xml:space="preserve"> recontextualisation of one kind of knowledge into another within specified fields. Fields pertinent to his studies are the Official </w:t>
      </w:r>
      <w:proofErr w:type="spellStart"/>
      <w:r>
        <w:t>Recontextualising</w:t>
      </w:r>
      <w:proofErr w:type="spellEnd"/>
      <w:r>
        <w:t xml:space="preserve"> field, and the Pedagogic or Practitioners’ </w:t>
      </w:r>
      <w:proofErr w:type="spellStart"/>
      <w:r>
        <w:t>Recontextualising</w:t>
      </w:r>
      <w:proofErr w:type="spellEnd"/>
      <w:r>
        <w:t xml:space="preserve"> Field (e.g., middle level policy makers</w:t>
      </w:r>
      <w:r w:rsidR="00656A5E">
        <w:t xml:space="preserve"> </w:t>
      </w:r>
      <w:r w:rsidR="000B54AF">
        <w:rPr>
          <w:noProof/>
        </w:rPr>
        <w:t>(Morgan, Tsatsaroni, &amp; Lerman, 2002</w:t>
      </w:r>
      <w:r w:rsidR="00656A5E">
        <w:rPr>
          <w:noProof/>
        </w:rPr>
        <w:t>; Singh, Thomas &amp; Harris, 2013</w:t>
      </w:r>
      <w:r w:rsidR="000B54AF">
        <w:rPr>
          <w:noProof/>
        </w:rPr>
        <w:t>)</w:t>
      </w:r>
      <w:r>
        <w:t>.  These fields lay claim to ownership of the pedagogic device, the pedagogic discourse it produces, and thus the possible orders and kinds of communication deemed valid.  This in turn, Bernstein hypothesizes</w:t>
      </w:r>
      <w:r w:rsidR="00A23043">
        <w:t>,</w:t>
      </w:r>
      <w:r>
        <w:t xml:space="preserve"> has implications for the structuring of practice.</w:t>
      </w:r>
    </w:p>
    <w:p w14:paraId="36150032" w14:textId="15C2C054" w:rsidR="00FF223B" w:rsidRDefault="00123A95" w:rsidP="00FF223B">
      <w:r>
        <w:t>The pedagogic device</w:t>
      </w:r>
      <w:r w:rsidR="00FF223B">
        <w:t xml:space="preserve"> refers to the rules of discourse by which the entire complex of </w:t>
      </w:r>
      <w:r w:rsidR="00A23043">
        <w:t xml:space="preserve">the </w:t>
      </w:r>
      <w:r w:rsidR="00FF223B">
        <w:t xml:space="preserve">mathematics curriculum (including classroom content knowledge, teaching </w:t>
      </w:r>
      <w:proofErr w:type="spellStart"/>
      <w:r w:rsidR="00FF223B">
        <w:t>programmes</w:t>
      </w:r>
      <w:proofErr w:type="spellEnd"/>
      <w:r w:rsidR="00FF223B">
        <w:t xml:space="preserve">, assessment schemes, and so on), is produced. </w:t>
      </w:r>
      <w:r>
        <w:t xml:space="preserve">This offers us analytical tools to address the question of the forms of knowledge legitimated by the PISA </w:t>
      </w:r>
      <w:r w:rsidR="005F4232">
        <w:t xml:space="preserve">mathematics </w:t>
      </w:r>
      <w:r>
        <w:t>regime. We illustrate this in the following example.</w:t>
      </w:r>
    </w:p>
    <w:p w14:paraId="5EB559BA" w14:textId="77777777" w:rsidR="00FF223B" w:rsidRPr="00822429" w:rsidRDefault="00FF223B" w:rsidP="009D78EA">
      <w:pPr>
        <w:pStyle w:val="Heading3"/>
      </w:pPr>
      <w:r>
        <w:t>Example</w:t>
      </w:r>
      <w:r w:rsidRPr="00822429">
        <w:t xml:space="preserve">:  </w:t>
      </w:r>
      <w:r w:rsidR="00123A95">
        <w:t>Analysis of pedagogic knowledge structures</w:t>
      </w:r>
    </w:p>
    <w:p w14:paraId="6E400D0F" w14:textId="67B66C4A" w:rsidR="00FF223B" w:rsidRPr="0051695A" w:rsidRDefault="00EA22F5" w:rsidP="00FF223B">
      <w:r>
        <w:t xml:space="preserve">In this paper we have space only to offer an illustrative example of direct analysis of one element of the PISA mathematics regime. </w:t>
      </w:r>
      <w:r w:rsidR="00FF223B" w:rsidRPr="0051695A">
        <w:t>This analysis is conducted at item level</w:t>
      </w:r>
      <w:r w:rsidR="00FF223B">
        <w:t xml:space="preserve">, choosing an illustrative question and scoring rubric taken from sample questions published by the OECD </w:t>
      </w:r>
      <w:r w:rsidR="000B54AF">
        <w:rPr>
          <w:noProof/>
        </w:rPr>
        <w:t>(OECD, 2009)</w:t>
      </w:r>
      <w:r w:rsidR="00FF223B">
        <w:t xml:space="preserve">. While the details emerging from the analysis are clearly specific to the question chosen, the analytic </w:t>
      </w:r>
      <w:r w:rsidR="00FF223B">
        <w:lastRenderedPageBreak/>
        <w:t>approach is general.</w:t>
      </w:r>
      <w:r w:rsidR="00123A95">
        <w:t xml:space="preserve"> Our focus in this article is primarily methodological, demonstrating how the form of analysis can identify knowledge structures underpinning the PISA</w:t>
      </w:r>
      <w:r w:rsidR="005F4232" w:rsidRPr="005F4232">
        <w:t xml:space="preserve"> </w:t>
      </w:r>
      <w:r w:rsidR="005F4232">
        <w:t>mathematics</w:t>
      </w:r>
      <w:r w:rsidR="00123A95">
        <w:t xml:space="preserve"> regime, but not claiming that our resulting analysis is comprehensive. We have chosen to take a test item as our example text because curriculum tasks are the most concrete expression of the pedagogic discourse, </w:t>
      </w:r>
      <w:r w:rsidR="00C02EDD">
        <w:t>projecting</w:t>
      </w:r>
      <w:r w:rsidR="00123A95">
        <w:t xml:space="preserve"> </w:t>
      </w:r>
      <w:r w:rsidR="00C02EDD">
        <w:t>a model (albeit partial) of the curriculum and of pedagogic practices.</w:t>
      </w:r>
      <w:r w:rsidR="00452E54">
        <w:t xml:space="preserve"> The specific item, shown in Figure 1, has a structure typical of PISA items and exemplifies what PISA defines as “mathematical literacy”. </w:t>
      </w:r>
    </w:p>
    <w:p w14:paraId="2A41E625" w14:textId="77777777" w:rsidR="00FF223B" w:rsidRDefault="00FF223B" w:rsidP="00FF223B"/>
    <w:p w14:paraId="3D26F049" w14:textId="192039F1" w:rsidR="00FF223B" w:rsidRDefault="00FF223B" w:rsidP="00FF223B">
      <w:r>
        <w:t xml:space="preserve">---- </w:t>
      </w:r>
      <w:proofErr w:type="gramStart"/>
      <w:r>
        <w:t>insert</w:t>
      </w:r>
      <w:proofErr w:type="gramEnd"/>
      <w:r>
        <w:t xml:space="preserve"> </w:t>
      </w:r>
      <w:r w:rsidR="009D0C27">
        <w:t>Figure 1 about here</w:t>
      </w:r>
      <w:r>
        <w:t xml:space="preserve"> ----</w:t>
      </w:r>
    </w:p>
    <w:p w14:paraId="19DCE801" w14:textId="77777777" w:rsidR="00FF223B" w:rsidRDefault="00FF223B" w:rsidP="00FF223B"/>
    <w:p w14:paraId="4ABD2CC7" w14:textId="77777777" w:rsidR="00FF223B" w:rsidRPr="00AE0349" w:rsidRDefault="00FF223B" w:rsidP="00FF223B">
      <w:r w:rsidRPr="00AE0349">
        <w:t>We start the analysis by considering the three components of Bernstein’s pedagogic device: the rules for the distribution, recontextualisation and evaluation.</w:t>
      </w:r>
    </w:p>
    <w:p w14:paraId="566BB3E5" w14:textId="77777777" w:rsidR="00FF223B" w:rsidRDefault="00FF223B" w:rsidP="00FF223B">
      <w:pPr>
        <w:rPr>
          <w:u w:val="single"/>
        </w:rPr>
      </w:pPr>
    </w:p>
    <w:p w14:paraId="7CE13DB7" w14:textId="77777777" w:rsidR="00FF223B" w:rsidRPr="00650EB7" w:rsidRDefault="00FF223B" w:rsidP="00650EB7">
      <w:pPr>
        <w:pStyle w:val="Heading4"/>
        <w:rPr>
          <w:lang w:val="en-GB"/>
        </w:rPr>
      </w:pPr>
      <w:r w:rsidRPr="00650EB7">
        <w:t xml:space="preserve">Distribution </w:t>
      </w:r>
    </w:p>
    <w:p w14:paraId="68099A67" w14:textId="549E8764" w:rsidR="00FF223B" w:rsidRPr="007A565E" w:rsidRDefault="00FF223B" w:rsidP="00FF223B">
      <w:pPr>
        <w:rPr>
          <w:rFonts w:ascii="Helvetica" w:eastAsia="Times New Roman" w:hAnsi="Helvetica"/>
          <w:sz w:val="18"/>
          <w:szCs w:val="18"/>
          <w:lang w:val="en-GB" w:eastAsia="en-US"/>
        </w:rPr>
      </w:pPr>
      <w:r w:rsidRPr="00CB23BD">
        <w:t>PISA’s discourse of mathematics has restyled mathematics as “mat</w:t>
      </w:r>
      <w:r w:rsidR="002146DE">
        <w:t>hematical literacy”, defined as</w:t>
      </w:r>
      <w:r w:rsidR="007A565E">
        <w:t xml:space="preserve"> the capacity to use mathematics in context </w:t>
      </w:r>
      <w:r w:rsidRPr="00CB23BD">
        <w:t>rather than</w:t>
      </w:r>
      <w:r w:rsidR="002146DE">
        <w:t xml:space="preserve"> as dealing</w:t>
      </w:r>
      <w:r w:rsidRPr="00CB23BD">
        <w:t xml:space="preserve"> directly with the knowledge and skills of school mathematics. This distinguishes a particular form of knowledge and order of meanings to be within the domain of the PISA regime: knowledge is neither the abstract, esoteric knowledge of school mathematics (or indeed that of the field of production in the academy) nor is it strictly everyday knowledge but is the adaptation of school mathematics knowledge to the</w:t>
      </w:r>
      <w:r w:rsidR="00660B8B" w:rsidRPr="00660B8B">
        <w:t xml:space="preserve"> </w:t>
      </w:r>
      <w:r w:rsidR="00660B8B" w:rsidRPr="00CB23BD">
        <w:t>situations of citizenship and consumption</w:t>
      </w:r>
      <w:r w:rsidRPr="00CB23BD">
        <w:t xml:space="preserve"> </w:t>
      </w:r>
      <w:r w:rsidR="00660B8B">
        <w:t xml:space="preserve">encountered in </w:t>
      </w:r>
      <w:r w:rsidRPr="00CB23BD">
        <w:t>“</w:t>
      </w:r>
      <w:r w:rsidR="00660B8B">
        <w:t>the world</w:t>
      </w:r>
      <w:r w:rsidRPr="00CB23BD">
        <w:t xml:space="preserve">”. The PISA assessment scheme further classifies </w:t>
      </w:r>
      <w:r w:rsidR="00196F85">
        <w:t>contexts</w:t>
      </w:r>
      <w:r w:rsidRPr="00CB23BD">
        <w:t xml:space="preserve"> into </w:t>
      </w:r>
      <w:r>
        <w:t>four</w:t>
      </w:r>
      <w:r w:rsidRPr="00CB23BD">
        <w:t xml:space="preserve"> categories of </w:t>
      </w:r>
      <w:r>
        <w:t xml:space="preserve"> “situation type”</w:t>
      </w:r>
      <w:r w:rsidRPr="00CB23BD">
        <w:t xml:space="preserve"> that are represented at the level of assessment items as personal, educational</w:t>
      </w:r>
      <w:r>
        <w:t>/</w:t>
      </w:r>
      <w:r w:rsidRPr="00CB23BD">
        <w:t>occupational</w:t>
      </w:r>
      <w:r>
        <w:t xml:space="preserve"> (defined as “school life, work life and leisure”)</w:t>
      </w:r>
      <w:r w:rsidRPr="00CB23BD">
        <w:t>, public (related to the local community or society), or scientific</w:t>
      </w:r>
      <w:r>
        <w:t xml:space="preserve"> (concerning mathematics itself or the use of mathematics in other academic fields). These situation types are described as being in order of increasing “distance from the students”</w:t>
      </w:r>
      <w:r w:rsidRPr="00CB23BD">
        <w:t xml:space="preserve"> </w:t>
      </w:r>
      <w:r w:rsidR="000B54AF">
        <w:rPr>
          <w:noProof/>
        </w:rPr>
        <w:t>(OECD, 2013, p.32)</w:t>
      </w:r>
      <w:r>
        <w:t>, thereby proposing possible identities and trajectories for individuals and groups</w:t>
      </w:r>
      <w:r w:rsidRPr="00CB23BD">
        <w:t>. The item we have chosen to illustrate our analytic approach is an example of a public situation. It has a structure common to PISA items: a stem presenting the student with information about a “real-life situation”; a set of questions related to this context; and a scoring rubric for each question indicating for the assessor how they should allocate marks to student answers.</w:t>
      </w:r>
      <w:r>
        <w:t xml:space="preserve"> In this case, the stem of the question seems to draw on a genre of popular science magazines, referencing the authority of “many scientists” as a justification for the relevance of the topic of CO</w:t>
      </w:r>
      <w:r>
        <w:rPr>
          <w:vertAlign w:val="subscript"/>
        </w:rPr>
        <w:t>2</w:t>
      </w:r>
      <w:r>
        <w:t xml:space="preserve"> emissions. The graphical representation, while related in some ways to conventional representations that may have been encountered within the school curriculum, also has non-standard features (e.g. lack of an explicit vertical axis, combination of representations of absolute and relative measures on the same diagram); again, the idiosyncratic form of visual representation is characteristic of popular science media. The question is thus initially framed as concerning forms of knowledge available to the readership of such magazines (possibly educated middle class) rather than the knowledge of school mathematics.</w:t>
      </w:r>
    </w:p>
    <w:p w14:paraId="5375443F" w14:textId="77777777" w:rsidR="00FF223B" w:rsidRPr="00CB23BD" w:rsidRDefault="00FF223B" w:rsidP="00650EB7">
      <w:pPr>
        <w:pStyle w:val="Heading4"/>
        <w:rPr>
          <w:lang w:val="en-GB"/>
        </w:rPr>
      </w:pPr>
      <w:r w:rsidRPr="00CB23BD">
        <w:t xml:space="preserve">Recontextualisation </w:t>
      </w:r>
    </w:p>
    <w:p w14:paraId="54C81521" w14:textId="60BCD8C6" w:rsidR="00FF223B" w:rsidRDefault="00FF223B" w:rsidP="00FF223B">
      <w:r>
        <w:t xml:space="preserve">While the stem of the item </w:t>
      </w:r>
      <w:r w:rsidRPr="00E75872">
        <w:t xml:space="preserve">might best be described as an instance of popular science discourse, </w:t>
      </w:r>
      <w:r>
        <w:t>presenting quantified information about an environmental issue that might be interpreted as related to national and international policy and citizenship concerns, as the item starts to pose specific questions the knowledge that the student is required to demonstrate</w:t>
      </w:r>
      <w:r w:rsidRPr="00E75872">
        <w:t xml:space="preserve"> quickly moves away from the scientific and real world reference, engaging them with a ‘pure’ mathematical calculation.</w:t>
      </w:r>
      <w:r>
        <w:t xml:space="preserve"> </w:t>
      </w:r>
      <w:r w:rsidRPr="004E6ABD">
        <w:t xml:space="preserve">Even </w:t>
      </w:r>
      <w:r>
        <w:t>in part 44.1</w:t>
      </w:r>
      <w:r w:rsidRPr="004E6ABD">
        <w:t xml:space="preserve">, however, the student’s task is not simply to calculate but to “show the calculation to </w:t>
      </w:r>
      <w:proofErr w:type="gramStart"/>
      <w:r w:rsidRPr="004E6ABD">
        <w:t>demonstrate ...</w:t>
      </w:r>
      <w:proofErr w:type="gramEnd"/>
      <w:r w:rsidRPr="004E6ABD">
        <w:t xml:space="preserve">”. The statement of this task suggests that the activities demanded of the student are </w:t>
      </w:r>
      <w:r w:rsidRPr="004E6ABD">
        <w:lastRenderedPageBreak/>
        <w:t>communication (</w:t>
      </w:r>
      <w:r w:rsidRPr="00C02EDD">
        <w:rPr>
          <w:i/>
        </w:rPr>
        <w:t>show</w:t>
      </w:r>
      <w:r w:rsidRPr="004E6ABD">
        <w:t xml:space="preserve">, </w:t>
      </w:r>
      <w:r w:rsidRPr="00C02EDD">
        <w:rPr>
          <w:i/>
        </w:rPr>
        <w:t>demonstrate</w:t>
      </w:r>
      <w:r w:rsidRPr="004E6ABD">
        <w:t xml:space="preserve">), while the </w:t>
      </w:r>
      <w:proofErr w:type="spellStart"/>
      <w:r w:rsidRPr="004E6ABD">
        <w:t>nominalisation</w:t>
      </w:r>
      <w:proofErr w:type="spellEnd"/>
      <w:r w:rsidRPr="004E6ABD">
        <w:t xml:space="preserve"> </w:t>
      </w:r>
      <w:r w:rsidRPr="009A221F">
        <w:rPr>
          <w:i/>
        </w:rPr>
        <w:t>calculation</w:t>
      </w:r>
      <w:r w:rsidRPr="004E6ABD">
        <w:t xml:space="preserve"> presents the </w:t>
      </w:r>
      <w:r w:rsidR="00196F85">
        <w:t xml:space="preserve">mathematical </w:t>
      </w:r>
      <w:r w:rsidRPr="004E6ABD">
        <w:t>process</w:t>
      </w:r>
      <w:r w:rsidR="00196F85">
        <w:t xml:space="preserve"> of calculating</w:t>
      </w:r>
      <w:r w:rsidRPr="004E6ABD">
        <w:t xml:space="preserve"> as an agent-less object. The 11% result of this calculation is obtained using the passive voice, again obscuring agency. Thus, the student is distanced from the mathematical performance (“the calculation” is presented as having an unproblematic existence) and communication</w:t>
      </w:r>
      <w:r w:rsidR="00196F85">
        <w:t xml:space="preserve"> appears to be the privileged activity</w:t>
      </w:r>
      <w:r w:rsidRPr="004E6ABD">
        <w:t xml:space="preserve">. Despite this, as the rubric shows, in order to earn full credit the student must actually perform the necessary calculations correctly. </w:t>
      </w:r>
      <w:r w:rsidR="00196F85">
        <w:t>On the one hand</w:t>
      </w:r>
      <w:r w:rsidRPr="004E6ABD">
        <w:t xml:space="preserve">, marks are deducted if the student offers correct arithmetic expressions but calculates incorrectly – thus contradicting the distancing from calculation created by the question itself. </w:t>
      </w:r>
      <w:r w:rsidR="00196F85">
        <w:t>On the other hand, most</w:t>
      </w:r>
      <w:r w:rsidR="00196F85" w:rsidRPr="004E6ABD">
        <w:t xml:space="preserve"> </w:t>
      </w:r>
      <w:r w:rsidRPr="004E6ABD">
        <w:t xml:space="preserve">tellingly, </w:t>
      </w:r>
      <w:r w:rsidR="00BD633B">
        <w:t xml:space="preserve">partial </w:t>
      </w:r>
      <w:r w:rsidRPr="004E6ABD">
        <w:t>marks are allocated for correct calculations, even where</w:t>
      </w:r>
      <w:r w:rsidR="00196F85">
        <w:t xml:space="preserve"> the student has proposed an</w:t>
      </w:r>
      <w:r w:rsidRPr="004E6ABD">
        <w:t xml:space="preserve"> </w:t>
      </w:r>
      <w:r w:rsidR="00196F85">
        <w:t xml:space="preserve">inappropriate </w:t>
      </w:r>
      <w:r w:rsidRPr="004E6ABD">
        <w:t xml:space="preserve">arithmetic </w:t>
      </w:r>
      <w:r w:rsidR="00BD633B">
        <w:t>formulation (for example dividing by the wrong value when calculating percentage change)</w:t>
      </w:r>
      <w:r>
        <w:t>, thus contradicting the apparent valuing of correspondence to the “real world”</w:t>
      </w:r>
      <w:r w:rsidRPr="004E6ABD">
        <w:t>.</w:t>
      </w:r>
    </w:p>
    <w:p w14:paraId="1ADF7094" w14:textId="77777777" w:rsidR="00FF223B" w:rsidRDefault="00FF223B" w:rsidP="00FF223B">
      <w:r w:rsidRPr="00CB23BD">
        <w:t xml:space="preserve">In part 44.2, a narrative is introduced involving not only the information provided in the item stem but also knowledge of national and international citizenship – state membership of the EU. This is followed by </w:t>
      </w:r>
      <w:r w:rsidR="00963B78">
        <w:t>the question</w:t>
      </w:r>
      <w:r w:rsidRPr="00CB23BD">
        <w:t>: “Do you agree with Mandy when she says this is not possible? Give an explanation to support your answer”. The validity of the response cited in the assessor’s rubric depends on whether the lexical marker “possible” is taken to mean “possible in principle” (the ‘of necessity’ interpretation) or “possible in fact” (the ‘contingent’ interpretation). If the first, then Mandy is wrong precisely for the reason given in the rubric. However, there could be other evidence, external to the information provided in the item, that would give reason to believe that, for the specified period, the net change of the EU’s CO</w:t>
      </w:r>
      <w:r w:rsidRPr="00CB23BD">
        <w:rPr>
          <w:vertAlign w:val="subscript"/>
        </w:rPr>
        <w:t>2</w:t>
      </w:r>
      <w:r w:rsidRPr="00CB23BD">
        <w:t xml:space="preserve"> emissions, excluding those of The Netherlands and Germany in this period, was negative, or at least less than a total increase of 4 million tons (this quantity being the salient difference between the decline of the EU total output of CO</w:t>
      </w:r>
      <w:r w:rsidRPr="00CB23BD">
        <w:rPr>
          <w:vertAlign w:val="subscript"/>
        </w:rPr>
        <w:t>2</w:t>
      </w:r>
      <w:r w:rsidRPr="00CB23BD">
        <w:t xml:space="preserve"> in this period and the net decline in output of Germany and The Netherlands combined). An answer based on such external knowledge would not receive any credit – despite entirely corresponding to the “real-world” reality. The allocation of marks privileges abstract necessity over real world contingency.</w:t>
      </w:r>
    </w:p>
    <w:p w14:paraId="08EE8C3A" w14:textId="77777777" w:rsidR="00FF223B" w:rsidRPr="00CB23BD" w:rsidRDefault="00FF223B" w:rsidP="00FF223B">
      <w:pPr>
        <w:rPr>
          <w:lang w:val="en-GB"/>
        </w:rPr>
      </w:pPr>
      <w:r>
        <w:t>Again in part 44.3, in spite of the apparent focus on a “discussion</w:t>
      </w:r>
      <w:r w:rsidR="00963B78">
        <w:t xml:space="preserve">”, the </w:t>
      </w:r>
      <w:r>
        <w:t>scoring rubric makes it clear that only “mathematical” approaches that draw on the information provided in the item may be considered valid. Other possible lines of argument, such as drawing on knowledge or evidence exterior to the question (which could certainly be considered valid in some “real-world” discussions), are excluded.</w:t>
      </w:r>
    </w:p>
    <w:p w14:paraId="428631DC" w14:textId="0268AF63" w:rsidR="00FF223B" w:rsidRPr="00CB23BD" w:rsidRDefault="00FF223B" w:rsidP="00FF223B">
      <w:pPr>
        <w:rPr>
          <w:lang w:val="en-GB"/>
        </w:rPr>
      </w:pPr>
      <w:r w:rsidRPr="00CB23BD">
        <w:t xml:space="preserve">In </w:t>
      </w:r>
      <w:r>
        <w:t>all</w:t>
      </w:r>
      <w:r w:rsidRPr="00CB23BD">
        <w:t xml:space="preserve"> parts of the question, therefore, allocation of the full score depends on the student </w:t>
      </w:r>
      <w:proofErr w:type="spellStart"/>
      <w:r w:rsidRPr="00CB23BD">
        <w:t>recognising</w:t>
      </w:r>
      <w:proofErr w:type="spellEnd"/>
      <w:r w:rsidRPr="00CB23BD">
        <w:t xml:space="preserve"> the hidden assumptions</w:t>
      </w:r>
      <w:r>
        <w:t xml:space="preserve"> embedded in the recontextualisation of mathematical knowledge in this assessment task, and which </w:t>
      </w:r>
      <w:r w:rsidRPr="00CB23BD">
        <w:t xml:space="preserve">contradict the apparent valuing of real world knowledge and the explicit privileging of communication over performance. This analysis is consistent with that offered by Cooper and Dunne (2000) of assessment items from UK national tests. </w:t>
      </w:r>
      <w:r w:rsidR="004B2A96">
        <w:t xml:space="preserve">Responses that in the actual “real world” context might be considered valid are not legitimated by the PISA assessment scheme unless they make use of the kind of mathematics found in the school curriculum. </w:t>
      </w:r>
      <w:r w:rsidRPr="00CB23BD">
        <w:t xml:space="preserve">In spite of PISA’s denial that they are assessing the knowledge and skills of school mathematics, it is these knowledge and skills that are valued by the marking rubric. </w:t>
      </w:r>
    </w:p>
    <w:p w14:paraId="3133A5E1" w14:textId="77777777" w:rsidR="00FF223B" w:rsidRPr="00CB23BD" w:rsidRDefault="00FF223B" w:rsidP="00656A5E">
      <w:pPr>
        <w:pStyle w:val="Heading4"/>
        <w:rPr>
          <w:lang w:val="en-GB"/>
        </w:rPr>
      </w:pPr>
      <w:r w:rsidRPr="00CB23BD">
        <w:t xml:space="preserve">Evaluation  </w:t>
      </w:r>
    </w:p>
    <w:p w14:paraId="256F843A" w14:textId="00918C4F" w:rsidR="00FF223B" w:rsidRPr="00CB23BD" w:rsidRDefault="00FF223B" w:rsidP="00FF223B">
      <w:pPr>
        <w:rPr>
          <w:lang w:val="en-GB"/>
        </w:rPr>
      </w:pPr>
      <w:r w:rsidRPr="00CB23BD">
        <w:t xml:space="preserve">Question 44.1 begins: “In the diagram you can </w:t>
      </w:r>
      <w:proofErr w:type="gramStart"/>
      <w:r w:rsidRPr="00CB23BD">
        <w:t>read ...</w:t>
      </w:r>
      <w:proofErr w:type="gramEnd"/>
      <w:r w:rsidRPr="00CB23BD">
        <w:t xml:space="preserve">”. Here the student is addressed directly as an apparently successful student who is able to interpret the diagram as required. This particular “you” may be read as the general “one” of more formal speech. Yet, simultaneously, the heightened modality of “you can read” and the fact that the correct interpretation is explicitly provided, opens up the possibility that a particular “you” actually is not able to “read” as stated, and therefore needs the help implicitly offered in order to answer the question. This “you”, a second “you”, brings to the </w:t>
      </w:r>
      <w:r w:rsidRPr="00CB23BD">
        <w:lastRenderedPageBreak/>
        <w:t>question a real “you”, a personal “you”, one that might be taken by the student as “me”. The student then faces the instruction “</w:t>
      </w:r>
      <w:proofErr w:type="gramStart"/>
      <w:r w:rsidRPr="00CB23BD">
        <w:t>Show ...</w:t>
      </w:r>
      <w:proofErr w:type="gramEnd"/>
      <w:r w:rsidRPr="00CB23BD">
        <w:t>”. This, together with the use of the definite article “the calculation” suggesting a single possible correct answer, is a common formulation within traditional forms of pedagogy and thus, by making the evaluation criteria more or less explicit, begins to demonstrate how the individual student is intended to negotiate their identity in the face of ambiguity among these possible “</w:t>
      </w:r>
      <w:proofErr w:type="spellStart"/>
      <w:r w:rsidRPr="00CB23BD">
        <w:t>you</w:t>
      </w:r>
      <w:r w:rsidR="00D853FB">
        <w:t>”</w:t>
      </w:r>
      <w:r w:rsidRPr="00CB23BD">
        <w:t>s</w:t>
      </w:r>
      <w:proofErr w:type="spellEnd"/>
      <w:r w:rsidRPr="00CB23BD">
        <w:t xml:space="preserve">. </w:t>
      </w:r>
    </w:p>
    <w:p w14:paraId="42307698" w14:textId="071763B3" w:rsidR="00FF223B" w:rsidRDefault="00FF223B" w:rsidP="00FF223B">
      <w:r w:rsidRPr="00CB23BD">
        <w:t xml:space="preserve">In contrast, part 44.2 does not demand that the student engage with an explicitly mathematical task. Instead a hypothetical “Mandy” is introduced – named informally by her first name and hence presumably to be taken as a peer or fellow student with whom the student is expected </w:t>
      </w:r>
      <w:r>
        <w:t xml:space="preserve">to </w:t>
      </w:r>
      <w:r w:rsidRPr="00CB23BD">
        <w:t xml:space="preserve">identify. The student is asked to express an opinion, passing judgment on Mandy’s claim to have found a mistake, and to explain this opinion. This extends the domain of the instructional </w:t>
      </w:r>
      <w:r w:rsidR="00370DE0">
        <w:t xml:space="preserve">dimension of </w:t>
      </w:r>
      <w:r w:rsidRPr="00CB23BD">
        <w:t xml:space="preserve">discourse beyond the mathematical skills of reading a diagram and performing a calculation to reasoning and argumentation. At the same time, the regulative </w:t>
      </w:r>
      <w:r>
        <w:t xml:space="preserve">dimension of </w:t>
      </w:r>
      <w:r w:rsidRPr="00CB23BD">
        <w:t>discourse demands that the student should engage with others (even though only hypothetically in this test situation), not just participate as an individual</w:t>
      </w:r>
      <w:r w:rsidR="00E5170A">
        <w:rPr>
          <w:rStyle w:val="FootnoteReference"/>
        </w:rPr>
        <w:footnoteReference w:id="5"/>
      </w:r>
      <w:r w:rsidRPr="00CB23BD">
        <w:t xml:space="preserve">. The student is apparently afforded some authority in relation to the content and to her peers. This authority is, however, illusory, as the student’s judgment is only validated if it conforms to the “correct argumentation” indicated in the rubric. </w:t>
      </w:r>
      <w:r>
        <w:t>Similarly, in part 44.3, the single correct answer demanded by the scoring rubric is not signaled unambiguously to the student, who is invited to “give two possible ‘correct’ answers”. In this case again the absence of a definite article allows the possibility of more than two valid possibilities, while the inverted commas around “correct” marks it as contingent and unlike school mathematics where there may only be one interpretation of ‘correctness’.</w:t>
      </w:r>
    </w:p>
    <w:p w14:paraId="584270AC" w14:textId="77777777" w:rsidR="00FF223B" w:rsidRDefault="00FF223B" w:rsidP="00FF223B">
      <w:r>
        <w:t xml:space="preserve">This task, therefore, embodies a form of pedagogic practice that has apparently contradictory criteria of evaluation. In the instructional discourse the student is addressed directly, as if free to express her own opinion, yet the criterion of evaluation (there is only one correct answer) is explicit and (if sample scoring rubrics such as these are shared by teachers and students) is likely to regulate the student’s response. In contrast, the regulative dimension of the discourse seems to position the student as one who can engage in argumentation and pass </w:t>
      </w:r>
      <w:proofErr w:type="spellStart"/>
      <w:r>
        <w:t>judgement</w:t>
      </w:r>
      <w:proofErr w:type="spellEnd"/>
      <w:r>
        <w:t xml:space="preserve"> on her peers. It appears, therefore, as if she is afforded some degree of authority in relation to the content and the process. While the contradictory criteria might be confusing and intimidating for some students, depending on their social characteristics and school/learning experiences, the strengthened components of the regulative dimensions of discourse might be indicative of an emergent modality of pedagogy that involves also the project of identity change (and </w:t>
      </w:r>
      <w:proofErr w:type="spellStart"/>
      <w:r>
        <w:t>subjectivation</w:t>
      </w:r>
      <w:proofErr w:type="spellEnd"/>
      <w:r>
        <w:t xml:space="preserve">); “ a project to shape the subjectivities, to create a citizen/consumer that increasingly ‘governs itself’ in the desired ways” </w:t>
      </w:r>
      <w:r w:rsidRPr="00656A5E">
        <w:t>(Beck, 2008, 132).</w:t>
      </w:r>
      <w:r>
        <w:t xml:space="preserve"> </w:t>
      </w:r>
    </w:p>
    <w:p w14:paraId="07E94CF5" w14:textId="77777777" w:rsidR="00FF223B" w:rsidRPr="009322CE" w:rsidRDefault="00C02EDD" w:rsidP="009D78EA">
      <w:pPr>
        <w:pStyle w:val="Heading3"/>
      </w:pPr>
      <w:r>
        <w:t>Towards analysis of practices of the self</w:t>
      </w:r>
    </w:p>
    <w:p w14:paraId="1C39F7A5" w14:textId="72D522BA" w:rsidR="00FF223B" w:rsidRDefault="00FF223B" w:rsidP="00FF223B">
      <w:pPr>
        <w:outlineLvl w:val="0"/>
      </w:pPr>
      <w:r>
        <w:t xml:space="preserve">As previously stated, the main purpose of this paper is to </w:t>
      </w:r>
      <w:r w:rsidR="007B1033">
        <w:t xml:space="preserve">develop an approach to </w:t>
      </w:r>
      <w:proofErr w:type="spellStart"/>
      <w:r>
        <w:t>analyse</w:t>
      </w:r>
      <w:proofErr w:type="spellEnd"/>
      <w:r>
        <w:t xml:space="preserve"> the </w:t>
      </w:r>
      <w:r w:rsidR="00C02EDD">
        <w:t xml:space="preserve">knowledge </w:t>
      </w:r>
      <w:r>
        <w:t>structure</w:t>
      </w:r>
      <w:r w:rsidR="00C02EDD">
        <w:t>s</w:t>
      </w:r>
      <w:r>
        <w:t xml:space="preserve"> of the PISA </w:t>
      </w:r>
      <w:r w:rsidR="005F4232">
        <w:t xml:space="preserve">mathematics </w:t>
      </w:r>
      <w:r>
        <w:t xml:space="preserve">regime, and </w:t>
      </w:r>
      <w:r w:rsidR="00C02EDD">
        <w:t xml:space="preserve">to </w:t>
      </w:r>
      <w:r>
        <w:t xml:space="preserve">identify the tactics whereby individuals are recruited within it. Thus far we have argued that Bernstein’s perspective provides recourse to techniques to </w:t>
      </w:r>
      <w:r w:rsidR="00C02EDD">
        <w:t xml:space="preserve">make visible </w:t>
      </w:r>
      <w:r>
        <w:t>the “</w:t>
      </w:r>
      <w:proofErr w:type="spellStart"/>
      <w:r w:rsidRPr="007A6AF6">
        <w:rPr>
          <w:i/>
        </w:rPr>
        <w:t>instrin</w:t>
      </w:r>
      <w:r w:rsidR="00D81E38">
        <w:rPr>
          <w:i/>
        </w:rPr>
        <w:t>s</w:t>
      </w:r>
      <w:r w:rsidRPr="007A6AF6">
        <w:rPr>
          <w:i/>
        </w:rPr>
        <w:t>ic</w:t>
      </w:r>
      <w:proofErr w:type="spellEnd"/>
      <w:r>
        <w:t xml:space="preserve"> grammar” (Bernstein, 2000, p</w:t>
      </w:r>
      <w:r w:rsidR="00264DE1">
        <w:t>.</w:t>
      </w:r>
      <w:r>
        <w:t xml:space="preserve">38) whereby the PISA </w:t>
      </w:r>
      <w:r w:rsidR="005F4232">
        <w:t xml:space="preserve">mathematics </w:t>
      </w:r>
      <w:r>
        <w:t xml:space="preserve">regime is produced as a body of pedagogic knowledge. </w:t>
      </w:r>
    </w:p>
    <w:p w14:paraId="76DE47F5" w14:textId="75A23679" w:rsidR="00FF223B" w:rsidRDefault="00FF223B" w:rsidP="00FF223B">
      <w:r>
        <w:lastRenderedPageBreak/>
        <w:t xml:space="preserve">This recalls Foucault’s </w:t>
      </w:r>
      <w:r w:rsidRPr="00656A5E">
        <w:t>(</w:t>
      </w:r>
      <w:r w:rsidR="00656A5E" w:rsidRPr="00656A5E">
        <w:t>1991</w:t>
      </w:r>
      <w:r w:rsidR="007F0FED">
        <w:t>a</w:t>
      </w:r>
      <w:r w:rsidRPr="00656A5E">
        <w:t>) n</w:t>
      </w:r>
      <w:r>
        <w:t xml:space="preserve">otion of </w:t>
      </w:r>
      <w:r w:rsidRPr="000F3033">
        <w:rPr>
          <w:i/>
        </w:rPr>
        <w:t>rationality</w:t>
      </w:r>
      <w:r>
        <w:t xml:space="preserve"> whereby the regularities of formative discourse are </w:t>
      </w:r>
      <w:proofErr w:type="spellStart"/>
      <w:r w:rsidR="0081316A">
        <w:t>analysed</w:t>
      </w:r>
      <w:proofErr w:type="spellEnd"/>
      <w:r w:rsidR="0081316A">
        <w:t xml:space="preserve"> according to two axes:</w:t>
      </w:r>
      <w:r>
        <w:t xml:space="preserve"> </w:t>
      </w:r>
    </w:p>
    <w:p w14:paraId="487B8C19" w14:textId="7B7DC417" w:rsidR="00FF223B" w:rsidRPr="000F3033" w:rsidRDefault="001D733C" w:rsidP="00134C8A">
      <w:pPr>
        <w:pStyle w:val="Quote"/>
        <w:ind w:left="720"/>
      </w:pPr>
      <w:proofErr w:type="gramStart"/>
      <w:r>
        <w:t>on</w:t>
      </w:r>
      <w:proofErr w:type="gramEnd"/>
      <w:r>
        <w:t xml:space="preserve"> the one hand, that of </w:t>
      </w:r>
      <w:r w:rsidR="00442AD1">
        <w:t>c</w:t>
      </w:r>
      <w:r w:rsidR="00442AD1" w:rsidRPr="00CB23BD">
        <w:t>odification</w:t>
      </w:r>
      <w:r w:rsidR="00FF223B" w:rsidRPr="00CB23BD">
        <w:t xml:space="preserve">/prescription (how it forms an ensemble of rules, procedures, means to an end, </w:t>
      </w:r>
      <w:r>
        <w:t>etc.</w:t>
      </w:r>
      <w:r w:rsidR="00FF223B" w:rsidRPr="00CB23BD">
        <w:t xml:space="preserve">), and on the other, </w:t>
      </w:r>
      <w:r>
        <w:t xml:space="preserve">that </w:t>
      </w:r>
      <w:r w:rsidR="00FF223B" w:rsidRPr="00CB23BD">
        <w:t xml:space="preserve">of true or false formulation (how </w:t>
      </w:r>
      <w:r w:rsidR="00442AD1">
        <w:t>it</w:t>
      </w:r>
      <w:r w:rsidR="00FF223B">
        <w:t xml:space="preserve"> determine</w:t>
      </w:r>
      <w:r w:rsidR="00442AD1">
        <w:t>s</w:t>
      </w:r>
      <w:r w:rsidR="00FF223B">
        <w:t xml:space="preserve"> </w:t>
      </w:r>
      <w:r w:rsidR="00FF223B" w:rsidRPr="00CB23BD">
        <w:t>a domain of objects about which it is possible to articulate true or false propositions).</w:t>
      </w:r>
      <w:r w:rsidR="00FF223B">
        <w:t xml:space="preserve"> (</w:t>
      </w:r>
      <w:proofErr w:type="gramStart"/>
      <w:r w:rsidR="00FF223B">
        <w:t>p</w:t>
      </w:r>
      <w:proofErr w:type="gramEnd"/>
      <w:r w:rsidR="00264DE1">
        <w:t>.</w:t>
      </w:r>
      <w:r w:rsidR="00656A5E">
        <w:t>79</w:t>
      </w:r>
      <w:r w:rsidR="00FF223B">
        <w:t>)</w:t>
      </w:r>
    </w:p>
    <w:p w14:paraId="46BA6BEE" w14:textId="33F575BA" w:rsidR="00E3593A" w:rsidRDefault="00FF223B" w:rsidP="000E119E">
      <w:pPr>
        <w:outlineLvl w:val="0"/>
      </w:pPr>
      <w:r>
        <w:t xml:space="preserve">This perspective helps to examine how knowledge effects </w:t>
      </w:r>
      <w:r w:rsidRPr="009908C7">
        <w:rPr>
          <w:i/>
        </w:rPr>
        <w:t>in their specificity</w:t>
      </w:r>
      <w:r>
        <w:t xml:space="preserve"> can illuminate how individuals are encouraged to take up these effects.  Following Foucault’s later work, Bernstein-inspired critique </w:t>
      </w:r>
      <w:r w:rsidR="009D78EA">
        <w:t xml:space="preserve">needs to </w:t>
      </w:r>
      <w:r>
        <w:t xml:space="preserve">be enriched in ways that enable researchers to explain </w:t>
      </w:r>
      <w:proofErr w:type="spellStart"/>
      <w:r>
        <w:t>agentic</w:t>
      </w:r>
      <w:proofErr w:type="spellEnd"/>
      <w:r>
        <w:t xml:space="preserve"> resistance to the PISA</w:t>
      </w:r>
      <w:r w:rsidR="005F4232" w:rsidRPr="005F4232">
        <w:t xml:space="preserve"> </w:t>
      </w:r>
      <w:r w:rsidR="005F4232">
        <w:t>mathematics</w:t>
      </w:r>
      <w:r>
        <w:t xml:space="preserve"> regime based on the rationality of PISA, not merely its negation. </w:t>
      </w:r>
    </w:p>
    <w:p w14:paraId="78CB62EC" w14:textId="77777777" w:rsidR="00507AD2" w:rsidRDefault="00FF223B" w:rsidP="000E119E">
      <w:pPr>
        <w:outlineLvl w:val="0"/>
      </w:pPr>
      <w:r>
        <w:t>Before proceeding it is important to clarify Foucault’s idea of rationality</w:t>
      </w:r>
      <w:r w:rsidR="000E119E">
        <w:t xml:space="preserve"> which does not refer to an inner coherence of discourse, </w:t>
      </w:r>
      <w:r w:rsidR="00E3593A">
        <w:t>requiring from the researcher to uncover a single coherent truth and to provide explanations in t</w:t>
      </w:r>
      <w:r w:rsidR="00507AD2">
        <w:t>erms of causality or structure</w:t>
      </w:r>
      <w:r w:rsidR="0005485C">
        <w:t>.</w:t>
      </w:r>
      <w:r w:rsidR="00507AD2">
        <w:t xml:space="preserve"> </w:t>
      </w:r>
      <w:r w:rsidR="00507AD2" w:rsidRPr="00656A5E">
        <w:t>Foucault</w:t>
      </w:r>
      <w:r w:rsidR="0005485C" w:rsidRPr="00656A5E">
        <w:t xml:space="preserve"> (</w:t>
      </w:r>
      <w:r w:rsidR="00507AD2" w:rsidRPr="00656A5E">
        <w:t>1991</w:t>
      </w:r>
      <w:r w:rsidR="007F0FED">
        <w:t>a</w:t>
      </w:r>
      <w:r w:rsidR="00507AD2" w:rsidRPr="00656A5E">
        <w:t>)</w:t>
      </w:r>
      <w:r w:rsidR="00507AD2">
        <w:t xml:space="preserve"> himself states:</w:t>
      </w:r>
    </w:p>
    <w:p w14:paraId="2D9EF34B" w14:textId="22D88D62" w:rsidR="00507AD2" w:rsidRDefault="00507AD2" w:rsidP="000E119E">
      <w:pPr>
        <w:outlineLvl w:val="0"/>
      </w:pPr>
      <w:r>
        <w:tab/>
      </w:r>
      <w:r w:rsidR="00A63900">
        <w:t>I don’t believe one can speak of an intrinsic notion of ‘</w:t>
      </w:r>
      <w:proofErr w:type="spellStart"/>
      <w:r w:rsidR="00A63900">
        <w:t>rationalisation</w:t>
      </w:r>
      <w:proofErr w:type="spellEnd"/>
      <w:r w:rsidR="00A63900">
        <w:t xml:space="preserve">’ without on the one </w:t>
      </w:r>
      <w:r w:rsidR="00A63900">
        <w:tab/>
        <w:t xml:space="preserve">hand positing an absolute value inherent in reason, and on the other taking the risk of </w:t>
      </w:r>
      <w:r w:rsidR="00A63900">
        <w:tab/>
        <w:t xml:space="preserve">applying the term empirically in a completely arbitrary way. I think one must restrict one’s </w:t>
      </w:r>
      <w:r w:rsidR="00A63900">
        <w:tab/>
        <w:t xml:space="preserve">use of this word to an instrumental and relative meaning. The ceremony of public torture </w:t>
      </w:r>
      <w:r w:rsidR="00A63900">
        <w:tab/>
        <w:t xml:space="preserve">isn’t in itself more rational than imprisonment in a cell; but it’s irrational in terms of a type </w:t>
      </w:r>
      <w:r w:rsidR="00A63900">
        <w:tab/>
        <w:t xml:space="preserve">of penal practice which involves new ways of envisaging the effects to be produced by the </w:t>
      </w:r>
      <w:r w:rsidR="00A63900">
        <w:tab/>
        <w:t xml:space="preserve">penalty imposed, new ways of calculating its utility, justifying it, graduating it, etc. One </w:t>
      </w:r>
      <w:r w:rsidR="00A63900">
        <w:tab/>
        <w:t xml:space="preserve">isn’t assessing things in terms of an absolute against which they could be evaluated as </w:t>
      </w:r>
      <w:r w:rsidR="00A63900">
        <w:tab/>
        <w:t xml:space="preserve">constituting more or less perfect forms of rationality, but rather examining how forms of </w:t>
      </w:r>
      <w:r w:rsidR="00A63900">
        <w:tab/>
        <w:t xml:space="preserve">rationality inscribe themselves in practices, and what role they play within them, because </w:t>
      </w:r>
      <w:r w:rsidR="00A63900">
        <w:tab/>
        <w:t>it’s true that ‘practices’ don’t exist without a certain regime of rationality (p.79)</w:t>
      </w:r>
    </w:p>
    <w:p w14:paraId="45E84BF4" w14:textId="3C107762" w:rsidR="00C02EDD" w:rsidRDefault="00FF223B" w:rsidP="00FF223B">
      <w:r>
        <w:t>There are two crucial differences between the accounts of Bernstein and Foucault.  Bernstein takes his analyses as revealing the “</w:t>
      </w:r>
      <w:r w:rsidRPr="00FE06E6">
        <w:rPr>
          <w:i/>
        </w:rPr>
        <w:t>hidden voice</w:t>
      </w:r>
      <w:r>
        <w:t xml:space="preserve"> of pedagogic discourse” (Bernstein, 2000, p 38). This predisposes his analyses to </w:t>
      </w:r>
      <w:r w:rsidR="00C02EDD">
        <w:t>conclude that the self-regulated subject is essentially an expression of neo-liberal discourse formed within the PISA regime. This conclusion is common</w:t>
      </w:r>
      <w:r w:rsidR="001A790F">
        <w:t>, als</w:t>
      </w:r>
      <w:r w:rsidR="00CF429C">
        <w:t>o,</w:t>
      </w:r>
      <w:r w:rsidR="00C02EDD">
        <w:t xml:space="preserve"> to the fourth mode of critique identified earlier</w:t>
      </w:r>
      <w:r w:rsidR="003F2C5B">
        <w:t>, wit</w:t>
      </w:r>
      <w:r w:rsidR="00A4448A">
        <w:t>h its focus on PISA’s role in “</w:t>
      </w:r>
      <w:r w:rsidR="003F2C5B">
        <w:t>soft-governance”</w:t>
      </w:r>
      <w:r>
        <w:t xml:space="preserve">.  Foucault’s perspective would expressly reject </w:t>
      </w:r>
      <w:r w:rsidR="00C02EDD">
        <w:t xml:space="preserve">the </w:t>
      </w:r>
      <w:proofErr w:type="spellStart"/>
      <w:r w:rsidR="00C02EDD">
        <w:t>uni</w:t>
      </w:r>
      <w:proofErr w:type="spellEnd"/>
      <w:r w:rsidR="00C02EDD">
        <w:t>-directional nature of such a conclusion</w:t>
      </w:r>
      <w:r>
        <w:t>.</w:t>
      </w:r>
      <w:r w:rsidR="00C02EDD">
        <w:t xml:space="preserve"> </w:t>
      </w:r>
      <w:r w:rsidR="000B058E">
        <w:t>Rather it would recognize a bi-directional relationship between the rationality of a discourse and its productivity – the possibilities it opens up for alternative</w:t>
      </w:r>
      <w:r w:rsidR="005455AD">
        <w:t xml:space="preserve"> accounts and selves</w:t>
      </w:r>
      <w:r w:rsidR="000B058E">
        <w:t xml:space="preserve">. </w:t>
      </w:r>
      <w:r w:rsidR="00BC370E">
        <w:t>For example, in his studies</w:t>
      </w:r>
      <w:r w:rsidR="001A790F">
        <w:t xml:space="preserve"> on the </w:t>
      </w:r>
      <w:r w:rsidR="00ED3479">
        <w:t>“</w:t>
      </w:r>
      <w:r w:rsidR="001A790F">
        <w:t>genealogy of the modern state</w:t>
      </w:r>
      <w:r w:rsidR="00ED3479">
        <w:t>”</w:t>
      </w:r>
      <w:r w:rsidR="001A790F">
        <w:t xml:space="preserve"> Foucault attempts to show how the </w:t>
      </w:r>
      <w:r w:rsidR="001A790F" w:rsidRPr="001F3020">
        <w:t xml:space="preserve">modern </w:t>
      </w:r>
      <w:proofErr w:type="gramStart"/>
      <w:r w:rsidR="001A790F" w:rsidRPr="001F3020">
        <w:t>sover</w:t>
      </w:r>
      <w:r w:rsidR="00262B28" w:rsidRPr="001F3020">
        <w:t>e</w:t>
      </w:r>
      <w:r w:rsidR="001A790F" w:rsidRPr="001F3020">
        <w:t>ign state</w:t>
      </w:r>
      <w:proofErr w:type="gramEnd"/>
      <w:r w:rsidR="00262B28" w:rsidRPr="001F3020">
        <w:t xml:space="preserve"> -</w:t>
      </w:r>
      <w:r w:rsidR="00262B28">
        <w:t xml:space="preserve"> </w:t>
      </w:r>
      <w:r w:rsidR="001F3020">
        <w:t>this</w:t>
      </w:r>
      <w:r w:rsidR="00262B28">
        <w:t xml:space="preserve"> </w:t>
      </w:r>
      <w:r w:rsidR="001F3020">
        <w:t xml:space="preserve">political </w:t>
      </w:r>
      <w:r w:rsidR="00262B28">
        <w:t>rationality-</w:t>
      </w:r>
      <w:r w:rsidR="001A790F">
        <w:t xml:space="preserve"> and the modern autonomous individual </w:t>
      </w:r>
      <w:r w:rsidR="00262B28">
        <w:t>“</w:t>
      </w:r>
      <w:r w:rsidR="001A790F">
        <w:t>co-determine</w:t>
      </w:r>
      <w:r w:rsidR="00262B28">
        <w:t xml:space="preserve"> each other’s emergence” </w:t>
      </w:r>
      <w:r w:rsidR="00262B28" w:rsidRPr="00656A5E">
        <w:t>(Lemke, 2001, p.191).</w:t>
      </w:r>
      <w:r w:rsidR="00262B28">
        <w:t xml:space="preserve">  </w:t>
      </w:r>
      <w:r w:rsidR="001A790F">
        <w:t xml:space="preserve"> </w:t>
      </w:r>
    </w:p>
    <w:p w14:paraId="7BB6A2F5" w14:textId="72B160B0" w:rsidR="00FF223B" w:rsidRDefault="00FF223B" w:rsidP="00FF223B">
      <w:r>
        <w:t>Second, though Bernstein (2000) argues that his theory is not deterministic for the logical reason that the object of study, symbolic control, “cannot control what it is set up to control” (p</w:t>
      </w:r>
      <w:r w:rsidR="00ED3479">
        <w:t>.</w:t>
      </w:r>
      <w:r>
        <w:t xml:space="preserve"> 38), it nevertheless side steps the issue of how the realization of pedagogic discourse ultimately connects with practice. However, Bernstein’s (2000) discussion of two opposing discursive mechanisms of pedagogic discourse, namely “introjection” and “projection” that presuppose different forms of engagement for individuals, and more generally his idea that different modalities of pedagogy afford the individual different spaces of freedom, brings us closer to the idea of Foucault. In fact, as </w:t>
      </w:r>
      <w:r w:rsidRPr="007F0FED">
        <w:t>Olson (2008)</w:t>
      </w:r>
      <w:r>
        <w:t xml:space="preserve"> explains</w:t>
      </w:r>
      <w:r w:rsidR="00CD27E2">
        <w:t>,</w:t>
      </w:r>
      <w:r>
        <w:t xml:space="preserve"> Foucault’s writings contain and keep in tension two different interpretations of (governmental) rationality. One “holds that the way the state [or other agencies] articulates social relations, structures individual lives, and deploys power is to a great extent a function of what is thinkable within its particular political culture” (p</w:t>
      </w:r>
      <w:r w:rsidR="00ED3479">
        <w:t>.</w:t>
      </w:r>
      <w:r>
        <w:t xml:space="preserve">333). In other words, though forms of rationality are not absolute or monolithic, nevertheless they seem to have some independence from the practices within which they are inscribed and they seem to exercise some kind of formative </w:t>
      </w:r>
      <w:r>
        <w:lastRenderedPageBreak/>
        <w:t>influence on those practices, determining what is possible or reasonable within a certain domain of action. The other interpretation holds that “the rationality of governmental practices is ‘on the surface’ in an important way, available for the intentional use of people organizing social life. It is informed by the sets of technologies that happen to be available at any given time” (</w:t>
      </w:r>
      <w:r w:rsidR="000801B7">
        <w:t>pp.</w:t>
      </w:r>
      <w:r>
        <w:t xml:space="preserve">334-335). As </w:t>
      </w:r>
      <w:r w:rsidRPr="002146DE">
        <w:t>Foucault himself</w:t>
      </w:r>
      <w:r w:rsidR="007F0FED" w:rsidRPr="002146DE">
        <w:t xml:space="preserve"> (1991a)</w:t>
      </w:r>
      <w:r w:rsidR="002146DE" w:rsidRPr="002146DE">
        <w:t xml:space="preserve"> </w:t>
      </w:r>
      <w:r w:rsidRPr="002146DE">
        <w:t>puts it:</w:t>
      </w:r>
      <w:r>
        <w:t xml:space="preserve"> </w:t>
      </w:r>
    </w:p>
    <w:p w14:paraId="2896909C" w14:textId="01A79B12" w:rsidR="00FF223B" w:rsidRDefault="00AE0349" w:rsidP="00AE0349">
      <w:pPr>
        <w:pStyle w:val="Quote"/>
      </w:pPr>
      <w:r>
        <w:t xml:space="preserve"> </w:t>
      </w:r>
      <w:r w:rsidR="00FF223B">
        <w:t xml:space="preserve">The rational schemas of the prison, the hospital or the asylum are not general principles which can be rediscovered only through the historian’s retrospective interpretation. They are explicit </w:t>
      </w:r>
      <w:proofErr w:type="spellStart"/>
      <w:r w:rsidR="00FF223B" w:rsidRPr="009322CE">
        <w:rPr>
          <w:i/>
        </w:rPr>
        <w:t>prog</w:t>
      </w:r>
      <w:r w:rsidR="001D4B28">
        <w:rPr>
          <w:i/>
        </w:rPr>
        <w:t>r</w:t>
      </w:r>
      <w:r w:rsidR="00FF223B" w:rsidRPr="009322CE">
        <w:rPr>
          <w:i/>
        </w:rPr>
        <w:t>ammes</w:t>
      </w:r>
      <w:proofErr w:type="spellEnd"/>
      <w:r w:rsidR="00FF223B">
        <w:t xml:space="preserve">; we are dealing with sets of calculated, reasoned prescriptions in terms of which institutions are meant to be reorganized, spaces arranged, </w:t>
      </w:r>
      <w:proofErr w:type="spellStart"/>
      <w:r w:rsidR="00FF223B">
        <w:t>behaviours</w:t>
      </w:r>
      <w:proofErr w:type="spellEnd"/>
      <w:r w:rsidR="00FF223B">
        <w:t xml:space="preserve"> regulated. If they have an identity, it is that of a programming left in abeyance, not that </w:t>
      </w:r>
      <w:r w:rsidR="00BB39FF">
        <w:t>of a general but hidden meaning</w:t>
      </w:r>
      <w:r w:rsidR="00FF223B">
        <w:t xml:space="preserve"> (p</w:t>
      </w:r>
      <w:r w:rsidR="00ED3479">
        <w:t>.</w:t>
      </w:r>
      <w:r w:rsidR="00FF223B">
        <w:t xml:space="preserve">80; emphasis in the original)  </w:t>
      </w:r>
    </w:p>
    <w:p w14:paraId="33367109" w14:textId="68B4B926" w:rsidR="00FF223B" w:rsidRDefault="00FF223B" w:rsidP="00FF223B">
      <w:r>
        <w:t xml:space="preserve">This brief reference to Foucault, supplementing the </w:t>
      </w:r>
      <w:proofErr w:type="spellStart"/>
      <w:r>
        <w:t>Bernsteinian</w:t>
      </w:r>
      <w:proofErr w:type="spellEnd"/>
      <w:r>
        <w:t xml:space="preserve"> lens, allows us to characterize </w:t>
      </w:r>
      <w:r w:rsidR="002235EE">
        <w:t xml:space="preserve">the </w:t>
      </w:r>
      <w:r>
        <w:t xml:space="preserve">PISA </w:t>
      </w:r>
      <w:r w:rsidR="005F4232">
        <w:t xml:space="preserve">mathematics </w:t>
      </w:r>
      <w:r>
        <w:t>regime as a system/form of rationality. Crucially, ho</w:t>
      </w:r>
      <w:r w:rsidR="00BA5BEB">
        <w:t>w</w:t>
      </w:r>
      <w:r>
        <w:t xml:space="preserve">ever, we have not assumed that such </w:t>
      </w:r>
      <w:proofErr w:type="gramStart"/>
      <w:r>
        <w:t>a rationality</w:t>
      </w:r>
      <w:proofErr w:type="gramEnd"/>
      <w:r>
        <w:t xml:space="preserve"> can be erected as a universal totality. On the contrary, pedagogic discourse, though having general characteristics, is realized concretely within material practices. Thus, this approach generates a theoretical lens that accounts for </w:t>
      </w:r>
      <w:r w:rsidR="00005BD6">
        <w:t xml:space="preserve">the </w:t>
      </w:r>
      <w:r>
        <w:t xml:space="preserve">plasticity of the knowledge effects referred to by </w:t>
      </w:r>
      <w:proofErr w:type="spellStart"/>
      <w:r>
        <w:t>Ca</w:t>
      </w:r>
      <w:r w:rsidR="00BA5BEB">
        <w:t>r</w:t>
      </w:r>
      <w:r>
        <w:t>valho</w:t>
      </w:r>
      <w:proofErr w:type="spellEnd"/>
      <w:r>
        <w:t xml:space="preserve"> (2012), and their remarkable capacity for </w:t>
      </w:r>
      <w:proofErr w:type="spellStart"/>
      <w:r>
        <w:t>localisation</w:t>
      </w:r>
      <w:proofErr w:type="spellEnd"/>
      <w:r>
        <w:t xml:space="preserve"> as documented by Neumann et al. (2012). </w:t>
      </w:r>
    </w:p>
    <w:p w14:paraId="4A9B413B" w14:textId="782FCAC2" w:rsidR="00FF223B" w:rsidRDefault="002235EE" w:rsidP="002235EE">
      <w:r>
        <w:t>The analysis of knowledge structures using Bernstein’s pedagogic device as illustrated above includes identification of possible subject positions formed within the discourse of the PISA</w:t>
      </w:r>
      <w:r w:rsidR="005F4232" w:rsidRPr="005F4232">
        <w:t xml:space="preserve"> </w:t>
      </w:r>
      <w:r w:rsidR="005F4232">
        <w:t>mathematics</w:t>
      </w:r>
      <w:r>
        <w:t xml:space="preserve"> regime. However, it does not help us to address the issue of how individual subjects may take up, resist or move between such positions. We thus turn to F</w:t>
      </w:r>
      <w:r w:rsidR="00FF223B">
        <w:t>oucault’s discussion of ‘self’ and discuss how it enables us to address the issue of how individuals are recruited by or enabled to stand aside from knowledge effects.</w:t>
      </w:r>
    </w:p>
    <w:p w14:paraId="412261E7" w14:textId="354E1495" w:rsidR="00FF223B" w:rsidRPr="009322CE" w:rsidRDefault="00FF223B" w:rsidP="00FF223B">
      <w:pPr>
        <w:rPr>
          <w:lang w:val="en-GB"/>
        </w:rPr>
      </w:pPr>
      <w:r w:rsidRPr="009322CE">
        <w:t xml:space="preserve">Foucault’s method consists of two dimensions </w:t>
      </w:r>
      <w:r w:rsidR="000B54AF">
        <w:rPr>
          <w:noProof/>
        </w:rPr>
        <w:t>(Howarth, 2000)</w:t>
      </w:r>
      <w:r w:rsidRPr="009322CE">
        <w:t xml:space="preserve">. In the </w:t>
      </w:r>
      <w:r w:rsidRPr="00D01408">
        <w:rPr>
          <w:i/>
        </w:rPr>
        <w:t>archeological dimension</w:t>
      </w:r>
      <w:r w:rsidRPr="009322CE">
        <w:rPr>
          <w:u w:val="single"/>
        </w:rPr>
        <w:t xml:space="preserve"> </w:t>
      </w:r>
      <w:r w:rsidR="00A4448A">
        <w:t>his</w:t>
      </w:r>
      <w:r w:rsidR="00A4448A" w:rsidRPr="009322CE">
        <w:t xml:space="preserve"> </w:t>
      </w:r>
      <w:r w:rsidRPr="009322CE">
        <w:t>method of analysis is to bracket the human subject in order to see how the formal rules associated with discursive practice can demonstrate the formation of knowledge objects and statements</w:t>
      </w:r>
      <w:r w:rsidRPr="001D4B28">
        <w:t xml:space="preserve">. </w:t>
      </w:r>
      <w:r w:rsidRPr="009322CE">
        <w:t xml:space="preserve"> This </w:t>
      </w:r>
      <w:r w:rsidRPr="00134C8A">
        <w:rPr>
          <w:color w:val="948A54" w:themeColor="background2" w:themeShade="80"/>
        </w:rPr>
        <w:t>trajectory</w:t>
      </w:r>
      <w:r w:rsidRPr="009322CE">
        <w:t xml:space="preserve"> involves a process Foucault refers to as </w:t>
      </w:r>
      <w:proofErr w:type="spellStart"/>
      <w:r w:rsidRPr="009322CE">
        <w:rPr>
          <w:i/>
          <w:iCs/>
        </w:rPr>
        <w:t>objectivation</w:t>
      </w:r>
      <w:proofErr w:type="spellEnd"/>
      <w:r w:rsidRPr="009322CE">
        <w:t>.</w:t>
      </w:r>
      <w:r>
        <w:t xml:space="preserve"> </w:t>
      </w:r>
      <w:r w:rsidRPr="00D01408">
        <w:t xml:space="preserve">The analysis in the </w:t>
      </w:r>
      <w:r w:rsidRPr="00D01408">
        <w:rPr>
          <w:i/>
        </w:rPr>
        <w:t>genealogical dimension</w:t>
      </w:r>
      <w:r>
        <w:t xml:space="preserve"> </w:t>
      </w:r>
      <w:r w:rsidRPr="009322CE">
        <w:t>is conducted simultaneously with archaeological</w:t>
      </w:r>
      <w:r w:rsidRPr="00D43577">
        <w:t xml:space="preserve"> analysis.  However unlike arch</w:t>
      </w:r>
      <w:r w:rsidRPr="009322CE">
        <w:t>e</w:t>
      </w:r>
      <w:r>
        <w:t>o</w:t>
      </w:r>
      <w:r w:rsidRPr="009322CE">
        <w:t xml:space="preserve">logical analysis it aims at the strategic </w:t>
      </w:r>
      <w:r w:rsidRPr="009322CE">
        <w:rPr>
          <w:iCs/>
        </w:rPr>
        <w:t>re-insertion</w:t>
      </w:r>
      <w:r w:rsidRPr="009322CE">
        <w:rPr>
          <w:i/>
          <w:iCs/>
        </w:rPr>
        <w:t xml:space="preserve"> </w:t>
      </w:r>
      <w:r w:rsidRPr="009322CE">
        <w:t xml:space="preserve">of the subject.  </w:t>
      </w:r>
      <w:r w:rsidRPr="001D4B28">
        <w:t xml:space="preserve">  </w:t>
      </w:r>
      <w:r>
        <w:t>He</w:t>
      </w:r>
      <w:r w:rsidRPr="009322CE">
        <w:t xml:space="preserve"> </w:t>
      </w:r>
      <w:r>
        <w:t>uses the notion of</w:t>
      </w:r>
      <w:r w:rsidRPr="009322CE">
        <w:t xml:space="preserve"> </w:t>
      </w:r>
      <w:r>
        <w:t>“</w:t>
      </w:r>
      <w:r w:rsidRPr="009322CE">
        <w:rPr>
          <w:iCs/>
        </w:rPr>
        <w:t>technologies of self</w:t>
      </w:r>
      <w:r>
        <w:t xml:space="preserve">”  </w:t>
      </w:r>
      <w:r w:rsidRPr="007F0FED">
        <w:t>(Foucault, 1988)</w:t>
      </w:r>
      <w:r>
        <w:t xml:space="preserve"> to refer to practices </w:t>
      </w:r>
      <w:r w:rsidRPr="009322CE">
        <w:t xml:space="preserve">by which the self governs the self with respect to determinate forms of </w:t>
      </w:r>
      <w:proofErr w:type="spellStart"/>
      <w:r>
        <w:t>objectivation</w:t>
      </w:r>
      <w:proofErr w:type="spellEnd"/>
      <w:r>
        <w:t xml:space="preserve">; </w:t>
      </w:r>
      <w:r w:rsidRPr="00D22435">
        <w:t xml:space="preserve">a process he calls </w:t>
      </w:r>
      <w:r>
        <w:t>“</w:t>
      </w:r>
      <w:proofErr w:type="spellStart"/>
      <w:r w:rsidRPr="009322CE">
        <w:rPr>
          <w:iCs/>
        </w:rPr>
        <w:t>subjectivation</w:t>
      </w:r>
      <w:proofErr w:type="spellEnd"/>
      <w:r>
        <w:rPr>
          <w:i/>
          <w:iCs/>
        </w:rPr>
        <w:t>”</w:t>
      </w:r>
      <w:r w:rsidRPr="009322CE">
        <w:t xml:space="preserve">. </w:t>
      </w:r>
      <w:r w:rsidR="007D6302">
        <w:t>As already indicated, i</w:t>
      </w:r>
      <w:r w:rsidR="007D6302" w:rsidRPr="009322CE">
        <w:t xml:space="preserve">t </w:t>
      </w:r>
      <w:r w:rsidRPr="009322CE">
        <w:t xml:space="preserve">is a characteristic of Foucault’s analysis that government of the self is integrally connected </w:t>
      </w:r>
      <w:r w:rsidRPr="00F542D9">
        <w:t>with government of the state. H</w:t>
      </w:r>
      <w:r w:rsidRPr="009322CE">
        <w:t xml:space="preserve">e refers to this as </w:t>
      </w:r>
      <w:r>
        <w:t>“</w:t>
      </w:r>
      <w:proofErr w:type="spellStart"/>
      <w:r w:rsidRPr="009322CE">
        <w:rPr>
          <w:iCs/>
        </w:rPr>
        <w:t>governmentality</w:t>
      </w:r>
      <w:proofErr w:type="spellEnd"/>
      <w:r>
        <w:rPr>
          <w:iCs/>
        </w:rPr>
        <w:t xml:space="preserve">” </w:t>
      </w:r>
      <w:r w:rsidRPr="007F0FED">
        <w:rPr>
          <w:iCs/>
        </w:rPr>
        <w:t xml:space="preserve">(Foucault, </w:t>
      </w:r>
      <w:r w:rsidR="007F0FED" w:rsidRPr="007F0FED">
        <w:rPr>
          <w:iCs/>
        </w:rPr>
        <w:t>1991b</w:t>
      </w:r>
      <w:r w:rsidRPr="007F0FED">
        <w:rPr>
          <w:iCs/>
        </w:rPr>
        <w:t>)</w:t>
      </w:r>
      <w:r w:rsidRPr="007F0FED">
        <w:t>,</w:t>
      </w:r>
      <w:r w:rsidRPr="00F542D9">
        <w:t xml:space="preserve"> </w:t>
      </w:r>
      <w:r>
        <w:t xml:space="preserve">and one of the great insights in his work on </w:t>
      </w:r>
      <w:proofErr w:type="spellStart"/>
      <w:r>
        <w:t>governmentality</w:t>
      </w:r>
      <w:proofErr w:type="spellEnd"/>
      <w:r>
        <w:t xml:space="preserve"> was the critical link he observed in liberalism – the object of his inquiries – between the governance of the self and government of the state, understood as the exercise of political sovereignty over a territory and its populatio</w:t>
      </w:r>
      <w:r w:rsidRPr="00D01408">
        <w:t>n (</w:t>
      </w:r>
      <w:proofErr w:type="spellStart"/>
      <w:r w:rsidR="00D01408" w:rsidRPr="00D01408">
        <w:t>Rabinow</w:t>
      </w:r>
      <w:proofErr w:type="spellEnd"/>
      <w:r w:rsidRPr="00D01408">
        <w:t xml:space="preserve">, 2004; </w:t>
      </w:r>
      <w:r w:rsidRPr="007F0FED">
        <w:t>Peters, 2009</w:t>
      </w:r>
      <w:r w:rsidR="007D6302" w:rsidRPr="007F0FED">
        <w:t>; Lemke, 2001</w:t>
      </w:r>
      <w:r w:rsidRPr="007F0FED">
        <w:t>).</w:t>
      </w:r>
      <w:r>
        <w:t xml:space="preserve"> The </w:t>
      </w:r>
      <w:r w:rsidRPr="009322CE">
        <w:t xml:space="preserve">interplay between </w:t>
      </w:r>
      <w:proofErr w:type="spellStart"/>
      <w:r w:rsidRPr="009322CE">
        <w:t>objectivation</w:t>
      </w:r>
      <w:proofErr w:type="spellEnd"/>
      <w:r w:rsidRPr="009322CE">
        <w:t>/</w:t>
      </w:r>
      <w:proofErr w:type="spellStart"/>
      <w:r w:rsidRPr="009322CE">
        <w:t>subjectivation</w:t>
      </w:r>
      <w:proofErr w:type="spellEnd"/>
      <w:r w:rsidRPr="009322CE">
        <w:t xml:space="preserve"> and </w:t>
      </w:r>
      <w:proofErr w:type="spellStart"/>
      <w:r w:rsidRPr="009322CE">
        <w:t>governmentality</w:t>
      </w:r>
      <w:proofErr w:type="spellEnd"/>
      <w:r>
        <w:t xml:space="preserve"> Foucault </w:t>
      </w:r>
      <w:proofErr w:type="spellStart"/>
      <w:r w:rsidRPr="009322CE">
        <w:t>characterises</w:t>
      </w:r>
      <w:proofErr w:type="spellEnd"/>
      <w:r w:rsidRPr="009322CE">
        <w:t xml:space="preserve"> a</w:t>
      </w:r>
      <w:r>
        <w:t>s a</w:t>
      </w:r>
      <w:r w:rsidRPr="009322CE">
        <w:t xml:space="preserve"> ‘game’</w:t>
      </w:r>
      <w:r>
        <w:t>, a</w:t>
      </w:r>
      <w:r w:rsidRPr="009322CE">
        <w:t xml:space="preserve"> durable preoccupation impacting both practice and discourse.  He refers to this preoccupation as a ‘game of truth’</w:t>
      </w:r>
      <w:r w:rsidRPr="00997A18">
        <w:rPr>
          <w:lang w:val="en-GB"/>
        </w:rPr>
        <w:t>.</w:t>
      </w:r>
      <w:r>
        <w:rPr>
          <w:lang w:val="en-GB"/>
        </w:rPr>
        <w:t xml:space="preserve"> In order to understand governmental rationality, Foucault argues, we must understand how people govern themselves and others. That is to say, we have to see ensembles of practices as “different regimes of ‘jurisdiction’ and ‘verification’” </w:t>
      </w:r>
      <w:r w:rsidR="007F0FED" w:rsidRPr="007F0FED">
        <w:rPr>
          <w:lang w:val="en-GB"/>
        </w:rPr>
        <w:t>(Foucault, 1991a</w:t>
      </w:r>
      <w:r w:rsidRPr="007F0FED">
        <w:rPr>
          <w:lang w:val="en-GB"/>
        </w:rPr>
        <w:t>, p79).</w:t>
      </w:r>
      <w:r>
        <w:rPr>
          <w:lang w:val="en-GB"/>
        </w:rPr>
        <w:t xml:space="preserve"> </w:t>
      </w:r>
      <w:r w:rsidRPr="007F0FED">
        <w:rPr>
          <w:lang w:val="en-GB"/>
        </w:rPr>
        <w:t>As Olson (2008, p.331)</w:t>
      </w:r>
      <w:r>
        <w:rPr>
          <w:lang w:val="en-GB"/>
        </w:rPr>
        <w:t xml:space="preserve"> emphasises</w:t>
      </w:r>
      <w:r w:rsidR="00295DEB">
        <w:rPr>
          <w:lang w:val="en-GB"/>
        </w:rPr>
        <w:t>,</w:t>
      </w:r>
      <w:r>
        <w:rPr>
          <w:lang w:val="en-GB"/>
        </w:rPr>
        <w:t xml:space="preserve"> governing is a matter of enunciating truths in the form of “codes” or “codifications” and “true discourses”. A code regulates ways of doing things (e.g., how people are to be graded and examined), it is “</w:t>
      </w:r>
      <w:r w:rsidR="00E94960">
        <w:rPr>
          <w:lang w:val="en-GB"/>
        </w:rPr>
        <w:t>[t]</w:t>
      </w:r>
      <w:r>
        <w:rPr>
          <w:lang w:val="en-GB"/>
        </w:rPr>
        <w:t xml:space="preserve">he generalised formula that is used to partition spaces, organise bodies, and classify identities (p.332). True discourses “serve to found, justify and provide reasons and principles for these ways of doing things” </w:t>
      </w:r>
      <w:r w:rsidR="007F0FED" w:rsidRPr="007F0FED">
        <w:rPr>
          <w:lang w:val="en-GB"/>
        </w:rPr>
        <w:t>(Foucault, 1991a</w:t>
      </w:r>
      <w:r w:rsidRPr="007F0FED">
        <w:rPr>
          <w:lang w:val="en-GB"/>
        </w:rPr>
        <w:t>, p. 79);</w:t>
      </w:r>
      <w:r>
        <w:rPr>
          <w:lang w:val="en-GB"/>
        </w:rPr>
        <w:t xml:space="preserve"> “they are the fabric of a socially constructed, shared understanding of the world, which is in turn the means through which people and things are governed” (Olson, 2008, p332). </w:t>
      </w:r>
    </w:p>
    <w:p w14:paraId="5F12C337" w14:textId="77777777" w:rsidR="00FF223B" w:rsidRPr="003176C7" w:rsidRDefault="002235EE" w:rsidP="00BA2998">
      <w:pPr>
        <w:pStyle w:val="Heading3"/>
        <w:rPr>
          <w:lang w:val="en-GB"/>
        </w:rPr>
      </w:pPr>
      <w:r>
        <w:rPr>
          <w:lang w:val="en-GB"/>
        </w:rPr>
        <w:lastRenderedPageBreak/>
        <w:t xml:space="preserve">Example: Analysis of </w:t>
      </w:r>
      <w:r w:rsidR="00FF223B">
        <w:rPr>
          <w:lang w:val="en-GB"/>
        </w:rPr>
        <w:t xml:space="preserve">PISA as a </w:t>
      </w:r>
      <w:r w:rsidR="00FA45B2">
        <w:rPr>
          <w:lang w:val="en-GB"/>
        </w:rPr>
        <w:t xml:space="preserve">discursive </w:t>
      </w:r>
      <w:r w:rsidR="00FF223B">
        <w:rPr>
          <w:lang w:val="en-GB"/>
        </w:rPr>
        <w:t xml:space="preserve">field of </w:t>
      </w:r>
      <w:proofErr w:type="spellStart"/>
      <w:r w:rsidR="00FF223B">
        <w:rPr>
          <w:lang w:val="en-GB"/>
        </w:rPr>
        <w:t>agentic</w:t>
      </w:r>
      <w:proofErr w:type="spellEnd"/>
      <w:r w:rsidR="00FF223B">
        <w:rPr>
          <w:lang w:val="en-GB"/>
        </w:rPr>
        <w:t xml:space="preserve"> action</w:t>
      </w:r>
    </w:p>
    <w:p w14:paraId="6DD80F30" w14:textId="42EC1660" w:rsidR="00FF223B" w:rsidRPr="00CB23BD" w:rsidRDefault="00295DEB" w:rsidP="00FF223B">
      <w:pPr>
        <w:rPr>
          <w:lang w:val="en-GB"/>
        </w:rPr>
      </w:pPr>
      <w:r>
        <w:rPr>
          <w:lang w:val="en-GB"/>
        </w:rPr>
        <w:t xml:space="preserve">We return now to our example in order </w:t>
      </w:r>
      <w:r w:rsidR="002235EE">
        <w:rPr>
          <w:lang w:val="en-GB"/>
        </w:rPr>
        <w:t>t</w:t>
      </w:r>
      <w:r>
        <w:rPr>
          <w:lang w:val="en-GB"/>
        </w:rPr>
        <w:t xml:space="preserve">o </w:t>
      </w:r>
      <w:r w:rsidR="002235EE">
        <w:rPr>
          <w:lang w:val="en-GB"/>
        </w:rPr>
        <w:t>consider</w:t>
      </w:r>
      <w:r w:rsidR="007039B2">
        <w:rPr>
          <w:lang w:val="en-GB"/>
        </w:rPr>
        <w:t xml:space="preserve"> briefly</w:t>
      </w:r>
      <w:r w:rsidR="002235EE">
        <w:rPr>
          <w:lang w:val="en-GB"/>
        </w:rPr>
        <w:t xml:space="preserve"> how</w:t>
      </w:r>
      <w:r w:rsidR="00FF223B">
        <w:rPr>
          <w:lang w:val="en-GB"/>
        </w:rPr>
        <w:t xml:space="preserve"> the evaluative rules of the PISA regime and the discourse they give rise to register techniques of </w:t>
      </w:r>
      <w:proofErr w:type="spellStart"/>
      <w:r w:rsidR="00FF223B">
        <w:rPr>
          <w:lang w:val="en-GB"/>
        </w:rPr>
        <w:t>subjectivation</w:t>
      </w:r>
      <w:proofErr w:type="spellEnd"/>
      <w:r w:rsidR="00FF223B">
        <w:rPr>
          <w:lang w:val="en-GB"/>
        </w:rPr>
        <w:t xml:space="preserve"> whereby the student self is to become a legitimate subject of the concrete knowledge effect, elucidated previously in the </w:t>
      </w:r>
      <w:proofErr w:type="spellStart"/>
      <w:r w:rsidR="00FF223B">
        <w:rPr>
          <w:lang w:val="en-GB"/>
        </w:rPr>
        <w:t>Bernsteinian</w:t>
      </w:r>
      <w:proofErr w:type="spellEnd"/>
      <w:r w:rsidR="00FF223B">
        <w:rPr>
          <w:lang w:val="en-GB"/>
        </w:rPr>
        <w:t xml:space="preserve"> account. To this there are not easy methodological answers.  Foucault considered this question to be the equivalent of the problem of how to reinsert the subject into the analysis.  </w:t>
      </w:r>
    </w:p>
    <w:p w14:paraId="14CB8818" w14:textId="4877F51A" w:rsidR="00FF223B" w:rsidRPr="007820EB" w:rsidRDefault="00FF223B" w:rsidP="00FF223B">
      <w:pPr>
        <w:rPr>
          <w:lang w:val="en-GB"/>
        </w:rPr>
      </w:pPr>
      <w:r>
        <w:rPr>
          <w:lang w:val="en-GB"/>
        </w:rPr>
        <w:t>In part 44.2 of our example, we note</w:t>
      </w:r>
      <w:r w:rsidR="007039B2">
        <w:rPr>
          <w:lang w:val="en-GB"/>
        </w:rPr>
        <w:t>d</w:t>
      </w:r>
      <w:r>
        <w:rPr>
          <w:lang w:val="en-GB"/>
        </w:rPr>
        <w:t xml:space="preserve"> two junctures of </w:t>
      </w:r>
      <w:r w:rsidR="00D025A0">
        <w:rPr>
          <w:lang w:val="en-GB"/>
        </w:rPr>
        <w:t>decision-</w:t>
      </w:r>
      <w:r>
        <w:rPr>
          <w:lang w:val="en-GB"/>
        </w:rPr>
        <w:t xml:space="preserve">making the </w:t>
      </w:r>
      <w:r w:rsidR="007039B2">
        <w:rPr>
          <w:lang w:val="en-GB"/>
        </w:rPr>
        <w:t xml:space="preserve">student </w:t>
      </w:r>
      <w:r>
        <w:rPr>
          <w:lang w:val="en-GB"/>
        </w:rPr>
        <w:t xml:space="preserve">must or provisionally might face: between ‘necessity’ </w:t>
      </w:r>
      <w:r w:rsidR="007039B2">
        <w:rPr>
          <w:lang w:val="en-GB"/>
        </w:rPr>
        <w:t xml:space="preserve">and </w:t>
      </w:r>
      <w:r>
        <w:rPr>
          <w:lang w:val="en-GB"/>
        </w:rPr>
        <w:t xml:space="preserve">‘contingency’, and between ‘you’ as </w:t>
      </w:r>
      <w:r w:rsidR="007039B2">
        <w:rPr>
          <w:lang w:val="en-GB"/>
        </w:rPr>
        <w:t xml:space="preserve">an </w:t>
      </w:r>
      <w:r>
        <w:rPr>
          <w:lang w:val="en-GB"/>
        </w:rPr>
        <w:t xml:space="preserve">abstract given </w:t>
      </w:r>
      <w:r w:rsidR="007039B2">
        <w:rPr>
          <w:lang w:val="en-GB"/>
        </w:rPr>
        <w:t xml:space="preserve">and </w:t>
      </w:r>
      <w:r>
        <w:rPr>
          <w:lang w:val="en-GB"/>
        </w:rPr>
        <w:t xml:space="preserve">‘you’ as </w:t>
      </w:r>
      <w:r w:rsidR="00A649D2">
        <w:rPr>
          <w:lang w:val="en-GB"/>
        </w:rPr>
        <w:t xml:space="preserve">socio-culturally </w:t>
      </w:r>
      <w:r>
        <w:rPr>
          <w:lang w:val="en-GB"/>
        </w:rPr>
        <w:t>contingent (‘me’).  In relation to these we might ask</w:t>
      </w:r>
      <w:r w:rsidR="00D025A0">
        <w:rPr>
          <w:lang w:val="en-GB"/>
        </w:rPr>
        <w:t>:</w:t>
      </w:r>
      <w:r>
        <w:rPr>
          <w:lang w:val="en-GB"/>
        </w:rPr>
        <w:t xml:space="preserve"> what self do these </w:t>
      </w:r>
      <w:r w:rsidR="007039B2">
        <w:rPr>
          <w:lang w:val="en-GB"/>
        </w:rPr>
        <w:t xml:space="preserve">choices propose </w:t>
      </w:r>
      <w:r>
        <w:rPr>
          <w:lang w:val="en-GB"/>
        </w:rPr>
        <w:t xml:space="preserve">as a legitimate subject </w:t>
      </w:r>
      <w:r w:rsidR="007039B2">
        <w:rPr>
          <w:lang w:val="en-GB"/>
        </w:rPr>
        <w:t>within the discourse</w:t>
      </w:r>
      <w:r>
        <w:rPr>
          <w:lang w:val="en-GB"/>
        </w:rPr>
        <w:t xml:space="preserve">?  But this would lead us back to the </w:t>
      </w:r>
      <w:proofErr w:type="spellStart"/>
      <w:r>
        <w:rPr>
          <w:lang w:val="en-GB"/>
        </w:rPr>
        <w:t>Bernsteinian</w:t>
      </w:r>
      <w:proofErr w:type="spellEnd"/>
      <w:r>
        <w:rPr>
          <w:lang w:val="en-GB"/>
        </w:rPr>
        <w:t xml:space="preserve"> analysis</w:t>
      </w:r>
      <w:r w:rsidR="007039B2">
        <w:rPr>
          <w:lang w:val="en-GB"/>
        </w:rPr>
        <w:t>,</w:t>
      </w:r>
      <w:r>
        <w:rPr>
          <w:lang w:val="en-GB"/>
        </w:rPr>
        <w:t xml:space="preserve"> </w:t>
      </w:r>
      <w:r w:rsidR="007039B2">
        <w:rPr>
          <w:lang w:val="en-GB"/>
        </w:rPr>
        <w:t xml:space="preserve">conceptualising </w:t>
      </w:r>
      <w:r>
        <w:rPr>
          <w:lang w:val="en-GB"/>
        </w:rPr>
        <w:t xml:space="preserve">the self as a given knowledge effect, determined by the pedagogic discourse. </w:t>
      </w:r>
      <w:r w:rsidR="007039B2">
        <w:rPr>
          <w:lang w:val="en-GB"/>
        </w:rPr>
        <w:t>Rather, we would wish to investigate</w:t>
      </w:r>
      <w:r w:rsidR="00E430DA">
        <w:rPr>
          <w:lang w:val="en-GB"/>
        </w:rPr>
        <w:t xml:space="preserve"> in practice</w:t>
      </w:r>
      <w:r w:rsidR="007039B2">
        <w:rPr>
          <w:lang w:val="en-GB"/>
        </w:rPr>
        <w:t xml:space="preserve"> how </w:t>
      </w:r>
      <w:r w:rsidR="00D45493">
        <w:rPr>
          <w:lang w:val="en-GB"/>
        </w:rPr>
        <w:t xml:space="preserve">people make use of the spaces created by the discourse in order to create and re-create their selves. </w:t>
      </w:r>
      <w:r>
        <w:rPr>
          <w:lang w:val="en-GB"/>
        </w:rPr>
        <w:t xml:space="preserve"> </w:t>
      </w:r>
      <w:r w:rsidRPr="007820EB">
        <w:rPr>
          <w:lang w:val="en-GB"/>
        </w:rPr>
        <w:t xml:space="preserve">Foucault would be inclined to start the other way </w:t>
      </w:r>
      <w:proofErr w:type="gramStart"/>
      <w:r w:rsidRPr="007820EB">
        <w:rPr>
          <w:lang w:val="en-GB"/>
        </w:rPr>
        <w:t>around,</w:t>
      </w:r>
      <w:proofErr w:type="gramEnd"/>
      <w:r w:rsidRPr="007820EB">
        <w:rPr>
          <w:lang w:val="en-GB"/>
        </w:rPr>
        <w:t xml:space="preserve"> asking in what way is PISA contingent as a self effect?</w:t>
      </w:r>
      <w:r w:rsidRPr="00134C8A">
        <w:rPr>
          <w:lang w:val="en-GB"/>
        </w:rPr>
        <w:t xml:space="preserve"> </w:t>
      </w:r>
      <w:bookmarkStart w:id="0" w:name="_GoBack"/>
      <w:bookmarkEnd w:id="0"/>
      <w:r w:rsidRPr="007820EB">
        <w:rPr>
          <w:lang w:val="en-GB"/>
        </w:rPr>
        <w:t xml:space="preserve">It can be argued that this question opens the way to immanent </w:t>
      </w:r>
      <w:proofErr w:type="spellStart"/>
      <w:r w:rsidRPr="007820EB">
        <w:rPr>
          <w:lang w:val="en-GB"/>
        </w:rPr>
        <w:t>agentic</w:t>
      </w:r>
      <w:proofErr w:type="spellEnd"/>
      <w:r w:rsidRPr="007820EB">
        <w:rPr>
          <w:lang w:val="en-GB"/>
        </w:rPr>
        <w:t xml:space="preserve"> action, requiring us to explore (cf. </w:t>
      </w:r>
      <w:proofErr w:type="spellStart"/>
      <w:r w:rsidRPr="007820EB">
        <w:rPr>
          <w:lang w:val="en-GB"/>
        </w:rPr>
        <w:t>Carvalho</w:t>
      </w:r>
      <w:proofErr w:type="spellEnd"/>
      <w:r w:rsidRPr="007820EB">
        <w:rPr>
          <w:lang w:val="en-GB"/>
        </w:rPr>
        <w:t>, 2012) in detail the political work presupposed, the agencies, agents and actors involved in its ascendancy and development and the conditions under which the crystallisation of the PISA regime becomes a field of action in global education</w:t>
      </w:r>
      <w:r w:rsidR="007820EB" w:rsidRPr="007820EB">
        <w:rPr>
          <w:lang w:val="en-GB"/>
        </w:rPr>
        <w:t>,</w:t>
      </w:r>
      <w:r w:rsidRPr="007820EB">
        <w:rPr>
          <w:lang w:val="en-GB"/>
        </w:rPr>
        <w:t xml:space="preserve"> individuals, groups, institutions and nations. </w:t>
      </w:r>
      <w:r w:rsidR="007820EB" w:rsidRPr="007820EB">
        <w:rPr>
          <w:lang w:val="en-GB"/>
        </w:rPr>
        <w:t>F</w:t>
      </w:r>
      <w:r w:rsidRPr="007820EB">
        <w:rPr>
          <w:lang w:val="en-GB"/>
        </w:rPr>
        <w:t xml:space="preserve">rom an empirical research perspective to study </w:t>
      </w:r>
      <w:proofErr w:type="spellStart"/>
      <w:r w:rsidRPr="007820EB">
        <w:rPr>
          <w:lang w:val="en-GB"/>
        </w:rPr>
        <w:t>subjectivation</w:t>
      </w:r>
      <w:proofErr w:type="spellEnd"/>
      <w:r w:rsidRPr="007820EB">
        <w:rPr>
          <w:lang w:val="en-GB"/>
        </w:rPr>
        <w:t xml:space="preserve"> in Foucault’s sense would require not only analysis of the processes of construction of the PISA discourse from the point of view of </w:t>
      </w:r>
      <w:proofErr w:type="spellStart"/>
      <w:r w:rsidRPr="007820EB">
        <w:rPr>
          <w:lang w:val="en-GB"/>
        </w:rPr>
        <w:t>agentic</w:t>
      </w:r>
      <w:proofErr w:type="spellEnd"/>
      <w:r w:rsidRPr="007820EB">
        <w:rPr>
          <w:lang w:val="en-GB"/>
        </w:rPr>
        <w:t xml:space="preserve"> action (researchers, policy makers, all those involved with the </w:t>
      </w:r>
      <w:proofErr w:type="spellStart"/>
      <w:r w:rsidRPr="007820EB">
        <w:rPr>
          <w:lang w:val="en-GB"/>
        </w:rPr>
        <w:t>assemblance</w:t>
      </w:r>
      <w:proofErr w:type="spellEnd"/>
      <w:r w:rsidRPr="007820EB">
        <w:rPr>
          <w:lang w:val="en-GB"/>
        </w:rPr>
        <w:t xml:space="preserve"> of PISA) but also detailed analysis at the level of realisation of the pedagogic discourse and at the level of practice (schools, students, head-teachers, parents, school consultants, </w:t>
      </w:r>
      <w:proofErr w:type="spellStart"/>
      <w:r w:rsidRPr="007820EB">
        <w:rPr>
          <w:lang w:val="en-GB"/>
        </w:rPr>
        <w:t>etc</w:t>
      </w:r>
      <w:proofErr w:type="spellEnd"/>
      <w:r w:rsidRPr="007820EB">
        <w:rPr>
          <w:lang w:val="en-GB"/>
        </w:rPr>
        <w:t xml:space="preserve">) that help to sustain (or disregard) this regime. </w:t>
      </w:r>
      <w:r w:rsidR="00D41CA8">
        <w:rPr>
          <w:lang w:val="en-GB"/>
        </w:rPr>
        <w:t>For instance, we noted earlier in our analysis of the illustrative example that 44.2 employs a seemingly naïve/playful narrative about a hypothetical ‘Mandy’. This narrative inscribes the practice of “peer-assessment” –</w:t>
      </w:r>
      <w:r w:rsidR="00D025A0">
        <w:rPr>
          <w:lang w:val="en-GB"/>
        </w:rPr>
        <w:t xml:space="preserve"> </w:t>
      </w:r>
      <w:r w:rsidR="00D41CA8">
        <w:rPr>
          <w:lang w:val="en-GB"/>
        </w:rPr>
        <w:t xml:space="preserve">a </w:t>
      </w:r>
      <w:r w:rsidR="000B3C61">
        <w:rPr>
          <w:lang w:val="en-GB"/>
        </w:rPr>
        <w:t>current feature of</w:t>
      </w:r>
      <w:r w:rsidR="00D41CA8">
        <w:rPr>
          <w:lang w:val="en-GB"/>
        </w:rPr>
        <w:t xml:space="preserve"> curricula and textbooks in many countries – as part of </w:t>
      </w:r>
      <w:r w:rsidR="000B3C61">
        <w:rPr>
          <w:lang w:val="en-GB"/>
        </w:rPr>
        <w:t xml:space="preserve">the </w:t>
      </w:r>
      <w:r w:rsidR="00D41CA8">
        <w:rPr>
          <w:lang w:val="en-GB"/>
        </w:rPr>
        <w:t>technologies of self-regulation and of governing of self and others. Archaeological and genealogical analysis about the re-invention of this older technique</w:t>
      </w:r>
      <w:r w:rsidR="00AB66C1">
        <w:rPr>
          <w:lang w:val="en-GB"/>
        </w:rPr>
        <w:t xml:space="preserve">, </w:t>
      </w:r>
      <w:r w:rsidR="006F67A0">
        <w:rPr>
          <w:lang w:val="en-GB"/>
        </w:rPr>
        <w:t xml:space="preserve">and </w:t>
      </w:r>
      <w:r w:rsidR="00AB66C1">
        <w:rPr>
          <w:lang w:val="en-GB"/>
        </w:rPr>
        <w:t xml:space="preserve">the reconfiguring of the field of assessment and evaluation </w:t>
      </w:r>
      <w:r w:rsidR="006F67A0">
        <w:rPr>
          <w:lang w:val="en-GB"/>
        </w:rPr>
        <w:t>in its</w:t>
      </w:r>
      <w:r w:rsidR="00AB66C1">
        <w:rPr>
          <w:lang w:val="en-GB"/>
        </w:rPr>
        <w:t xml:space="preserve"> entanglements with knowledge-based regulation tools </w:t>
      </w:r>
      <w:r w:rsidR="006F67A0">
        <w:rPr>
          <w:lang w:val="en-GB"/>
        </w:rPr>
        <w:t>such as PISA open</w:t>
      </w:r>
      <w:r w:rsidR="00AB66C1">
        <w:rPr>
          <w:lang w:val="en-GB"/>
        </w:rPr>
        <w:t xml:space="preserve"> up a field of inquiry that promises to be </w:t>
      </w:r>
      <w:r w:rsidR="006F67A0">
        <w:rPr>
          <w:lang w:val="en-GB"/>
        </w:rPr>
        <w:t xml:space="preserve">very </w:t>
      </w:r>
      <w:r w:rsidR="00AB66C1">
        <w:rPr>
          <w:lang w:val="en-GB"/>
        </w:rPr>
        <w:t xml:space="preserve">productive concerning questions of symbolic control and </w:t>
      </w:r>
      <w:proofErr w:type="spellStart"/>
      <w:r w:rsidR="00AB66C1">
        <w:rPr>
          <w:lang w:val="en-GB"/>
        </w:rPr>
        <w:t>agentic</w:t>
      </w:r>
      <w:proofErr w:type="spellEnd"/>
      <w:r w:rsidR="00AB66C1">
        <w:rPr>
          <w:lang w:val="en-GB"/>
        </w:rPr>
        <w:t xml:space="preserve"> action.    </w:t>
      </w:r>
      <w:r w:rsidR="00D41CA8">
        <w:rPr>
          <w:lang w:val="en-GB"/>
        </w:rPr>
        <w:t xml:space="preserve"> </w:t>
      </w:r>
    </w:p>
    <w:p w14:paraId="5F30CAAC" w14:textId="77777777" w:rsidR="00FF223B" w:rsidRPr="00CD5FF3" w:rsidRDefault="00FF223B" w:rsidP="00BB39FF">
      <w:pPr>
        <w:pStyle w:val="Heading2"/>
        <w:rPr>
          <w:lang w:val="en-GB"/>
        </w:rPr>
      </w:pPr>
      <w:r w:rsidRPr="00CD5FF3">
        <w:rPr>
          <w:lang w:val="en-GB"/>
        </w:rPr>
        <w:t>Final remarks</w:t>
      </w:r>
    </w:p>
    <w:p w14:paraId="395643AB" w14:textId="195F1D96" w:rsidR="00452E54" w:rsidRDefault="006F67A0" w:rsidP="00385974">
      <w:r>
        <w:rPr>
          <w:lang w:val="en-GB"/>
        </w:rPr>
        <w:t xml:space="preserve">This paper </w:t>
      </w:r>
      <w:r w:rsidR="00664660">
        <w:rPr>
          <w:lang w:val="en-GB"/>
        </w:rPr>
        <w:t xml:space="preserve">has </w:t>
      </w:r>
      <w:r w:rsidR="00900005">
        <w:rPr>
          <w:lang w:val="en-GB"/>
        </w:rPr>
        <w:t xml:space="preserve">focused on </w:t>
      </w:r>
      <w:r w:rsidR="00900005">
        <w:t xml:space="preserve">the PISA regime - </w:t>
      </w:r>
      <w:r w:rsidR="00385974">
        <w:t>with specific regard to mathematics</w:t>
      </w:r>
      <w:r w:rsidR="00900005">
        <w:t xml:space="preserve"> - understood as an exemplar of global trends in education policy formation. </w:t>
      </w:r>
      <w:r w:rsidR="003A6968">
        <w:t xml:space="preserve">We discussed selective literature </w:t>
      </w:r>
      <w:r w:rsidR="00664660">
        <w:t xml:space="preserve">describing how PISA </w:t>
      </w:r>
      <w:r w:rsidR="005C031D">
        <w:t>has been taken up and responded to in public debate, policy and research</w:t>
      </w:r>
      <w:r w:rsidR="000B3C61">
        <w:t>, identifying the extent to which PISA simultaneously shapes and serves global and local discourses of education, including in particular those of mathematics education</w:t>
      </w:r>
      <w:r w:rsidR="005C031D">
        <w:t>.</w:t>
      </w:r>
      <w:r w:rsidR="00664660">
        <w:t xml:space="preserve"> We also outlined different approaches </w:t>
      </w:r>
      <w:r w:rsidR="000B3C61">
        <w:t>taken by researchers to the</w:t>
      </w:r>
      <w:r w:rsidR="00664660">
        <w:t xml:space="preserve"> study</w:t>
      </w:r>
      <w:r w:rsidR="000B3C61">
        <w:t xml:space="preserve"> and critique of </w:t>
      </w:r>
      <w:r w:rsidR="007A27C2">
        <w:t>the</w:t>
      </w:r>
      <w:r w:rsidR="00664660">
        <w:t xml:space="preserve"> significance and </w:t>
      </w:r>
      <w:r w:rsidR="007A27C2">
        <w:t xml:space="preserve">the </w:t>
      </w:r>
      <w:r w:rsidR="00664660">
        <w:t>effects</w:t>
      </w:r>
      <w:r w:rsidR="007A27C2">
        <w:t xml:space="preserve"> of PISA. </w:t>
      </w:r>
      <w:r w:rsidR="00452E54">
        <w:t>Within the field of mathematics education research, we found remarkably little critical response to PISA</w:t>
      </w:r>
      <w:r w:rsidR="00710568">
        <w:t xml:space="preserve">, even among those researchers with relatively high interest in social and sociological issues. By setting out an agenda to identify what the PISA regime achieves and its significance for mathematics education, we hope to stimulate further critical study of its actions and effects. </w:t>
      </w:r>
    </w:p>
    <w:p w14:paraId="6DDC0D09" w14:textId="0D27F715" w:rsidR="00D16F73" w:rsidRDefault="007A27C2" w:rsidP="00385974">
      <w:r>
        <w:t xml:space="preserve">The contribution of the present paper to </w:t>
      </w:r>
      <w:r w:rsidR="00710568">
        <w:t>this</w:t>
      </w:r>
      <w:r>
        <w:t xml:space="preserve"> endeavor is </w:t>
      </w:r>
      <w:r w:rsidR="00A01CD9">
        <w:t>to propose an approach to the study and critique of PISA</w:t>
      </w:r>
      <w:r>
        <w:t xml:space="preserve"> which aims </w:t>
      </w:r>
      <w:r w:rsidR="005B6B7C">
        <w:t xml:space="preserve">to </w:t>
      </w:r>
      <w:r>
        <w:t xml:space="preserve">address simultaneously </w:t>
      </w:r>
      <w:r w:rsidR="00A0723D">
        <w:t xml:space="preserve">(pedagogical) </w:t>
      </w:r>
      <w:r w:rsidR="00385974">
        <w:t xml:space="preserve">knowledge structures and </w:t>
      </w:r>
      <w:proofErr w:type="spellStart"/>
      <w:r w:rsidR="00385974">
        <w:t>agentic</w:t>
      </w:r>
      <w:proofErr w:type="spellEnd"/>
      <w:r w:rsidR="00385974">
        <w:t xml:space="preserve"> action</w:t>
      </w:r>
      <w:r w:rsidR="00A01CD9">
        <w:t>, identifying not just the positions the regime makes available for actors but also the technologies of the self through which individuals may take up or resist such positions</w:t>
      </w:r>
      <w:r w:rsidR="00385974">
        <w:t>.</w:t>
      </w:r>
      <w:r w:rsidR="005F63A4">
        <w:t xml:space="preserve"> </w:t>
      </w:r>
      <w:r w:rsidR="002C55E6">
        <w:t>This approach has been exemplified through the analysis of a single text</w:t>
      </w:r>
      <w:r w:rsidR="00452E54">
        <w:t>.</w:t>
      </w:r>
      <w:r w:rsidR="002C55E6">
        <w:t xml:space="preserve"> A</w:t>
      </w:r>
      <w:r w:rsidR="00D16F73">
        <w:t xml:space="preserve">s we have noted, we consider </w:t>
      </w:r>
      <w:r w:rsidR="00D16F73">
        <w:lastRenderedPageBreak/>
        <w:t>PISA as just one regime, albeit one that, because of its scope and influence, has especially wide significance. We would contend that the analytic approach we have proposed and illustrated has wider application to other international and national curriculum and assessment regimes.</w:t>
      </w:r>
    </w:p>
    <w:p w14:paraId="2DED0955" w14:textId="77777777" w:rsidR="005B6B7C" w:rsidRDefault="00FB58CE" w:rsidP="00385974">
      <w:proofErr w:type="spellStart"/>
      <w:r>
        <w:t>Emphasising</w:t>
      </w:r>
      <w:proofErr w:type="spellEnd"/>
      <w:r>
        <w:t xml:space="preserve"> again that the work </w:t>
      </w:r>
      <w:r w:rsidR="005B6B7C">
        <w:t>reported here is offered principally as an indication of the kinds of analyses required to engage the mathematics education research community, we will conclude with three remarks.</w:t>
      </w:r>
    </w:p>
    <w:p w14:paraId="798BCD7A" w14:textId="77777777" w:rsidR="00296D23" w:rsidRDefault="00FF4497" w:rsidP="00385974">
      <w:r>
        <w:t>First, c</w:t>
      </w:r>
      <w:r w:rsidR="005B6B7C">
        <w:t xml:space="preserve">oncerning political, pedagogical and socio-scientific responses to PISA, </w:t>
      </w:r>
      <w:proofErr w:type="spellStart"/>
      <w:r w:rsidR="005B6B7C">
        <w:t>Carvalho’s</w:t>
      </w:r>
      <w:proofErr w:type="spellEnd"/>
      <w:r w:rsidR="005B6B7C">
        <w:t xml:space="preserve"> (2012) </w:t>
      </w:r>
      <w:r w:rsidR="00293C90">
        <w:t>conception</w:t>
      </w:r>
      <w:r w:rsidR="005B6B7C">
        <w:t xml:space="preserve"> of PISA as</w:t>
      </w:r>
      <w:r w:rsidR="00293C90">
        <w:t xml:space="preserve"> a complex of activities and actors generating diverse resources for social action in various social spaces commits us to a detail</w:t>
      </w:r>
      <w:r w:rsidR="00A01CD9">
        <w:t>ed</w:t>
      </w:r>
      <w:r w:rsidR="00293C90">
        <w:t xml:space="preserve"> analysis of how different fields</w:t>
      </w:r>
      <w:r w:rsidR="008A0F1C">
        <w:t xml:space="preserve"> of action are reconfigured, re-constituting and, simultaneously, de-constructing the field of symbolic control, in power game</w:t>
      </w:r>
      <w:r w:rsidR="00DA7916">
        <w:t>s, enrolling and engaging agencies, agents and actors, provoking resistance and</w:t>
      </w:r>
      <w:r w:rsidR="00A0723D">
        <w:t xml:space="preserve"> forming</w:t>
      </w:r>
      <w:r w:rsidR="00DA7916">
        <w:t xml:space="preserve"> counter-discourses, solidifying s</w:t>
      </w:r>
      <w:r w:rsidR="00296D23">
        <w:t xml:space="preserve">paces of action and transgressing boundaries and opening new and </w:t>
      </w:r>
      <w:r w:rsidR="00A0723D">
        <w:t>“</w:t>
      </w:r>
      <w:r w:rsidR="00296D23">
        <w:t>free</w:t>
      </w:r>
      <w:r w:rsidR="00A0723D">
        <w:t>”</w:t>
      </w:r>
      <w:r w:rsidR="00296D23">
        <w:t xml:space="preserve"> spaces for determination and self-regulation. </w:t>
      </w:r>
    </w:p>
    <w:p w14:paraId="0356CC17" w14:textId="63795C34" w:rsidR="00385974" w:rsidRDefault="00296D23" w:rsidP="004E4EB1">
      <w:r>
        <w:t xml:space="preserve">Second, </w:t>
      </w:r>
      <w:r w:rsidR="00D96B8B">
        <w:t>the attempt to produce a compleme</w:t>
      </w:r>
      <w:r w:rsidR="003742D0">
        <w:t xml:space="preserve">ntary critical approach to PISA, based on some commonalities in the perspectives of Bernstein and Foucault, such as </w:t>
      </w:r>
      <w:r w:rsidR="00FF4497">
        <w:t xml:space="preserve">the </w:t>
      </w:r>
      <w:r w:rsidR="003742D0">
        <w:t>rules of formation of discourses</w:t>
      </w:r>
      <w:r w:rsidR="004E4EB1">
        <w:t>,</w:t>
      </w:r>
      <w:r w:rsidR="003742D0">
        <w:t xml:space="preserve"> but also significant differences in the ways they have </w:t>
      </w:r>
      <w:r w:rsidR="00FF4497">
        <w:t>inquired</w:t>
      </w:r>
      <w:r w:rsidR="003742D0">
        <w:t xml:space="preserve"> into </w:t>
      </w:r>
      <w:r w:rsidR="00FF4497">
        <w:t>knowledge/</w:t>
      </w:r>
      <w:r w:rsidR="003742D0">
        <w:t xml:space="preserve">power </w:t>
      </w:r>
      <w:r w:rsidR="00FF4497">
        <w:t xml:space="preserve">relations, we believe, has been proved to be very productive. Analysis of the logic of PISA, what Bernstein would call the inner logic of emerging practices, as a consequence </w:t>
      </w:r>
      <w:r w:rsidR="008C4964">
        <w:t>and respo</w:t>
      </w:r>
      <w:r w:rsidR="00FF4497">
        <w:t xml:space="preserve">nse to global policy discourses </w:t>
      </w:r>
      <w:r w:rsidR="008C4964">
        <w:t xml:space="preserve">on new forms of </w:t>
      </w:r>
      <w:r w:rsidR="00FF4497">
        <w:t>knowledge and pedagogy within the field of education and within</w:t>
      </w:r>
      <w:r w:rsidR="008C4964">
        <w:t xml:space="preserve"> the field of symbolic control; </w:t>
      </w:r>
      <w:r w:rsidR="00FF4497">
        <w:t>and analysis of current political rationalities, and the rationality of PISA</w:t>
      </w:r>
      <w:r w:rsidR="004E4EB1">
        <w:t>, as proposed by the work of Foucault,</w:t>
      </w:r>
      <w:r w:rsidR="008C4964">
        <w:t xml:space="preserve"> point to “a range of hybrid possibilities” </w:t>
      </w:r>
      <w:r w:rsidR="000B54AF">
        <w:rPr>
          <w:noProof/>
        </w:rPr>
        <w:t>(Muller, 1998, p.191)</w:t>
      </w:r>
      <w:r w:rsidR="004E4EB1">
        <w:t xml:space="preserve"> creating a complex</w:t>
      </w:r>
      <w:r w:rsidR="008C4964">
        <w:t xml:space="preserve"> field of contestation, which deserves detailed analysis within a</w:t>
      </w:r>
      <w:r w:rsidR="00A0723D">
        <w:t xml:space="preserve"> systematic</w:t>
      </w:r>
      <w:r w:rsidR="008C4964">
        <w:t xml:space="preserve"> </w:t>
      </w:r>
      <w:proofErr w:type="spellStart"/>
      <w:r w:rsidR="008C4964">
        <w:t>programme</w:t>
      </w:r>
      <w:proofErr w:type="spellEnd"/>
      <w:r w:rsidR="008C4964">
        <w:t xml:space="preserve"> of research. This is very important in </w:t>
      </w:r>
      <w:r w:rsidR="00443A7B">
        <w:t>education</w:t>
      </w:r>
      <w:r w:rsidR="008C4964">
        <w:t xml:space="preserve"> </w:t>
      </w:r>
      <w:r w:rsidR="00443A7B">
        <w:t>research</w:t>
      </w:r>
      <w:r w:rsidR="008C4964">
        <w:t xml:space="preserve"> and especially in the interstices between </w:t>
      </w:r>
      <w:r w:rsidR="009F3434">
        <w:t xml:space="preserve">specific knowledge production fields in education (like </w:t>
      </w:r>
      <w:r w:rsidR="008C4964">
        <w:t>mathematics education research</w:t>
      </w:r>
      <w:r w:rsidR="009F3434">
        <w:t>)</w:t>
      </w:r>
      <w:r w:rsidR="008C4964">
        <w:t xml:space="preserve"> and the field of assessment and evaluation. In particular in such newly formed and still fluid spaces it is important to identify and describe the nuances in the struggle </w:t>
      </w:r>
      <w:r w:rsidR="009F3434">
        <w:t>for the “soul of the worker/learner/citizen” of our times</w:t>
      </w:r>
      <w:r w:rsidR="00213595">
        <w:t>. This entails, on the one hand,</w:t>
      </w:r>
      <w:r w:rsidR="009F3434">
        <w:t xml:space="preserve"> </w:t>
      </w:r>
      <w:r w:rsidR="00213595">
        <w:t>detailing the</w:t>
      </w:r>
      <w:r w:rsidR="00443A7B">
        <w:t xml:space="preserve"> kinds of scripts develop</w:t>
      </w:r>
      <w:r w:rsidR="00213595">
        <w:t>ed</w:t>
      </w:r>
      <w:r w:rsidR="00443A7B">
        <w:t xml:space="preserve"> and</w:t>
      </w:r>
      <w:r w:rsidR="009F3434">
        <w:t xml:space="preserve"> pursued within the PISA regim</w:t>
      </w:r>
      <w:r w:rsidR="00A0723D">
        <w:t xml:space="preserve">e, </w:t>
      </w:r>
      <w:r w:rsidR="00213595">
        <w:t xml:space="preserve">as it is manifested in various local contexts. On the other hand, it is also necessary to </w:t>
      </w:r>
      <w:r w:rsidR="00C73EC5">
        <w:t xml:space="preserve">develop an understanding of </w:t>
      </w:r>
      <w:r w:rsidR="009F3434">
        <w:t xml:space="preserve">how individuals and collective actors engage in action </w:t>
      </w:r>
      <w:r w:rsidR="004E4EB1">
        <w:t>under the global script of the “well-tempered learner</w:t>
      </w:r>
      <w:r w:rsidR="00443A7B">
        <w:t>”</w:t>
      </w:r>
      <w:r w:rsidR="002C55E6">
        <w:t xml:space="preserve"> (Muller, 1998)</w:t>
      </w:r>
      <w:r w:rsidR="00443A7B">
        <w:t xml:space="preserve">. </w:t>
      </w:r>
      <w:r w:rsidR="00C73EC5">
        <w:t xml:space="preserve">The conclusion that PISA is simply a manifestation of </w:t>
      </w:r>
      <w:r w:rsidR="004E4EB1">
        <w:t>the “</w:t>
      </w:r>
      <w:r w:rsidR="00443A7B">
        <w:t>ideology of neo-libe</w:t>
      </w:r>
      <w:r w:rsidR="004E4EB1">
        <w:t>r</w:t>
      </w:r>
      <w:r w:rsidR="00443A7B">
        <w:t>a</w:t>
      </w:r>
      <w:r w:rsidR="004E4EB1">
        <w:t xml:space="preserve">lism” cannot be the final word. </w:t>
      </w:r>
      <w:r w:rsidR="00385974">
        <w:t xml:space="preserve"> </w:t>
      </w:r>
    </w:p>
    <w:p w14:paraId="33E0511E" w14:textId="306BCE3C" w:rsidR="00561D48" w:rsidRDefault="00561D48" w:rsidP="004E4EB1">
      <w:r>
        <w:t xml:space="preserve">Finally, the changes in curricula and pedagogies brought about by the action of global policy networks and technologies of power are rekindling interest in this </w:t>
      </w:r>
      <w:r w:rsidR="00D853FB">
        <w:t xml:space="preserve">very important area of education research </w:t>
      </w:r>
      <w:r w:rsidR="00D853FB" w:rsidRPr="006C4D35">
        <w:t>(</w:t>
      </w:r>
      <w:proofErr w:type="spellStart"/>
      <w:r w:rsidR="00D853FB" w:rsidRPr="006C4D35">
        <w:t>Seddon</w:t>
      </w:r>
      <w:proofErr w:type="spellEnd"/>
      <w:r w:rsidR="00D853FB" w:rsidRPr="006C4D35">
        <w:t xml:space="preserve"> &amp; Levin, 2013)</w:t>
      </w:r>
      <w:r w:rsidR="00D853FB">
        <w:t>. Systematic and principled research within the field of mathematics</w:t>
      </w:r>
      <w:r>
        <w:t xml:space="preserve"> education </w:t>
      </w:r>
      <w:r w:rsidR="00D853FB">
        <w:t xml:space="preserve">is required, </w:t>
      </w:r>
      <w:proofErr w:type="spellStart"/>
      <w:r w:rsidR="00D853FB">
        <w:t>recognising</w:t>
      </w:r>
      <w:proofErr w:type="spellEnd"/>
      <w:r w:rsidR="00D853FB">
        <w:t xml:space="preserve"> how researchers themselves are already repositioned in transnational spaces.</w:t>
      </w:r>
      <w:r>
        <w:t xml:space="preserve">    </w:t>
      </w:r>
    </w:p>
    <w:p w14:paraId="1A325FDF" w14:textId="77777777" w:rsidR="00FF223B" w:rsidRDefault="00FF223B" w:rsidP="00BB39FF">
      <w:pPr>
        <w:pStyle w:val="Heading2"/>
      </w:pPr>
      <w:r>
        <w:t>References</w:t>
      </w:r>
    </w:p>
    <w:p w14:paraId="1994A430" w14:textId="56997FA2" w:rsidR="007B7875" w:rsidRPr="000D5CA1" w:rsidRDefault="000D5CA1" w:rsidP="000D5CA1">
      <w:pPr>
        <w:ind w:left="567" w:hanging="567"/>
        <w:rPr>
          <w:rFonts w:asciiTheme="minorHAnsi" w:hAnsiTheme="minorHAnsi"/>
        </w:rPr>
      </w:pPr>
      <w:proofErr w:type="spellStart"/>
      <w:r>
        <w:rPr>
          <w:rFonts w:asciiTheme="minorHAnsi" w:hAnsiTheme="minorHAnsi"/>
        </w:rPr>
        <w:t>Ammermueller</w:t>
      </w:r>
      <w:proofErr w:type="spellEnd"/>
      <w:r>
        <w:rPr>
          <w:rFonts w:asciiTheme="minorHAnsi" w:hAnsiTheme="minorHAnsi"/>
        </w:rPr>
        <w:t xml:space="preserve">, A. (2007). </w:t>
      </w:r>
      <w:r w:rsidR="007B7875" w:rsidRPr="000D5CA1">
        <w:rPr>
          <w:rFonts w:asciiTheme="minorHAnsi" w:hAnsiTheme="minorHAnsi"/>
          <w:bCs/>
        </w:rPr>
        <w:t>PISA: What makes the difference?</w:t>
      </w:r>
      <w:r w:rsidR="007B7875" w:rsidRPr="000D5CA1">
        <w:rPr>
          <w:rFonts w:asciiTheme="minorHAnsi" w:hAnsiTheme="minorHAnsi"/>
        </w:rPr>
        <w:t xml:space="preserve"> </w:t>
      </w:r>
      <w:r w:rsidR="007B7875" w:rsidRPr="000D5CA1">
        <w:rPr>
          <w:rFonts w:asciiTheme="minorHAnsi" w:hAnsiTheme="minorHAnsi"/>
          <w:i/>
        </w:rPr>
        <w:t>Empirical Economics</w:t>
      </w:r>
      <w:r>
        <w:rPr>
          <w:rFonts w:asciiTheme="minorHAnsi" w:hAnsiTheme="minorHAnsi"/>
          <w:i/>
        </w:rPr>
        <w:t>,</w:t>
      </w:r>
      <w:r>
        <w:rPr>
          <w:rFonts w:asciiTheme="minorHAnsi" w:hAnsiTheme="minorHAnsi"/>
        </w:rPr>
        <w:t xml:space="preserve"> </w:t>
      </w:r>
      <w:r w:rsidR="007B7875" w:rsidRPr="000D5CA1">
        <w:rPr>
          <w:rFonts w:asciiTheme="minorHAnsi" w:hAnsiTheme="minorHAnsi"/>
        </w:rPr>
        <w:t xml:space="preserve">33(2), </w:t>
      </w:r>
      <w:r>
        <w:rPr>
          <w:rFonts w:asciiTheme="minorHAnsi" w:hAnsiTheme="minorHAnsi"/>
        </w:rPr>
        <w:t>263-287</w:t>
      </w:r>
      <w:r w:rsidR="007B7875" w:rsidRPr="000D5CA1">
        <w:rPr>
          <w:rFonts w:asciiTheme="minorHAnsi" w:hAnsiTheme="minorHAnsi"/>
        </w:rPr>
        <w:t>.</w:t>
      </w:r>
    </w:p>
    <w:p w14:paraId="766B856C" w14:textId="0D554759" w:rsidR="007B7875" w:rsidRPr="000D5CA1" w:rsidRDefault="007B7875" w:rsidP="000D5CA1">
      <w:pPr>
        <w:ind w:left="567" w:hanging="567"/>
        <w:rPr>
          <w:rFonts w:asciiTheme="minorHAnsi" w:hAnsiTheme="minorHAnsi"/>
        </w:rPr>
      </w:pPr>
      <w:r w:rsidRPr="000D5CA1">
        <w:rPr>
          <w:rFonts w:asciiTheme="minorHAnsi" w:hAnsiTheme="minorHAnsi"/>
        </w:rPr>
        <w:t xml:space="preserve">Ball, S.J. (2008). </w:t>
      </w:r>
      <w:proofErr w:type="gramStart"/>
      <w:r w:rsidR="000D5CA1">
        <w:rPr>
          <w:rFonts w:asciiTheme="minorHAnsi" w:hAnsiTheme="minorHAnsi"/>
          <w:i/>
        </w:rPr>
        <w:t>The Education D</w:t>
      </w:r>
      <w:r w:rsidRPr="000D5CA1">
        <w:rPr>
          <w:rFonts w:asciiTheme="minorHAnsi" w:hAnsiTheme="minorHAnsi"/>
          <w:i/>
        </w:rPr>
        <w:t>ebate</w:t>
      </w:r>
      <w:r w:rsidRPr="000D5CA1">
        <w:rPr>
          <w:rFonts w:asciiTheme="minorHAnsi" w:hAnsiTheme="minorHAnsi"/>
        </w:rPr>
        <w:t>.</w:t>
      </w:r>
      <w:proofErr w:type="gramEnd"/>
      <w:r w:rsidRPr="000D5CA1">
        <w:rPr>
          <w:rFonts w:asciiTheme="minorHAnsi" w:hAnsiTheme="minorHAnsi"/>
        </w:rPr>
        <w:t xml:space="preserve"> Bristol: The Policy Press.</w:t>
      </w:r>
    </w:p>
    <w:p w14:paraId="15EA8516" w14:textId="513EA856" w:rsidR="000B54AF" w:rsidRPr="000D5CA1" w:rsidRDefault="000B54AF" w:rsidP="000D5CA1">
      <w:pPr>
        <w:ind w:left="567" w:hanging="567"/>
        <w:rPr>
          <w:rFonts w:asciiTheme="minorHAnsi" w:hAnsiTheme="minorHAnsi"/>
          <w:noProof/>
        </w:rPr>
      </w:pPr>
      <w:r w:rsidRPr="000D5CA1">
        <w:rPr>
          <w:rFonts w:asciiTheme="minorHAnsi" w:hAnsiTheme="minorHAnsi"/>
          <w:noProof/>
        </w:rPr>
        <w:t>Ball, S. J., Maguire, M., &amp; Bra</w:t>
      </w:r>
      <w:r w:rsidR="00C22FA8">
        <w:rPr>
          <w:rFonts w:asciiTheme="minorHAnsi" w:hAnsiTheme="minorHAnsi"/>
          <w:noProof/>
        </w:rPr>
        <w:t>u</w:t>
      </w:r>
      <w:r w:rsidRPr="000D5CA1">
        <w:rPr>
          <w:rFonts w:asciiTheme="minorHAnsi" w:hAnsiTheme="minorHAnsi"/>
          <w:noProof/>
        </w:rPr>
        <w:t xml:space="preserve">n, A. (2012). </w:t>
      </w:r>
      <w:r w:rsidRPr="000D5CA1">
        <w:rPr>
          <w:rFonts w:asciiTheme="minorHAnsi" w:hAnsiTheme="minorHAnsi"/>
          <w:i/>
          <w:noProof/>
        </w:rPr>
        <w:t>How schools do policy. Policy enactments in secondary schools</w:t>
      </w:r>
      <w:r w:rsidRPr="000D5CA1">
        <w:rPr>
          <w:rFonts w:asciiTheme="minorHAnsi" w:hAnsiTheme="minorHAnsi"/>
          <w:noProof/>
        </w:rPr>
        <w:t>. London: Routledge.</w:t>
      </w:r>
    </w:p>
    <w:p w14:paraId="6100526A" w14:textId="77777777" w:rsidR="00656A5E" w:rsidRPr="000D5CA1" w:rsidRDefault="00656A5E" w:rsidP="000D5CA1">
      <w:pPr>
        <w:ind w:left="567" w:hanging="567"/>
        <w:rPr>
          <w:rFonts w:asciiTheme="minorHAnsi" w:hAnsiTheme="minorHAnsi"/>
        </w:rPr>
      </w:pPr>
      <w:r w:rsidRPr="000D5CA1">
        <w:rPr>
          <w:rFonts w:asciiTheme="minorHAnsi" w:hAnsiTheme="minorHAnsi"/>
        </w:rPr>
        <w:t xml:space="preserve">Beck, J. (2008) Governmental professionalism: </w:t>
      </w:r>
      <w:proofErr w:type="spellStart"/>
      <w:r w:rsidRPr="000D5CA1">
        <w:rPr>
          <w:rFonts w:asciiTheme="minorHAnsi" w:hAnsiTheme="minorHAnsi"/>
        </w:rPr>
        <w:t>Reprofessionalising</w:t>
      </w:r>
      <w:proofErr w:type="spellEnd"/>
      <w:r w:rsidRPr="000D5CA1">
        <w:rPr>
          <w:rFonts w:asciiTheme="minorHAnsi" w:hAnsiTheme="minorHAnsi"/>
        </w:rPr>
        <w:t xml:space="preserve"> teachers in England? </w:t>
      </w:r>
      <w:r w:rsidRPr="000D5CA1">
        <w:rPr>
          <w:rFonts w:asciiTheme="minorHAnsi" w:hAnsiTheme="minorHAnsi"/>
          <w:i/>
        </w:rPr>
        <w:t>British Journal of Educational Studies</w:t>
      </w:r>
      <w:r w:rsidRPr="000D5CA1">
        <w:rPr>
          <w:rFonts w:asciiTheme="minorHAnsi" w:hAnsiTheme="minorHAnsi"/>
        </w:rPr>
        <w:t>, 56(2), 119-143</w:t>
      </w:r>
    </w:p>
    <w:p w14:paraId="646699E7" w14:textId="77777777" w:rsidR="000B54AF" w:rsidRPr="000D5CA1" w:rsidRDefault="000B54AF" w:rsidP="000D5CA1">
      <w:pPr>
        <w:ind w:left="567" w:hanging="567"/>
        <w:rPr>
          <w:rFonts w:asciiTheme="minorHAnsi" w:hAnsiTheme="minorHAnsi"/>
          <w:noProof/>
        </w:rPr>
      </w:pPr>
      <w:r w:rsidRPr="000D5CA1">
        <w:rPr>
          <w:rFonts w:asciiTheme="minorHAnsi" w:hAnsiTheme="minorHAnsi"/>
          <w:noProof/>
        </w:rPr>
        <w:lastRenderedPageBreak/>
        <w:t xml:space="preserve">Bernstein, B. (1990). </w:t>
      </w:r>
      <w:r w:rsidRPr="000D5CA1">
        <w:rPr>
          <w:rFonts w:asciiTheme="minorHAnsi" w:hAnsiTheme="minorHAnsi"/>
          <w:i/>
          <w:noProof/>
        </w:rPr>
        <w:t>Class, Codes and Control, Vol.IV: The Structuring of Pedagogic Discourse</w:t>
      </w:r>
      <w:r w:rsidRPr="000D5CA1">
        <w:rPr>
          <w:rFonts w:asciiTheme="minorHAnsi" w:hAnsiTheme="minorHAnsi"/>
          <w:noProof/>
        </w:rPr>
        <w:t>. London: Routledge.</w:t>
      </w:r>
    </w:p>
    <w:p w14:paraId="4F2B1440" w14:textId="77777777" w:rsidR="000B54AF" w:rsidRPr="000D5CA1" w:rsidRDefault="000B54AF" w:rsidP="000D5CA1">
      <w:pPr>
        <w:ind w:left="567" w:hanging="567"/>
        <w:rPr>
          <w:rFonts w:asciiTheme="minorHAnsi" w:hAnsiTheme="minorHAnsi"/>
          <w:noProof/>
        </w:rPr>
      </w:pPr>
      <w:r w:rsidRPr="000D5CA1">
        <w:rPr>
          <w:rFonts w:asciiTheme="minorHAnsi" w:hAnsiTheme="minorHAnsi"/>
          <w:noProof/>
        </w:rPr>
        <w:t xml:space="preserve">Bernstein, B. (2000). </w:t>
      </w:r>
      <w:r w:rsidRPr="000D5CA1">
        <w:rPr>
          <w:rFonts w:asciiTheme="minorHAnsi" w:hAnsiTheme="minorHAnsi"/>
          <w:i/>
          <w:noProof/>
        </w:rPr>
        <w:t>Pedagogy, Symbolic Control and Identity: Theory, Research and Critique</w:t>
      </w:r>
      <w:r w:rsidRPr="000D5CA1">
        <w:rPr>
          <w:rFonts w:asciiTheme="minorHAnsi" w:hAnsiTheme="minorHAnsi"/>
          <w:noProof/>
        </w:rPr>
        <w:t xml:space="preserve"> (revised ed.). Lanham: Rowman and Littlefield.</w:t>
      </w:r>
    </w:p>
    <w:p w14:paraId="42B4B337" w14:textId="77777777" w:rsidR="002E5108" w:rsidRPr="000D5CA1" w:rsidRDefault="002E5108" w:rsidP="000D5CA1">
      <w:pPr>
        <w:ind w:left="567" w:hanging="567"/>
        <w:rPr>
          <w:rFonts w:asciiTheme="minorHAnsi" w:eastAsiaTheme="minorEastAsia" w:hAnsiTheme="minorHAnsi" w:cs="Helvetica"/>
        </w:rPr>
      </w:pPr>
      <w:proofErr w:type="spellStart"/>
      <w:r w:rsidRPr="000D5CA1">
        <w:rPr>
          <w:rFonts w:asciiTheme="minorHAnsi" w:eastAsiaTheme="minorEastAsia" w:hAnsiTheme="minorHAnsi" w:cs="Helvetica"/>
        </w:rPr>
        <w:t>Bodin</w:t>
      </w:r>
      <w:proofErr w:type="spellEnd"/>
      <w:r w:rsidRPr="000D5CA1">
        <w:rPr>
          <w:rFonts w:asciiTheme="minorHAnsi" w:eastAsiaTheme="minorEastAsia" w:hAnsiTheme="minorHAnsi" w:cs="Helvetica"/>
        </w:rPr>
        <w:t xml:space="preserve">, A. (2005). </w:t>
      </w:r>
      <w:r w:rsidRPr="000D5CA1">
        <w:rPr>
          <w:rFonts w:asciiTheme="minorHAnsi" w:eastAsiaTheme="minorEastAsia" w:hAnsiTheme="minorHAnsi" w:cs="Helvetica"/>
          <w:i/>
          <w:iCs/>
        </w:rPr>
        <w:t>What does PISA really assess? What it doesn't? A French view</w:t>
      </w:r>
      <w:r w:rsidRPr="000D5CA1">
        <w:rPr>
          <w:rFonts w:asciiTheme="minorHAnsi" w:eastAsiaTheme="minorEastAsia" w:hAnsiTheme="minorHAnsi" w:cs="Helvetica"/>
        </w:rPr>
        <w:t>. Paper presented at the Joint Finnish-French conference: Teaching mathematics: Beyond the PISA survey. http://smf4.emath.fr/VieSociete/Rencontres/France-Finlande-2005/BodinGB.pdf</w:t>
      </w:r>
    </w:p>
    <w:p w14:paraId="294C2843" w14:textId="77777777" w:rsidR="000B54AF" w:rsidRPr="000D5CA1" w:rsidRDefault="000B54AF" w:rsidP="000D5CA1">
      <w:pPr>
        <w:ind w:left="567" w:hanging="567"/>
        <w:rPr>
          <w:rFonts w:asciiTheme="minorHAnsi" w:hAnsiTheme="minorHAnsi"/>
          <w:noProof/>
        </w:rPr>
      </w:pPr>
      <w:r w:rsidRPr="000D5CA1">
        <w:rPr>
          <w:rFonts w:asciiTheme="minorHAnsi" w:hAnsiTheme="minorHAnsi"/>
          <w:noProof/>
        </w:rPr>
        <w:t xml:space="preserve">Braathe, H. J., &amp; Otterstad, A. M. (2013). </w:t>
      </w:r>
      <w:r w:rsidRPr="000D5CA1">
        <w:rPr>
          <w:rFonts w:asciiTheme="minorHAnsi" w:hAnsiTheme="minorHAnsi"/>
          <w:i/>
          <w:noProof/>
        </w:rPr>
        <w:t>Research based teacher education: Discursive positioning of teacher educators in Norway</w:t>
      </w:r>
      <w:r w:rsidRPr="000D5CA1">
        <w:rPr>
          <w:rFonts w:asciiTheme="minorHAnsi" w:hAnsiTheme="minorHAnsi"/>
          <w:noProof/>
        </w:rPr>
        <w:t xml:space="preserve">. Paper presented at the Mathematics Education and Society 7, Cape Town , South Africa. </w:t>
      </w:r>
    </w:p>
    <w:p w14:paraId="69B15FAA" w14:textId="77777777" w:rsidR="000B54AF" w:rsidRPr="000D5CA1" w:rsidRDefault="000B54AF" w:rsidP="000D5CA1">
      <w:pPr>
        <w:ind w:left="567" w:hanging="567"/>
        <w:rPr>
          <w:rFonts w:asciiTheme="minorHAnsi" w:hAnsiTheme="minorHAnsi"/>
          <w:noProof/>
        </w:rPr>
      </w:pPr>
      <w:r w:rsidRPr="000D5CA1">
        <w:rPr>
          <w:rFonts w:asciiTheme="minorHAnsi" w:hAnsiTheme="minorHAnsi"/>
          <w:noProof/>
        </w:rPr>
        <w:t xml:space="preserve">Cabassut, R., &amp; Villette, J.-P. (2011). Exploratory data analysis of a European teacher training course on modelling. In M. Pytlak, T. Rowland &amp; E. Swoboda (Eds.), </w:t>
      </w:r>
      <w:r w:rsidRPr="000D5CA1">
        <w:rPr>
          <w:rFonts w:asciiTheme="minorHAnsi" w:hAnsiTheme="minorHAnsi"/>
          <w:i/>
          <w:noProof/>
        </w:rPr>
        <w:t>Proceedings of the Seventh Congress of the European Society for Research in Mathematics Education</w:t>
      </w:r>
      <w:r w:rsidRPr="000D5CA1">
        <w:rPr>
          <w:rFonts w:asciiTheme="minorHAnsi" w:hAnsiTheme="minorHAnsi"/>
          <w:noProof/>
        </w:rPr>
        <w:t xml:space="preserve"> (pp. 1565-1574). Rzeszów, Poland: University of Rzeszów.</w:t>
      </w:r>
    </w:p>
    <w:p w14:paraId="7B635F3F" w14:textId="77777777" w:rsidR="000B54AF" w:rsidRPr="000D5CA1" w:rsidRDefault="000B54AF" w:rsidP="000D5CA1">
      <w:pPr>
        <w:ind w:left="567" w:hanging="567"/>
        <w:rPr>
          <w:rFonts w:asciiTheme="minorHAnsi" w:hAnsiTheme="minorHAnsi"/>
          <w:noProof/>
        </w:rPr>
      </w:pPr>
      <w:r w:rsidRPr="000D5CA1">
        <w:rPr>
          <w:rFonts w:asciiTheme="minorHAnsi" w:hAnsiTheme="minorHAnsi"/>
          <w:noProof/>
        </w:rPr>
        <w:t xml:space="preserve">Carvalho, L. M. (2012). The fabrications and travels of a knowledge-policy instrument. </w:t>
      </w:r>
      <w:r w:rsidRPr="000D5CA1">
        <w:rPr>
          <w:rFonts w:asciiTheme="minorHAnsi" w:hAnsiTheme="minorHAnsi"/>
          <w:i/>
          <w:noProof/>
        </w:rPr>
        <w:t>European Educational Research Journal, 11</w:t>
      </w:r>
      <w:r w:rsidRPr="000D5CA1">
        <w:rPr>
          <w:rFonts w:asciiTheme="minorHAnsi" w:hAnsiTheme="minorHAnsi"/>
          <w:noProof/>
        </w:rPr>
        <w:t xml:space="preserve">(2), 172-188. </w:t>
      </w:r>
    </w:p>
    <w:p w14:paraId="2E49F6A3" w14:textId="77777777" w:rsidR="000B54AF" w:rsidRPr="000D5CA1" w:rsidRDefault="000B54AF" w:rsidP="000D5CA1">
      <w:pPr>
        <w:ind w:left="567" w:hanging="567"/>
        <w:rPr>
          <w:rFonts w:asciiTheme="minorHAnsi" w:hAnsiTheme="minorHAnsi"/>
          <w:noProof/>
        </w:rPr>
      </w:pPr>
      <w:r w:rsidRPr="000D5CA1">
        <w:rPr>
          <w:rFonts w:asciiTheme="minorHAnsi" w:hAnsiTheme="minorHAnsi"/>
          <w:noProof/>
        </w:rPr>
        <w:t xml:space="preserve">Cooper, B., &amp; Dunne, M. (2000). </w:t>
      </w:r>
      <w:r w:rsidRPr="000D5CA1">
        <w:rPr>
          <w:rFonts w:asciiTheme="minorHAnsi" w:hAnsiTheme="minorHAnsi"/>
          <w:i/>
          <w:noProof/>
        </w:rPr>
        <w:t>Assessing Children's Mathematical Knowledge: Social Class, Sex and Problem-Solving</w:t>
      </w:r>
      <w:r w:rsidRPr="000D5CA1">
        <w:rPr>
          <w:rFonts w:asciiTheme="minorHAnsi" w:hAnsiTheme="minorHAnsi"/>
          <w:noProof/>
        </w:rPr>
        <w:t>. Buckingham: Open University Press.</w:t>
      </w:r>
    </w:p>
    <w:p w14:paraId="6687A3B4" w14:textId="1B9EC766" w:rsidR="007B7875" w:rsidRPr="000D5CA1" w:rsidRDefault="007B7875" w:rsidP="000D5CA1">
      <w:pPr>
        <w:ind w:left="567" w:hanging="567"/>
        <w:rPr>
          <w:rFonts w:asciiTheme="minorHAnsi" w:hAnsiTheme="minorHAnsi"/>
        </w:rPr>
      </w:pPr>
      <w:proofErr w:type="spellStart"/>
      <w:r w:rsidRPr="000D5CA1">
        <w:rPr>
          <w:rFonts w:asciiTheme="minorHAnsi" w:hAnsiTheme="minorHAnsi"/>
        </w:rPr>
        <w:t>Dohn</w:t>
      </w:r>
      <w:proofErr w:type="spellEnd"/>
      <w:r w:rsidRPr="000D5CA1">
        <w:rPr>
          <w:rFonts w:asciiTheme="minorHAnsi" w:hAnsiTheme="minorHAnsi"/>
        </w:rPr>
        <w:t>, N.B. (2007)</w:t>
      </w:r>
      <w:r w:rsidR="000D5CA1">
        <w:rPr>
          <w:rFonts w:asciiTheme="minorHAnsi" w:hAnsiTheme="minorHAnsi"/>
        </w:rPr>
        <w:t>.</w:t>
      </w:r>
      <w:r w:rsidRPr="000D5CA1">
        <w:rPr>
          <w:rFonts w:asciiTheme="minorHAnsi" w:hAnsiTheme="minorHAnsi"/>
        </w:rPr>
        <w:t xml:space="preserve"> </w:t>
      </w:r>
      <w:proofErr w:type="gramStart"/>
      <w:r w:rsidRPr="000D5CA1">
        <w:rPr>
          <w:rFonts w:asciiTheme="minorHAnsi" w:hAnsiTheme="minorHAnsi"/>
        </w:rPr>
        <w:t>Knowledge and skills for PISA - assessing the assessment.</w:t>
      </w:r>
      <w:proofErr w:type="gramEnd"/>
      <w:r w:rsidRPr="000D5CA1">
        <w:rPr>
          <w:rFonts w:asciiTheme="minorHAnsi" w:hAnsiTheme="minorHAnsi"/>
        </w:rPr>
        <w:t xml:space="preserve"> </w:t>
      </w:r>
      <w:r w:rsidRPr="000D5CA1">
        <w:rPr>
          <w:rFonts w:asciiTheme="minorHAnsi" w:hAnsiTheme="minorHAnsi"/>
          <w:i/>
        </w:rPr>
        <w:t>Journal of Philosophy of Education, 41</w:t>
      </w:r>
      <w:r w:rsidRPr="000D5CA1">
        <w:rPr>
          <w:rFonts w:asciiTheme="minorHAnsi" w:hAnsiTheme="minorHAnsi"/>
        </w:rPr>
        <w:t>(1), 1-16.</w:t>
      </w:r>
    </w:p>
    <w:p w14:paraId="7CA01E15" w14:textId="35545205" w:rsidR="000B54AF" w:rsidRPr="000D5CA1" w:rsidRDefault="000B54AF" w:rsidP="000D5CA1">
      <w:pPr>
        <w:ind w:left="567" w:hanging="567"/>
        <w:rPr>
          <w:rFonts w:asciiTheme="minorHAnsi" w:hAnsiTheme="minorHAnsi"/>
          <w:noProof/>
        </w:rPr>
      </w:pPr>
      <w:r w:rsidRPr="000D5CA1">
        <w:rPr>
          <w:rFonts w:asciiTheme="minorHAnsi" w:hAnsiTheme="minorHAnsi"/>
          <w:noProof/>
        </w:rPr>
        <w:t xml:space="preserve">Doig, B. (2006). Large-scale mathematics assessment: looking globally to act locally. </w:t>
      </w:r>
      <w:r w:rsidRPr="000D5CA1">
        <w:rPr>
          <w:rFonts w:asciiTheme="minorHAnsi" w:hAnsiTheme="minorHAnsi"/>
          <w:i/>
          <w:noProof/>
        </w:rPr>
        <w:t>Assessment in Education: Principles, Policy &amp; Practice, 13</w:t>
      </w:r>
      <w:r w:rsidRPr="000D5CA1">
        <w:rPr>
          <w:rFonts w:asciiTheme="minorHAnsi" w:hAnsiTheme="minorHAnsi"/>
          <w:noProof/>
        </w:rPr>
        <w:t>(3), 265-288. doi: 10.1080/09695940601035403</w:t>
      </w:r>
    </w:p>
    <w:p w14:paraId="7EDB6BF8" w14:textId="77777777" w:rsidR="000D5CA1" w:rsidRDefault="007B7875" w:rsidP="000D5CA1">
      <w:pPr>
        <w:ind w:left="567" w:hanging="567"/>
        <w:rPr>
          <w:rFonts w:asciiTheme="minorHAnsi" w:hAnsiTheme="minorHAnsi"/>
          <w:noProof/>
        </w:rPr>
      </w:pPr>
      <w:r w:rsidRPr="000D5CA1">
        <w:rPr>
          <w:rFonts w:asciiTheme="minorHAnsi" w:hAnsiTheme="minorHAnsi"/>
          <w:noProof/>
        </w:rPr>
        <w:t xml:space="preserve">Ertl, H. (2006). Educational standards and the changing discourse on education: the reception and consequences of the PISA study in Germany. </w:t>
      </w:r>
      <w:r w:rsidRPr="000D5CA1">
        <w:rPr>
          <w:rFonts w:asciiTheme="minorHAnsi" w:hAnsiTheme="minorHAnsi"/>
          <w:i/>
          <w:noProof/>
        </w:rPr>
        <w:t>Oxford Review of Education</w:t>
      </w:r>
      <w:r w:rsidRPr="000D5CA1">
        <w:rPr>
          <w:rFonts w:asciiTheme="minorHAnsi" w:hAnsiTheme="minorHAnsi"/>
          <w:noProof/>
        </w:rPr>
        <w:t>, 32(5), 619-634.</w:t>
      </w:r>
    </w:p>
    <w:p w14:paraId="25AF08D6" w14:textId="27E31443" w:rsidR="000B54AF" w:rsidRPr="000D5CA1" w:rsidRDefault="000B54AF" w:rsidP="000D5CA1">
      <w:pPr>
        <w:ind w:left="567" w:hanging="567"/>
        <w:rPr>
          <w:rFonts w:asciiTheme="minorHAnsi" w:hAnsiTheme="minorHAnsi"/>
          <w:noProof/>
        </w:rPr>
      </w:pPr>
      <w:r w:rsidRPr="000D5CA1">
        <w:rPr>
          <w:rFonts w:asciiTheme="minorHAnsi" w:hAnsiTheme="minorHAnsi"/>
          <w:noProof/>
        </w:rPr>
        <w:t xml:space="preserve">Gutstein, D. (2012). </w:t>
      </w:r>
      <w:r w:rsidRPr="000D5CA1">
        <w:rPr>
          <w:rFonts w:asciiTheme="minorHAnsi" w:hAnsiTheme="minorHAnsi"/>
          <w:i/>
          <w:noProof/>
        </w:rPr>
        <w:t>Pearson's plan to control education</w:t>
      </w:r>
      <w:r w:rsidR="000D5CA1">
        <w:rPr>
          <w:rFonts w:asciiTheme="minorHAnsi" w:hAnsiTheme="minorHAnsi"/>
          <w:noProof/>
        </w:rPr>
        <w:t>.</w:t>
      </w:r>
      <w:r w:rsidRPr="000D5CA1">
        <w:rPr>
          <w:rFonts w:asciiTheme="minorHAnsi" w:hAnsiTheme="minorHAnsi"/>
          <w:noProof/>
        </w:rPr>
        <w:t xml:space="preserve"> British Columbia Teachers' Federation.</w:t>
      </w:r>
    </w:p>
    <w:p w14:paraId="46F2C14C" w14:textId="1FD00550" w:rsidR="007B7875" w:rsidRPr="000D5CA1" w:rsidRDefault="007B7875" w:rsidP="000D5CA1">
      <w:pPr>
        <w:ind w:left="567" w:hanging="567"/>
        <w:rPr>
          <w:rFonts w:asciiTheme="minorHAnsi" w:hAnsiTheme="minorHAnsi"/>
        </w:rPr>
      </w:pPr>
      <w:r w:rsidRPr="000D5CA1">
        <w:rPr>
          <w:rFonts w:asciiTheme="minorHAnsi" w:hAnsiTheme="minorHAnsi"/>
        </w:rPr>
        <w:t>Foucault, M. (1978)</w:t>
      </w:r>
      <w:r w:rsidR="000D5CA1">
        <w:rPr>
          <w:rFonts w:asciiTheme="minorHAnsi" w:hAnsiTheme="minorHAnsi"/>
        </w:rPr>
        <w:t>.</w:t>
      </w:r>
      <w:r w:rsidRPr="000D5CA1">
        <w:rPr>
          <w:rFonts w:asciiTheme="minorHAnsi" w:hAnsiTheme="minorHAnsi"/>
        </w:rPr>
        <w:t xml:space="preserve"> </w:t>
      </w:r>
      <w:proofErr w:type="gramStart"/>
      <w:r w:rsidRPr="000D5CA1">
        <w:rPr>
          <w:rFonts w:asciiTheme="minorHAnsi" w:hAnsiTheme="minorHAnsi"/>
          <w:i/>
        </w:rPr>
        <w:t>The History of Sexuality.</w:t>
      </w:r>
      <w:proofErr w:type="gramEnd"/>
      <w:r w:rsidRPr="000D5CA1">
        <w:rPr>
          <w:rFonts w:asciiTheme="minorHAnsi" w:hAnsiTheme="minorHAnsi"/>
          <w:i/>
        </w:rPr>
        <w:t xml:space="preserve"> Vol. I. An Introduction</w:t>
      </w:r>
      <w:r w:rsidR="00187C53">
        <w:rPr>
          <w:rFonts w:asciiTheme="minorHAnsi" w:hAnsiTheme="minorHAnsi"/>
        </w:rPr>
        <w:t>. T</w:t>
      </w:r>
      <w:r w:rsidRPr="000D5CA1">
        <w:rPr>
          <w:rFonts w:asciiTheme="minorHAnsi" w:hAnsiTheme="minorHAnsi"/>
        </w:rPr>
        <w:t>ransl. R. Hurley.</w:t>
      </w:r>
      <w:r w:rsidR="000D5CA1">
        <w:rPr>
          <w:rFonts w:asciiTheme="minorHAnsi" w:hAnsiTheme="minorHAnsi"/>
        </w:rPr>
        <w:t xml:space="preserve"> </w:t>
      </w:r>
      <w:r w:rsidRPr="000D5CA1">
        <w:rPr>
          <w:rFonts w:asciiTheme="minorHAnsi" w:hAnsiTheme="minorHAnsi"/>
        </w:rPr>
        <w:t>New York: Pantheon Books</w:t>
      </w:r>
    </w:p>
    <w:p w14:paraId="69EE6C5B" w14:textId="05E26F90" w:rsidR="007F0FED" w:rsidRPr="000D5CA1" w:rsidRDefault="007F0FED" w:rsidP="000D5CA1">
      <w:pPr>
        <w:ind w:left="567" w:hanging="567"/>
        <w:rPr>
          <w:rFonts w:asciiTheme="minorHAnsi" w:hAnsiTheme="minorHAnsi"/>
        </w:rPr>
      </w:pPr>
      <w:proofErr w:type="gramStart"/>
      <w:r w:rsidRPr="000D5CA1">
        <w:rPr>
          <w:rFonts w:asciiTheme="minorHAnsi" w:hAnsiTheme="minorHAnsi"/>
        </w:rPr>
        <w:t xml:space="preserve">Foucault, M. (1988) </w:t>
      </w:r>
      <w:r w:rsidRPr="000D5CA1">
        <w:rPr>
          <w:rFonts w:asciiTheme="minorHAnsi" w:hAnsiTheme="minorHAnsi"/>
          <w:i/>
        </w:rPr>
        <w:t>Technologies of the self.</w:t>
      </w:r>
      <w:proofErr w:type="gramEnd"/>
      <w:r w:rsidRPr="000D5CA1">
        <w:rPr>
          <w:rFonts w:asciiTheme="minorHAnsi" w:hAnsiTheme="minorHAnsi"/>
          <w:i/>
        </w:rPr>
        <w:t xml:space="preserve"> </w:t>
      </w:r>
      <w:proofErr w:type="gramStart"/>
      <w:r w:rsidRPr="000D5CA1">
        <w:rPr>
          <w:rFonts w:asciiTheme="minorHAnsi" w:hAnsiTheme="minorHAnsi"/>
          <w:i/>
        </w:rPr>
        <w:t>A seminar with Michel Foucault</w:t>
      </w:r>
      <w:r w:rsidRPr="000D5CA1">
        <w:rPr>
          <w:rFonts w:asciiTheme="minorHAnsi" w:hAnsiTheme="minorHAnsi"/>
        </w:rPr>
        <w:t>.</w:t>
      </w:r>
      <w:proofErr w:type="gramEnd"/>
      <w:r w:rsidRPr="000D5CA1">
        <w:rPr>
          <w:rFonts w:asciiTheme="minorHAnsi" w:hAnsiTheme="minorHAnsi"/>
        </w:rPr>
        <w:t xml:space="preserve"> </w:t>
      </w:r>
      <w:r w:rsidR="000D5CA1">
        <w:rPr>
          <w:rFonts w:asciiTheme="minorHAnsi" w:hAnsiTheme="minorHAnsi"/>
        </w:rPr>
        <w:t xml:space="preserve">Edited by </w:t>
      </w:r>
      <w:r w:rsidRPr="000D5CA1">
        <w:rPr>
          <w:rFonts w:asciiTheme="minorHAnsi" w:hAnsiTheme="minorHAnsi"/>
        </w:rPr>
        <w:t xml:space="preserve">L. Martin, H. </w:t>
      </w:r>
      <w:proofErr w:type="spellStart"/>
      <w:r w:rsidRPr="000D5CA1">
        <w:rPr>
          <w:rFonts w:asciiTheme="minorHAnsi" w:hAnsiTheme="minorHAnsi"/>
        </w:rPr>
        <w:t>Gutman</w:t>
      </w:r>
      <w:proofErr w:type="spellEnd"/>
      <w:r w:rsidRPr="000D5CA1">
        <w:rPr>
          <w:rFonts w:asciiTheme="minorHAnsi" w:hAnsiTheme="minorHAnsi"/>
        </w:rPr>
        <w:t xml:space="preserve"> &amp; P. Hutton (</w:t>
      </w:r>
      <w:proofErr w:type="spellStart"/>
      <w:r w:rsidRPr="000D5CA1">
        <w:rPr>
          <w:rFonts w:asciiTheme="minorHAnsi" w:hAnsiTheme="minorHAnsi"/>
        </w:rPr>
        <w:t>Eds</w:t>
      </w:r>
      <w:proofErr w:type="spellEnd"/>
      <w:r w:rsidRPr="000D5CA1">
        <w:rPr>
          <w:rFonts w:asciiTheme="minorHAnsi" w:hAnsiTheme="minorHAnsi"/>
        </w:rPr>
        <w:t xml:space="preserve">), London: </w:t>
      </w:r>
      <w:proofErr w:type="spellStart"/>
      <w:r w:rsidRPr="000D5CA1">
        <w:rPr>
          <w:rFonts w:asciiTheme="minorHAnsi" w:hAnsiTheme="minorHAnsi"/>
        </w:rPr>
        <w:t>Tavistock</w:t>
      </w:r>
      <w:proofErr w:type="spellEnd"/>
      <w:r w:rsidRPr="000D5CA1">
        <w:rPr>
          <w:rFonts w:asciiTheme="minorHAnsi" w:hAnsiTheme="minorHAnsi"/>
        </w:rPr>
        <w:t xml:space="preserve"> Publications. </w:t>
      </w:r>
    </w:p>
    <w:p w14:paraId="7ABFC089" w14:textId="2E11B382" w:rsidR="00656A5E" w:rsidRPr="000D5CA1" w:rsidRDefault="00656A5E" w:rsidP="000D5CA1">
      <w:pPr>
        <w:ind w:left="567" w:hanging="567"/>
        <w:rPr>
          <w:rFonts w:asciiTheme="minorHAnsi" w:hAnsiTheme="minorHAnsi"/>
        </w:rPr>
      </w:pPr>
      <w:r w:rsidRPr="000D5CA1">
        <w:rPr>
          <w:rFonts w:asciiTheme="minorHAnsi" w:hAnsiTheme="minorHAnsi"/>
        </w:rPr>
        <w:t>Foucault, M. (1991</w:t>
      </w:r>
      <w:r w:rsidR="005B0A9F">
        <w:rPr>
          <w:rFonts w:asciiTheme="minorHAnsi" w:hAnsiTheme="minorHAnsi"/>
        </w:rPr>
        <w:t>a</w:t>
      </w:r>
      <w:r w:rsidRPr="000D5CA1">
        <w:rPr>
          <w:rFonts w:asciiTheme="minorHAnsi" w:hAnsiTheme="minorHAnsi"/>
        </w:rPr>
        <w:t xml:space="preserve">) Questions of method. In G. </w:t>
      </w:r>
      <w:proofErr w:type="spellStart"/>
      <w:r w:rsidRPr="000D5CA1">
        <w:rPr>
          <w:rFonts w:asciiTheme="minorHAnsi" w:hAnsiTheme="minorHAnsi"/>
        </w:rPr>
        <w:t>Burchell</w:t>
      </w:r>
      <w:proofErr w:type="spellEnd"/>
      <w:r w:rsidRPr="000D5CA1">
        <w:rPr>
          <w:rFonts w:asciiTheme="minorHAnsi" w:hAnsiTheme="minorHAnsi"/>
        </w:rPr>
        <w:t>, C. Gordon &amp; P. Miller (</w:t>
      </w:r>
      <w:proofErr w:type="spellStart"/>
      <w:r w:rsidRPr="000D5CA1">
        <w:rPr>
          <w:rFonts w:asciiTheme="minorHAnsi" w:hAnsiTheme="minorHAnsi"/>
        </w:rPr>
        <w:t>Eds</w:t>
      </w:r>
      <w:proofErr w:type="spellEnd"/>
      <w:r w:rsidRPr="000D5CA1">
        <w:rPr>
          <w:rFonts w:asciiTheme="minorHAnsi" w:hAnsiTheme="minorHAnsi"/>
        </w:rPr>
        <w:t xml:space="preserve">), </w:t>
      </w:r>
      <w:r w:rsidRPr="000D5CA1">
        <w:rPr>
          <w:rFonts w:asciiTheme="minorHAnsi" w:hAnsiTheme="minorHAnsi"/>
          <w:i/>
        </w:rPr>
        <w:t>The Foucault Effect</w:t>
      </w:r>
      <w:r w:rsidRPr="000D5CA1">
        <w:rPr>
          <w:rFonts w:asciiTheme="minorHAnsi" w:hAnsiTheme="minorHAnsi"/>
        </w:rPr>
        <w:t>. Chicago: University of Chicago Press.</w:t>
      </w:r>
    </w:p>
    <w:p w14:paraId="294A5409" w14:textId="27FF1367" w:rsidR="007F0FED" w:rsidRPr="000D5CA1" w:rsidRDefault="007F0FED" w:rsidP="000D5CA1">
      <w:pPr>
        <w:ind w:left="567" w:hanging="567"/>
        <w:rPr>
          <w:rFonts w:asciiTheme="minorHAnsi" w:hAnsiTheme="minorHAnsi"/>
        </w:rPr>
      </w:pPr>
      <w:proofErr w:type="gramStart"/>
      <w:r w:rsidRPr="000D5CA1">
        <w:rPr>
          <w:rFonts w:asciiTheme="minorHAnsi" w:hAnsiTheme="minorHAnsi"/>
        </w:rPr>
        <w:t xml:space="preserve">Foucault, M. (1991b) </w:t>
      </w:r>
      <w:proofErr w:type="spellStart"/>
      <w:r w:rsidRPr="000D5CA1">
        <w:rPr>
          <w:rFonts w:asciiTheme="minorHAnsi" w:hAnsiTheme="minorHAnsi"/>
        </w:rPr>
        <w:t>Governmentality</w:t>
      </w:r>
      <w:proofErr w:type="spellEnd"/>
      <w:r w:rsidRPr="000D5CA1">
        <w:rPr>
          <w:rFonts w:asciiTheme="minorHAnsi" w:hAnsiTheme="minorHAnsi"/>
        </w:rPr>
        <w:t>.</w:t>
      </w:r>
      <w:proofErr w:type="gramEnd"/>
      <w:r w:rsidRPr="000D5CA1">
        <w:rPr>
          <w:rFonts w:asciiTheme="minorHAnsi" w:hAnsiTheme="minorHAnsi"/>
        </w:rPr>
        <w:t xml:space="preserve"> In G. </w:t>
      </w:r>
      <w:proofErr w:type="spellStart"/>
      <w:r w:rsidRPr="000D5CA1">
        <w:rPr>
          <w:rFonts w:asciiTheme="minorHAnsi" w:hAnsiTheme="minorHAnsi"/>
        </w:rPr>
        <w:t>Burchell</w:t>
      </w:r>
      <w:proofErr w:type="spellEnd"/>
      <w:r w:rsidRPr="000D5CA1">
        <w:rPr>
          <w:rFonts w:asciiTheme="minorHAnsi" w:hAnsiTheme="minorHAnsi"/>
        </w:rPr>
        <w:t>, C. Gordon &amp; P. Miller (</w:t>
      </w:r>
      <w:proofErr w:type="spellStart"/>
      <w:r w:rsidRPr="000D5CA1">
        <w:rPr>
          <w:rFonts w:asciiTheme="minorHAnsi" w:hAnsiTheme="minorHAnsi"/>
        </w:rPr>
        <w:t>Eds</w:t>
      </w:r>
      <w:proofErr w:type="spellEnd"/>
      <w:r w:rsidRPr="000D5CA1">
        <w:rPr>
          <w:rFonts w:asciiTheme="minorHAnsi" w:hAnsiTheme="minorHAnsi"/>
        </w:rPr>
        <w:t xml:space="preserve">), </w:t>
      </w:r>
      <w:r w:rsidRPr="000D5CA1">
        <w:rPr>
          <w:rFonts w:asciiTheme="minorHAnsi" w:hAnsiTheme="minorHAnsi"/>
          <w:i/>
        </w:rPr>
        <w:t>The Foucault Effect</w:t>
      </w:r>
      <w:r w:rsidRPr="000D5CA1">
        <w:rPr>
          <w:rFonts w:asciiTheme="minorHAnsi" w:hAnsiTheme="minorHAnsi"/>
        </w:rPr>
        <w:t xml:space="preserve">. Chicago: University of Chicago Press </w:t>
      </w:r>
    </w:p>
    <w:p w14:paraId="02597CC7" w14:textId="77777777" w:rsidR="005B5CB1" w:rsidRPr="000D5CA1" w:rsidRDefault="005B5CB1" w:rsidP="000D5CA1">
      <w:pPr>
        <w:ind w:left="567" w:hanging="567"/>
        <w:rPr>
          <w:rFonts w:asciiTheme="minorHAnsi" w:hAnsiTheme="minorHAnsi" w:cs="Helvetica"/>
        </w:rPr>
      </w:pPr>
      <w:proofErr w:type="gramStart"/>
      <w:r w:rsidRPr="000D5CA1">
        <w:rPr>
          <w:rFonts w:asciiTheme="minorHAnsi" w:hAnsiTheme="minorHAnsi" w:cs="Helvetica"/>
        </w:rPr>
        <w:t xml:space="preserve">Fuchs, T., &amp; </w:t>
      </w:r>
      <w:proofErr w:type="spellStart"/>
      <w:r w:rsidRPr="000D5CA1">
        <w:rPr>
          <w:rFonts w:asciiTheme="minorHAnsi" w:hAnsiTheme="minorHAnsi" w:cs="Helvetica"/>
        </w:rPr>
        <w:t>Wössmann</w:t>
      </w:r>
      <w:proofErr w:type="spellEnd"/>
      <w:r w:rsidRPr="000D5CA1">
        <w:rPr>
          <w:rFonts w:asciiTheme="minorHAnsi" w:hAnsiTheme="minorHAnsi" w:cs="Helvetica"/>
        </w:rPr>
        <w:t>, L. (2008).</w:t>
      </w:r>
      <w:proofErr w:type="gramEnd"/>
      <w:r w:rsidRPr="000D5CA1">
        <w:rPr>
          <w:rFonts w:asciiTheme="minorHAnsi" w:hAnsiTheme="minorHAnsi" w:cs="Helvetica"/>
        </w:rPr>
        <w:t xml:space="preserve"> What accounts for international differences in student performance? </w:t>
      </w:r>
      <w:proofErr w:type="gramStart"/>
      <w:r w:rsidRPr="000D5CA1">
        <w:rPr>
          <w:rFonts w:asciiTheme="minorHAnsi" w:hAnsiTheme="minorHAnsi" w:cs="Helvetica"/>
        </w:rPr>
        <w:t>A re-examination using PISA data.</w:t>
      </w:r>
      <w:proofErr w:type="gramEnd"/>
      <w:r w:rsidRPr="000D5CA1">
        <w:rPr>
          <w:rFonts w:asciiTheme="minorHAnsi" w:hAnsiTheme="minorHAnsi" w:cs="Helvetica"/>
        </w:rPr>
        <w:t xml:space="preserve"> In C. </w:t>
      </w:r>
      <w:proofErr w:type="spellStart"/>
      <w:r w:rsidRPr="000D5CA1">
        <w:rPr>
          <w:rFonts w:asciiTheme="minorHAnsi" w:hAnsiTheme="minorHAnsi" w:cs="Helvetica"/>
        </w:rPr>
        <w:t>Dustmann</w:t>
      </w:r>
      <w:proofErr w:type="spellEnd"/>
      <w:r w:rsidRPr="000D5CA1">
        <w:rPr>
          <w:rFonts w:asciiTheme="minorHAnsi" w:hAnsiTheme="minorHAnsi" w:cs="Helvetica"/>
        </w:rPr>
        <w:t xml:space="preserve">, B. </w:t>
      </w:r>
      <w:proofErr w:type="spellStart"/>
      <w:r w:rsidRPr="000D5CA1">
        <w:rPr>
          <w:rFonts w:asciiTheme="minorHAnsi" w:hAnsiTheme="minorHAnsi" w:cs="Helvetica"/>
        </w:rPr>
        <w:t>Fitzenberger</w:t>
      </w:r>
      <w:proofErr w:type="spellEnd"/>
      <w:r w:rsidRPr="000D5CA1">
        <w:rPr>
          <w:rFonts w:asciiTheme="minorHAnsi" w:hAnsiTheme="minorHAnsi" w:cs="Helvetica"/>
        </w:rPr>
        <w:t xml:space="preserve"> &amp; S. </w:t>
      </w:r>
      <w:proofErr w:type="spellStart"/>
      <w:r w:rsidRPr="000D5CA1">
        <w:rPr>
          <w:rFonts w:asciiTheme="minorHAnsi" w:hAnsiTheme="minorHAnsi" w:cs="Helvetica"/>
        </w:rPr>
        <w:t>Machin</w:t>
      </w:r>
      <w:proofErr w:type="spellEnd"/>
      <w:r w:rsidRPr="000D5CA1">
        <w:rPr>
          <w:rFonts w:asciiTheme="minorHAnsi" w:hAnsiTheme="minorHAnsi" w:cs="Helvetica"/>
        </w:rPr>
        <w:t xml:space="preserve"> (Eds.), </w:t>
      </w:r>
      <w:r w:rsidRPr="000D5CA1">
        <w:rPr>
          <w:rFonts w:asciiTheme="minorHAnsi" w:hAnsiTheme="minorHAnsi" w:cs="Helvetica"/>
          <w:i/>
          <w:iCs/>
        </w:rPr>
        <w:t>The Economics of Education and Training: Studies in Empirical Economics</w:t>
      </w:r>
      <w:r w:rsidRPr="000D5CA1">
        <w:rPr>
          <w:rFonts w:asciiTheme="minorHAnsi" w:hAnsiTheme="minorHAnsi" w:cs="Helvetica"/>
        </w:rPr>
        <w:t xml:space="preserve"> (pp. 209-240). Dordrecht: Springer.</w:t>
      </w:r>
    </w:p>
    <w:p w14:paraId="77B019C0" w14:textId="77777777" w:rsidR="00737F70" w:rsidRPr="000D5CA1" w:rsidRDefault="00737F70" w:rsidP="000D5CA1">
      <w:pPr>
        <w:ind w:left="567" w:hanging="567"/>
        <w:rPr>
          <w:rFonts w:asciiTheme="minorHAnsi" w:hAnsiTheme="minorHAnsi" w:cs="Helvetica"/>
        </w:rPr>
      </w:pPr>
      <w:r w:rsidRPr="000D5CA1">
        <w:rPr>
          <w:rFonts w:asciiTheme="minorHAnsi" w:hAnsiTheme="minorHAnsi" w:cs="Helvetica"/>
        </w:rPr>
        <w:lastRenderedPageBreak/>
        <w:t xml:space="preserve">Goldstein, H. (2004). International comparisons of student attainment: some issues arising form the PISA study. </w:t>
      </w:r>
      <w:r w:rsidRPr="000D5CA1">
        <w:rPr>
          <w:rFonts w:asciiTheme="minorHAnsi" w:hAnsiTheme="minorHAnsi" w:cs="Helvetica"/>
          <w:i/>
          <w:iCs/>
        </w:rPr>
        <w:t>Assessment in Education: Principles, Policy and Practice, 11</w:t>
      </w:r>
      <w:r w:rsidRPr="000D5CA1">
        <w:rPr>
          <w:rFonts w:asciiTheme="minorHAnsi" w:hAnsiTheme="minorHAnsi" w:cs="Helvetica"/>
        </w:rPr>
        <w:t xml:space="preserve">(3), 319-330. </w:t>
      </w:r>
    </w:p>
    <w:p w14:paraId="3E149C1C" w14:textId="67AE4C40" w:rsidR="007B7875" w:rsidRPr="000D5CA1" w:rsidRDefault="00737F70" w:rsidP="000D5CA1">
      <w:pPr>
        <w:ind w:left="567" w:hanging="567"/>
        <w:rPr>
          <w:rFonts w:asciiTheme="minorHAnsi" w:hAnsiTheme="minorHAnsi"/>
          <w:sz w:val="18"/>
          <w:szCs w:val="18"/>
          <w:lang w:val="en"/>
        </w:rPr>
      </w:pPr>
      <w:r w:rsidRPr="000D5CA1">
        <w:rPr>
          <w:rFonts w:asciiTheme="minorHAnsi" w:hAnsiTheme="minorHAnsi"/>
        </w:rPr>
        <w:t xml:space="preserve"> </w:t>
      </w:r>
      <w:proofErr w:type="spellStart"/>
      <w:r w:rsidR="007B7875" w:rsidRPr="000D5CA1">
        <w:rPr>
          <w:rFonts w:asciiTheme="minorHAnsi" w:hAnsiTheme="minorHAnsi"/>
        </w:rPr>
        <w:t>Gorur</w:t>
      </w:r>
      <w:proofErr w:type="spellEnd"/>
      <w:r w:rsidR="007B7875" w:rsidRPr="000D5CA1">
        <w:rPr>
          <w:rFonts w:asciiTheme="minorHAnsi" w:hAnsiTheme="minorHAnsi"/>
        </w:rPr>
        <w:t xml:space="preserve">, R. (2013) </w:t>
      </w:r>
      <w:proofErr w:type="gramStart"/>
      <w:r w:rsidR="007B7875" w:rsidRPr="000D5CA1">
        <w:rPr>
          <w:rFonts w:asciiTheme="minorHAnsi" w:hAnsiTheme="minorHAnsi"/>
        </w:rPr>
        <w:t>What</w:t>
      </w:r>
      <w:proofErr w:type="gramEnd"/>
      <w:r w:rsidR="007B7875" w:rsidRPr="000D5CA1">
        <w:rPr>
          <w:rFonts w:asciiTheme="minorHAnsi" w:hAnsiTheme="minorHAnsi"/>
        </w:rPr>
        <w:t xml:space="preserve"> are we learning from the secondary analysis </w:t>
      </w:r>
      <w:r w:rsidR="00187C53">
        <w:rPr>
          <w:rFonts w:asciiTheme="minorHAnsi" w:hAnsiTheme="minorHAnsi"/>
        </w:rPr>
        <w:t xml:space="preserve">of PISA? </w:t>
      </w:r>
      <w:proofErr w:type="gramStart"/>
      <w:r w:rsidR="00187C53">
        <w:rPr>
          <w:rFonts w:asciiTheme="minorHAnsi" w:hAnsiTheme="minorHAnsi"/>
        </w:rPr>
        <w:t>A preliminary analysis.</w:t>
      </w:r>
      <w:proofErr w:type="gramEnd"/>
      <w:r w:rsidR="007B7875" w:rsidRPr="000D5CA1">
        <w:rPr>
          <w:rFonts w:asciiTheme="minorHAnsi" w:hAnsiTheme="minorHAnsi"/>
        </w:rPr>
        <w:t xml:space="preserve"> Paper presented at the European Conference on Educationa</w:t>
      </w:r>
      <w:r w:rsidR="00187C53">
        <w:rPr>
          <w:rFonts w:asciiTheme="minorHAnsi" w:hAnsiTheme="minorHAnsi"/>
        </w:rPr>
        <w:t>l Research (ECER2013), Istanbul</w:t>
      </w:r>
      <w:proofErr w:type="gramStart"/>
      <w:r w:rsidR="00187C53" w:rsidRPr="00187C53">
        <w:rPr>
          <w:rFonts w:asciiTheme="minorHAnsi" w:hAnsiTheme="minorHAnsi"/>
        </w:rPr>
        <w:t>:</w:t>
      </w:r>
      <w:r w:rsidR="007B7875" w:rsidRPr="00187C53">
        <w:rPr>
          <w:rFonts w:asciiTheme="minorHAnsi" w:hAnsiTheme="minorHAnsi"/>
          <w:lang w:val="en"/>
        </w:rPr>
        <w:t>Bahçeşehir</w:t>
      </w:r>
      <w:proofErr w:type="gramEnd"/>
      <w:r w:rsidR="007B7875" w:rsidRPr="00187C53">
        <w:rPr>
          <w:rFonts w:asciiTheme="minorHAnsi" w:hAnsiTheme="minorHAnsi"/>
          <w:lang w:val="en"/>
        </w:rPr>
        <w:t xml:space="preserve"> University</w:t>
      </w:r>
      <w:r w:rsidR="00187C53" w:rsidRPr="00187C53">
        <w:rPr>
          <w:rFonts w:asciiTheme="minorHAnsi" w:hAnsiTheme="minorHAnsi"/>
          <w:lang w:val="en"/>
        </w:rPr>
        <w:t>.</w:t>
      </w:r>
    </w:p>
    <w:p w14:paraId="37B5B265" w14:textId="77777777" w:rsidR="007B7875" w:rsidRPr="00187C53" w:rsidRDefault="007B7875" w:rsidP="000D5CA1">
      <w:pPr>
        <w:ind w:left="567" w:hanging="567"/>
        <w:rPr>
          <w:rFonts w:asciiTheme="minorHAnsi" w:hAnsiTheme="minorHAnsi"/>
          <w:lang w:val="en"/>
        </w:rPr>
      </w:pPr>
      <w:r w:rsidRPr="00187C53">
        <w:rPr>
          <w:rFonts w:asciiTheme="minorHAnsi" w:hAnsiTheme="minorHAnsi"/>
          <w:lang w:val="en"/>
        </w:rPr>
        <w:t xml:space="preserve">Grek, S., Lawn, M, Lingard, B., Ozga, J., Rinne, R., Segerholm, C. and Simola, H. (2009) National policy brokering and the construction of the European education space in England, Sweden, Finland and Scotland. </w:t>
      </w:r>
      <w:r w:rsidRPr="00187C53">
        <w:rPr>
          <w:rFonts w:asciiTheme="minorHAnsi" w:hAnsiTheme="minorHAnsi"/>
          <w:i/>
          <w:lang w:val="en"/>
        </w:rPr>
        <w:t>Comparative Education</w:t>
      </w:r>
      <w:r w:rsidRPr="00187C53">
        <w:rPr>
          <w:rFonts w:asciiTheme="minorHAnsi" w:hAnsiTheme="minorHAnsi"/>
          <w:lang w:val="en"/>
        </w:rPr>
        <w:t xml:space="preserve"> 45 (1), 5-21.</w:t>
      </w:r>
    </w:p>
    <w:p w14:paraId="50899D77" w14:textId="082AADCA" w:rsidR="007B7875" w:rsidRPr="00134C8A" w:rsidRDefault="00187C53" w:rsidP="000D5CA1">
      <w:pPr>
        <w:ind w:left="567" w:hanging="567"/>
        <w:rPr>
          <w:rFonts w:asciiTheme="minorHAnsi" w:eastAsia="Times New Roman" w:hAnsiTheme="minorHAnsi" w:cs="MeliorLTStd"/>
          <w:lang w:eastAsia="en-US"/>
        </w:rPr>
      </w:pPr>
      <w:r>
        <w:rPr>
          <w:rFonts w:asciiTheme="minorHAnsi" w:eastAsia="Times New Roman" w:hAnsiTheme="minorHAnsi" w:cs="MeliorLTStd"/>
          <w:lang w:eastAsia="en-US"/>
        </w:rPr>
        <w:t xml:space="preserve">Hirsch, D. (2002), </w:t>
      </w:r>
      <w:r w:rsidR="007B7875" w:rsidRPr="00187C53">
        <w:rPr>
          <w:rFonts w:asciiTheme="minorHAnsi" w:eastAsia="Times New Roman" w:hAnsiTheme="minorHAnsi" w:cs="MeliorLTStd"/>
          <w:lang w:eastAsia="en-US"/>
        </w:rPr>
        <w:t xml:space="preserve">How Good is our Global Education? </w:t>
      </w:r>
      <w:proofErr w:type="gramStart"/>
      <w:r w:rsidR="007B7875" w:rsidRPr="00134C8A">
        <w:rPr>
          <w:rFonts w:asciiTheme="minorHAnsi" w:eastAsia="Times New Roman" w:hAnsiTheme="minorHAnsi" w:cs="MeliorLTStd"/>
          <w:lang w:eastAsia="en-US"/>
        </w:rPr>
        <w:t xml:space="preserve">The PISA </w:t>
      </w:r>
      <w:r>
        <w:rPr>
          <w:rFonts w:asciiTheme="minorHAnsi" w:eastAsia="Times New Roman" w:hAnsiTheme="minorHAnsi" w:cs="MeliorLTStd"/>
          <w:lang w:eastAsia="en-US"/>
        </w:rPr>
        <w:t>Survey.</w:t>
      </w:r>
      <w:proofErr w:type="gramEnd"/>
      <w:r w:rsidR="007B7875" w:rsidRPr="00187C53">
        <w:rPr>
          <w:rFonts w:asciiTheme="minorHAnsi" w:eastAsia="Times New Roman" w:hAnsiTheme="minorHAnsi" w:cs="MeliorLTStd"/>
          <w:lang w:eastAsia="en-US"/>
        </w:rPr>
        <w:t xml:space="preserve"> </w:t>
      </w:r>
      <w:r w:rsidR="007B7875" w:rsidRPr="00187C53">
        <w:rPr>
          <w:rFonts w:asciiTheme="minorHAnsi" w:eastAsia="Times New Roman" w:hAnsiTheme="minorHAnsi" w:cs="MeliorLTStd-Italic"/>
          <w:i/>
          <w:iCs/>
          <w:lang w:eastAsia="en-US"/>
        </w:rPr>
        <w:t>OECD Observer</w:t>
      </w:r>
      <w:r w:rsidR="007B7875" w:rsidRPr="00187C53">
        <w:rPr>
          <w:rFonts w:asciiTheme="minorHAnsi" w:eastAsia="Times New Roman" w:hAnsiTheme="minorHAnsi" w:cs="MeliorLTStd"/>
          <w:lang w:eastAsia="en-US"/>
        </w:rPr>
        <w:t>, March, OECD, Paris.</w:t>
      </w:r>
    </w:p>
    <w:p w14:paraId="4A6AB0BA" w14:textId="77777777" w:rsidR="000B54AF" w:rsidRPr="000D5CA1" w:rsidRDefault="000B54AF" w:rsidP="000D5CA1">
      <w:pPr>
        <w:ind w:left="567" w:hanging="567"/>
        <w:rPr>
          <w:rFonts w:asciiTheme="minorHAnsi" w:hAnsiTheme="minorHAnsi"/>
          <w:noProof/>
        </w:rPr>
      </w:pPr>
      <w:r w:rsidRPr="000D5CA1">
        <w:rPr>
          <w:rFonts w:asciiTheme="minorHAnsi" w:hAnsiTheme="minorHAnsi"/>
          <w:noProof/>
        </w:rPr>
        <w:t xml:space="preserve">Howarth, D. (2000). </w:t>
      </w:r>
      <w:r w:rsidRPr="000D5CA1">
        <w:rPr>
          <w:rFonts w:asciiTheme="minorHAnsi" w:hAnsiTheme="minorHAnsi"/>
          <w:i/>
          <w:noProof/>
        </w:rPr>
        <w:t>Discourse</w:t>
      </w:r>
      <w:r w:rsidRPr="000D5CA1">
        <w:rPr>
          <w:rFonts w:asciiTheme="minorHAnsi" w:hAnsiTheme="minorHAnsi"/>
          <w:noProof/>
        </w:rPr>
        <w:t>. Buckingham: Open University Press.</w:t>
      </w:r>
    </w:p>
    <w:p w14:paraId="7A0AA8E2" w14:textId="77777777" w:rsidR="000B54AF" w:rsidRPr="000D5CA1" w:rsidRDefault="000B54AF" w:rsidP="000D5CA1">
      <w:pPr>
        <w:ind w:left="567" w:hanging="567"/>
        <w:rPr>
          <w:rFonts w:asciiTheme="minorHAnsi" w:hAnsiTheme="minorHAnsi"/>
          <w:noProof/>
        </w:rPr>
      </w:pPr>
      <w:r w:rsidRPr="000D5CA1">
        <w:rPr>
          <w:rFonts w:asciiTheme="minorHAnsi" w:hAnsiTheme="minorHAnsi"/>
          <w:noProof/>
        </w:rPr>
        <w:t xml:space="preserve">Jurdak, M. (2009). </w:t>
      </w:r>
      <w:r w:rsidRPr="000D5CA1">
        <w:rPr>
          <w:rFonts w:asciiTheme="minorHAnsi" w:hAnsiTheme="minorHAnsi"/>
          <w:i/>
          <w:noProof/>
        </w:rPr>
        <w:t>Toward Equity in Quality in Mathematics Education</w:t>
      </w:r>
      <w:r w:rsidRPr="000D5CA1">
        <w:rPr>
          <w:rFonts w:asciiTheme="minorHAnsi" w:hAnsiTheme="minorHAnsi"/>
          <w:noProof/>
        </w:rPr>
        <w:t>. New York: Springer US.</w:t>
      </w:r>
    </w:p>
    <w:p w14:paraId="75B03027" w14:textId="77777777" w:rsidR="007B7875" w:rsidRPr="000D5CA1" w:rsidRDefault="007B7875" w:rsidP="000D5CA1">
      <w:pPr>
        <w:ind w:left="567" w:hanging="567"/>
        <w:rPr>
          <w:rFonts w:asciiTheme="minorHAnsi" w:hAnsiTheme="minorHAnsi"/>
          <w:noProof/>
        </w:rPr>
      </w:pPr>
      <w:r w:rsidRPr="000D5CA1">
        <w:rPr>
          <w:rFonts w:asciiTheme="minorHAnsi" w:hAnsiTheme="minorHAnsi"/>
          <w:noProof/>
        </w:rPr>
        <w:t xml:space="preserve">Lawn, M. (2006) Soft governance and the learning spaces of Europe. </w:t>
      </w:r>
      <w:r w:rsidRPr="000D5CA1">
        <w:rPr>
          <w:rFonts w:asciiTheme="minorHAnsi" w:hAnsiTheme="minorHAnsi"/>
          <w:i/>
          <w:noProof/>
        </w:rPr>
        <w:t>Comparative European Politics</w:t>
      </w:r>
      <w:r w:rsidRPr="000D5CA1">
        <w:rPr>
          <w:rFonts w:asciiTheme="minorHAnsi" w:hAnsiTheme="minorHAnsi"/>
          <w:noProof/>
        </w:rPr>
        <w:t xml:space="preserve">, 4(2-3), 272-88. </w:t>
      </w:r>
    </w:p>
    <w:p w14:paraId="0334411B" w14:textId="77777777" w:rsidR="00656A5E" w:rsidRPr="000D5CA1" w:rsidRDefault="00656A5E" w:rsidP="000D5CA1">
      <w:pPr>
        <w:ind w:left="567" w:hanging="567"/>
        <w:rPr>
          <w:rFonts w:asciiTheme="minorHAnsi" w:hAnsiTheme="minorHAnsi"/>
        </w:rPr>
      </w:pPr>
      <w:r w:rsidRPr="000D5CA1">
        <w:rPr>
          <w:rFonts w:asciiTheme="minorHAnsi" w:hAnsiTheme="minorHAnsi"/>
        </w:rPr>
        <w:t xml:space="preserve">Lemke, T. (2001). ‘The birth of bio-politics’: Michel Foucault’s lecture at the College de France on neo-liberal </w:t>
      </w:r>
      <w:proofErr w:type="spellStart"/>
      <w:r w:rsidRPr="000D5CA1">
        <w:rPr>
          <w:rFonts w:asciiTheme="minorHAnsi" w:hAnsiTheme="minorHAnsi"/>
        </w:rPr>
        <w:t>governmentality</w:t>
      </w:r>
      <w:proofErr w:type="spellEnd"/>
      <w:r w:rsidRPr="000D5CA1">
        <w:rPr>
          <w:rFonts w:asciiTheme="minorHAnsi" w:hAnsiTheme="minorHAnsi"/>
        </w:rPr>
        <w:t xml:space="preserve">. </w:t>
      </w:r>
      <w:r w:rsidRPr="00187C53">
        <w:rPr>
          <w:rFonts w:asciiTheme="minorHAnsi" w:hAnsiTheme="minorHAnsi"/>
          <w:i/>
        </w:rPr>
        <w:t>Economy and Society, 30</w:t>
      </w:r>
      <w:r w:rsidRPr="000D5CA1">
        <w:rPr>
          <w:rFonts w:asciiTheme="minorHAnsi" w:hAnsiTheme="minorHAnsi"/>
        </w:rPr>
        <w:t>(2), 190-207</w:t>
      </w:r>
    </w:p>
    <w:p w14:paraId="06B262E2" w14:textId="3B5B7EAB" w:rsidR="007B7875" w:rsidRPr="000D5CA1" w:rsidRDefault="007B7875" w:rsidP="000D5CA1">
      <w:pPr>
        <w:ind w:left="567" w:hanging="567"/>
        <w:rPr>
          <w:rStyle w:val="Hyperlink"/>
          <w:rFonts w:asciiTheme="minorHAnsi" w:hAnsiTheme="minorHAnsi" w:cs="Lucida Grande"/>
          <w:sz w:val="22"/>
          <w:szCs w:val="22"/>
        </w:rPr>
      </w:pPr>
      <w:r w:rsidRPr="000D5CA1">
        <w:rPr>
          <w:rFonts w:asciiTheme="minorHAnsi" w:hAnsiTheme="minorHAnsi"/>
        </w:rPr>
        <w:t xml:space="preserve">Mahon, R. (2008) The Post-bureaucracy shift: between path dependency, </w:t>
      </w:r>
      <w:proofErr w:type="spellStart"/>
      <w:r w:rsidRPr="000D5CA1">
        <w:rPr>
          <w:rFonts w:asciiTheme="minorHAnsi" w:hAnsiTheme="minorHAnsi"/>
        </w:rPr>
        <w:t>bricolage</w:t>
      </w:r>
      <w:proofErr w:type="spellEnd"/>
      <w:r w:rsidRPr="000D5CA1">
        <w:rPr>
          <w:rFonts w:asciiTheme="minorHAnsi" w:hAnsiTheme="minorHAnsi"/>
        </w:rPr>
        <w:t xml:space="preserve"> and translation. Commentary on the orientation 1 of the KNOW&amp;POL project, www.knowandpol.eu</w:t>
      </w:r>
    </w:p>
    <w:p w14:paraId="048822D1" w14:textId="62A93D61" w:rsidR="00E013A4" w:rsidRPr="000D5CA1" w:rsidRDefault="00E013A4" w:rsidP="000D5CA1">
      <w:pPr>
        <w:ind w:left="567" w:hanging="567"/>
        <w:rPr>
          <w:rFonts w:asciiTheme="minorHAnsi" w:hAnsiTheme="minorHAnsi"/>
        </w:rPr>
      </w:pPr>
      <w:r w:rsidRPr="000D5CA1">
        <w:rPr>
          <w:rFonts w:asciiTheme="minorHAnsi" w:hAnsiTheme="minorHAnsi"/>
          <w:noProof/>
        </w:rPr>
        <w:t>Malaty, G. (2009). M</w:t>
      </w:r>
      <w:proofErr w:type="spellStart"/>
      <w:r w:rsidRPr="000D5CA1">
        <w:rPr>
          <w:rFonts w:asciiTheme="minorHAnsi" w:hAnsiTheme="minorHAnsi"/>
        </w:rPr>
        <w:t>athematics</w:t>
      </w:r>
      <w:proofErr w:type="spellEnd"/>
      <w:r w:rsidRPr="000D5CA1">
        <w:rPr>
          <w:rFonts w:asciiTheme="minorHAnsi" w:hAnsiTheme="minorHAnsi"/>
        </w:rPr>
        <w:t xml:space="preserve"> and Mathematics Education Development in Finland: the impact of curriculum changes on IEA, IMO and PISA results. </w:t>
      </w:r>
      <w:r w:rsidRPr="000D5CA1">
        <w:rPr>
          <w:rFonts w:asciiTheme="minorHAnsi" w:hAnsiTheme="minorHAnsi"/>
          <w:i/>
        </w:rPr>
        <w:t xml:space="preserve">Proceedings of the </w:t>
      </w:r>
      <w:r w:rsidR="00187C53">
        <w:rPr>
          <w:rFonts w:asciiTheme="minorHAnsi" w:hAnsiTheme="minorHAnsi"/>
          <w:i/>
        </w:rPr>
        <w:t>10</w:t>
      </w:r>
      <w:r w:rsidR="00187C53" w:rsidRPr="00187C53">
        <w:rPr>
          <w:rFonts w:asciiTheme="minorHAnsi" w:hAnsiTheme="minorHAnsi"/>
          <w:i/>
          <w:vertAlign w:val="superscript"/>
        </w:rPr>
        <w:t>th</w:t>
      </w:r>
      <w:r w:rsidRPr="000D5CA1">
        <w:rPr>
          <w:rFonts w:asciiTheme="minorHAnsi" w:hAnsiTheme="minorHAnsi"/>
          <w:i/>
        </w:rPr>
        <w:t xml:space="preserve"> International Conference of the Mathematics Education into the </w:t>
      </w:r>
      <w:r w:rsidR="00187C53">
        <w:rPr>
          <w:rFonts w:asciiTheme="minorHAnsi" w:hAnsiTheme="minorHAnsi"/>
          <w:i/>
        </w:rPr>
        <w:t>21</w:t>
      </w:r>
      <w:r w:rsidR="00187C53" w:rsidRPr="00187C53">
        <w:rPr>
          <w:rFonts w:asciiTheme="minorHAnsi" w:hAnsiTheme="minorHAnsi"/>
          <w:i/>
          <w:vertAlign w:val="superscript"/>
        </w:rPr>
        <w:t>st</w:t>
      </w:r>
      <w:r w:rsidRPr="000D5CA1">
        <w:rPr>
          <w:rFonts w:asciiTheme="minorHAnsi" w:hAnsiTheme="minorHAnsi"/>
          <w:i/>
        </w:rPr>
        <w:t xml:space="preserve"> Century Project: Models in Developing Mathematics Education</w:t>
      </w:r>
      <w:r w:rsidRPr="000D5CA1">
        <w:rPr>
          <w:rFonts w:asciiTheme="minorHAnsi" w:hAnsiTheme="minorHAnsi"/>
        </w:rPr>
        <w:t xml:space="preserve">. Dresden: University of Applied Sciences, 390-394. </w:t>
      </w:r>
    </w:p>
    <w:p w14:paraId="75AC648F" w14:textId="74A3BEA3" w:rsidR="000B54AF" w:rsidRPr="000D5CA1" w:rsidRDefault="00E013A4" w:rsidP="000D5CA1">
      <w:pPr>
        <w:ind w:left="567" w:hanging="567"/>
        <w:rPr>
          <w:rFonts w:asciiTheme="minorHAnsi" w:hAnsiTheme="minorHAnsi"/>
          <w:noProof/>
        </w:rPr>
      </w:pPr>
      <w:r w:rsidRPr="000D5CA1">
        <w:rPr>
          <w:rFonts w:asciiTheme="minorHAnsi" w:hAnsiTheme="minorHAnsi"/>
          <w:noProof/>
        </w:rPr>
        <w:t xml:space="preserve"> </w:t>
      </w:r>
      <w:r w:rsidR="000B54AF" w:rsidRPr="000D5CA1">
        <w:rPr>
          <w:rFonts w:asciiTheme="minorHAnsi" w:hAnsiTheme="minorHAnsi"/>
          <w:noProof/>
        </w:rPr>
        <w:t xml:space="preserve">Mangez, E., &amp; Hilgers, M. (2012). </w:t>
      </w:r>
      <w:r w:rsidR="00187C53">
        <w:rPr>
          <w:rFonts w:asciiTheme="minorHAnsi" w:hAnsiTheme="minorHAnsi"/>
          <w:noProof/>
        </w:rPr>
        <w:t>The</w:t>
      </w:r>
      <w:r w:rsidR="000B54AF" w:rsidRPr="000D5CA1">
        <w:rPr>
          <w:rFonts w:asciiTheme="minorHAnsi" w:hAnsiTheme="minorHAnsi"/>
          <w:noProof/>
        </w:rPr>
        <w:t xml:space="preserve"> field of knowledge and the policy field in education: PISA and the production of knowledge for policy. </w:t>
      </w:r>
      <w:r w:rsidR="000B54AF" w:rsidRPr="000D5CA1">
        <w:rPr>
          <w:rFonts w:asciiTheme="minorHAnsi" w:hAnsiTheme="minorHAnsi"/>
          <w:i/>
          <w:noProof/>
        </w:rPr>
        <w:t>European Educational Research Journal, 11</w:t>
      </w:r>
      <w:r w:rsidR="000B54AF" w:rsidRPr="000D5CA1">
        <w:rPr>
          <w:rFonts w:asciiTheme="minorHAnsi" w:hAnsiTheme="minorHAnsi"/>
          <w:noProof/>
        </w:rPr>
        <w:t xml:space="preserve">(2), 189-205. </w:t>
      </w:r>
    </w:p>
    <w:p w14:paraId="43AF1DF7" w14:textId="77777777" w:rsidR="002449EA" w:rsidRPr="000D5CA1" w:rsidRDefault="002449EA" w:rsidP="000D5CA1">
      <w:pPr>
        <w:ind w:left="567" w:hanging="567"/>
        <w:rPr>
          <w:rFonts w:asciiTheme="minorHAnsi" w:hAnsiTheme="minorHAnsi" w:cs="Helvetica"/>
        </w:rPr>
      </w:pPr>
      <w:proofErr w:type="spellStart"/>
      <w:r w:rsidRPr="000D5CA1">
        <w:rPr>
          <w:rFonts w:asciiTheme="minorHAnsi" w:hAnsiTheme="minorHAnsi" w:cs="Helvetica"/>
        </w:rPr>
        <w:t>McGaw</w:t>
      </w:r>
      <w:proofErr w:type="spellEnd"/>
      <w:r w:rsidRPr="000D5CA1">
        <w:rPr>
          <w:rFonts w:asciiTheme="minorHAnsi" w:hAnsiTheme="minorHAnsi" w:cs="Helvetica"/>
        </w:rPr>
        <w:t xml:space="preserve">, B. (2006). Improving the effectiveness, efficiency and equity of education. In P. Hughes (Ed.), </w:t>
      </w:r>
      <w:r w:rsidRPr="000D5CA1">
        <w:rPr>
          <w:rFonts w:asciiTheme="minorHAnsi" w:hAnsiTheme="minorHAnsi" w:cs="Helvetica"/>
          <w:i/>
          <w:iCs/>
        </w:rPr>
        <w:t>Secondary Education at the Crossroads</w:t>
      </w:r>
      <w:r w:rsidRPr="000D5CA1">
        <w:rPr>
          <w:rFonts w:asciiTheme="minorHAnsi" w:hAnsiTheme="minorHAnsi" w:cs="Helvetica"/>
        </w:rPr>
        <w:t xml:space="preserve"> (pp. 223-244). Dordrecht: Springer.</w:t>
      </w:r>
    </w:p>
    <w:p w14:paraId="0F695359" w14:textId="301D716F" w:rsidR="002449EA" w:rsidRPr="000D5CA1" w:rsidRDefault="002449EA" w:rsidP="000D5CA1">
      <w:pPr>
        <w:ind w:left="567" w:hanging="567"/>
        <w:rPr>
          <w:rFonts w:asciiTheme="minorHAnsi" w:hAnsiTheme="minorHAnsi" w:cs="Helvetica"/>
        </w:rPr>
      </w:pPr>
      <w:r w:rsidRPr="000D5CA1">
        <w:rPr>
          <w:rFonts w:asciiTheme="minorHAnsi" w:hAnsiTheme="minorHAnsi" w:cs="Helvetica"/>
        </w:rPr>
        <w:t xml:space="preserve"> </w:t>
      </w:r>
      <w:proofErr w:type="spellStart"/>
      <w:r w:rsidRPr="000D5CA1">
        <w:rPr>
          <w:rFonts w:asciiTheme="minorHAnsi" w:hAnsiTheme="minorHAnsi" w:cs="Helvetica"/>
        </w:rPr>
        <w:t>McGaw</w:t>
      </w:r>
      <w:proofErr w:type="spellEnd"/>
      <w:r w:rsidRPr="000D5CA1">
        <w:rPr>
          <w:rFonts w:asciiTheme="minorHAnsi" w:hAnsiTheme="minorHAnsi" w:cs="Helvetica"/>
        </w:rPr>
        <w:t xml:space="preserve">, B. (2008). </w:t>
      </w:r>
      <w:proofErr w:type="gramStart"/>
      <w:r w:rsidRPr="000D5CA1">
        <w:rPr>
          <w:rFonts w:asciiTheme="minorHAnsi" w:hAnsiTheme="minorHAnsi" w:cs="Helvetica"/>
        </w:rPr>
        <w:t>The role of the OECD in international comparative studies of achievement.</w:t>
      </w:r>
      <w:proofErr w:type="gramEnd"/>
      <w:r w:rsidRPr="000D5CA1">
        <w:rPr>
          <w:rFonts w:asciiTheme="minorHAnsi" w:hAnsiTheme="minorHAnsi" w:cs="Helvetica"/>
        </w:rPr>
        <w:t xml:space="preserve"> </w:t>
      </w:r>
      <w:r w:rsidRPr="000D5CA1">
        <w:rPr>
          <w:rFonts w:asciiTheme="minorHAnsi" w:hAnsiTheme="minorHAnsi" w:cs="Helvetica"/>
          <w:i/>
          <w:iCs/>
        </w:rPr>
        <w:t>Assessment in Education: Principles, Policy and Practice, 15</w:t>
      </w:r>
      <w:r w:rsidRPr="000D5CA1">
        <w:rPr>
          <w:rFonts w:asciiTheme="minorHAnsi" w:hAnsiTheme="minorHAnsi" w:cs="Helvetica"/>
        </w:rPr>
        <w:t xml:space="preserve">(3), 223-243. </w:t>
      </w:r>
    </w:p>
    <w:p w14:paraId="59033C53" w14:textId="56AF3EF8" w:rsidR="00FF7C74" w:rsidRPr="000D5CA1" w:rsidRDefault="002449EA" w:rsidP="000D5CA1">
      <w:pPr>
        <w:ind w:left="567" w:hanging="567"/>
        <w:rPr>
          <w:rFonts w:asciiTheme="minorHAnsi" w:hAnsiTheme="minorHAnsi" w:cs="Helvetica"/>
        </w:rPr>
      </w:pPr>
      <w:r w:rsidRPr="000D5CA1">
        <w:rPr>
          <w:rFonts w:asciiTheme="minorHAnsi" w:hAnsiTheme="minorHAnsi" w:cs="Helvetica"/>
        </w:rPr>
        <w:t xml:space="preserve"> </w:t>
      </w:r>
      <w:proofErr w:type="spellStart"/>
      <w:proofErr w:type="gramStart"/>
      <w:r w:rsidR="00FF7C74" w:rsidRPr="000D5CA1">
        <w:rPr>
          <w:rFonts w:asciiTheme="minorHAnsi" w:hAnsiTheme="minorHAnsi" w:cs="Helvetica"/>
        </w:rPr>
        <w:t>Messick</w:t>
      </w:r>
      <w:proofErr w:type="spellEnd"/>
      <w:r w:rsidR="00FF7C74" w:rsidRPr="000D5CA1">
        <w:rPr>
          <w:rFonts w:asciiTheme="minorHAnsi" w:hAnsiTheme="minorHAnsi" w:cs="Helvetica"/>
        </w:rPr>
        <w:t>, S. (1989).</w:t>
      </w:r>
      <w:proofErr w:type="gramEnd"/>
      <w:r w:rsidR="00FF7C74" w:rsidRPr="000D5CA1">
        <w:rPr>
          <w:rFonts w:asciiTheme="minorHAnsi" w:hAnsiTheme="minorHAnsi" w:cs="Helvetica"/>
        </w:rPr>
        <w:t xml:space="preserve"> Meaning and values in test validation: the science and ethics of assessment. </w:t>
      </w:r>
      <w:r w:rsidR="00FF7C74" w:rsidRPr="000D5CA1">
        <w:rPr>
          <w:rFonts w:asciiTheme="minorHAnsi" w:hAnsiTheme="minorHAnsi" w:cs="Helvetica"/>
          <w:i/>
          <w:iCs/>
        </w:rPr>
        <w:t>Educational Researcher, 18</w:t>
      </w:r>
      <w:r w:rsidR="00FF7C74" w:rsidRPr="000D5CA1">
        <w:rPr>
          <w:rFonts w:asciiTheme="minorHAnsi" w:hAnsiTheme="minorHAnsi" w:cs="Helvetica"/>
        </w:rPr>
        <w:t xml:space="preserve">(2), 5-11. </w:t>
      </w:r>
    </w:p>
    <w:p w14:paraId="719ABF2E" w14:textId="6C2E23ED" w:rsidR="000B54AF" w:rsidRPr="000D5CA1" w:rsidRDefault="00FF7C74" w:rsidP="000D5CA1">
      <w:pPr>
        <w:ind w:left="567" w:hanging="567"/>
        <w:rPr>
          <w:rFonts w:asciiTheme="minorHAnsi" w:hAnsiTheme="minorHAnsi"/>
          <w:noProof/>
        </w:rPr>
      </w:pPr>
      <w:r w:rsidRPr="000D5CA1">
        <w:rPr>
          <w:rFonts w:asciiTheme="minorHAnsi" w:hAnsiTheme="minorHAnsi"/>
          <w:noProof/>
        </w:rPr>
        <w:t xml:space="preserve"> </w:t>
      </w:r>
      <w:r w:rsidR="000B54AF" w:rsidRPr="000D5CA1">
        <w:rPr>
          <w:rFonts w:asciiTheme="minorHAnsi" w:hAnsiTheme="minorHAnsi"/>
          <w:noProof/>
        </w:rPr>
        <w:t xml:space="preserve">Morgan, C., Tsatsaroni, A., &amp; Lerman, S. (2002). Mathematics teachers' positions and practices in discourses of assessment. </w:t>
      </w:r>
      <w:r w:rsidR="000B54AF" w:rsidRPr="000D5CA1">
        <w:rPr>
          <w:rFonts w:asciiTheme="minorHAnsi" w:hAnsiTheme="minorHAnsi"/>
          <w:i/>
          <w:noProof/>
        </w:rPr>
        <w:t>British Journal of Sociology of Education, 23</w:t>
      </w:r>
      <w:r w:rsidR="000B54AF" w:rsidRPr="000D5CA1">
        <w:rPr>
          <w:rFonts w:asciiTheme="minorHAnsi" w:hAnsiTheme="minorHAnsi"/>
          <w:noProof/>
        </w:rPr>
        <w:t xml:space="preserve">(3), 445-461. </w:t>
      </w:r>
    </w:p>
    <w:p w14:paraId="58A53CF9" w14:textId="77777777" w:rsidR="000B54AF" w:rsidRPr="000D5CA1" w:rsidRDefault="000B54AF" w:rsidP="000D5CA1">
      <w:pPr>
        <w:ind w:left="567" w:hanging="567"/>
        <w:rPr>
          <w:rFonts w:asciiTheme="minorHAnsi" w:hAnsiTheme="minorHAnsi"/>
          <w:noProof/>
        </w:rPr>
      </w:pPr>
      <w:r w:rsidRPr="000D5CA1">
        <w:rPr>
          <w:rFonts w:asciiTheme="minorHAnsi" w:hAnsiTheme="minorHAnsi"/>
          <w:noProof/>
        </w:rPr>
        <w:t xml:space="preserve">Muller, J. (1998). The Well-Tempered Learner: Self-Regulation, Pedagogical Models and Teacher Education Policy. </w:t>
      </w:r>
      <w:r w:rsidRPr="000D5CA1">
        <w:rPr>
          <w:rFonts w:asciiTheme="minorHAnsi" w:hAnsiTheme="minorHAnsi"/>
          <w:i/>
          <w:noProof/>
        </w:rPr>
        <w:t>Comparative Education, 34</w:t>
      </w:r>
      <w:r w:rsidRPr="000D5CA1">
        <w:rPr>
          <w:rFonts w:asciiTheme="minorHAnsi" w:hAnsiTheme="minorHAnsi"/>
          <w:noProof/>
        </w:rPr>
        <w:t>(2), 177-193. doi: 10.2307/3099800</w:t>
      </w:r>
    </w:p>
    <w:p w14:paraId="562100A3" w14:textId="77777777" w:rsidR="007B7875" w:rsidRPr="000D5CA1" w:rsidRDefault="007B7875" w:rsidP="000D5CA1">
      <w:pPr>
        <w:ind w:left="567" w:hanging="567"/>
        <w:rPr>
          <w:rFonts w:asciiTheme="minorHAnsi" w:hAnsiTheme="minorHAnsi"/>
        </w:rPr>
      </w:pPr>
      <w:proofErr w:type="spellStart"/>
      <w:r w:rsidRPr="000D5CA1">
        <w:rPr>
          <w:rFonts w:asciiTheme="minorHAnsi" w:hAnsiTheme="minorHAnsi"/>
        </w:rPr>
        <w:t>Nardi</w:t>
      </w:r>
      <w:proofErr w:type="spellEnd"/>
      <w:r w:rsidRPr="000D5CA1">
        <w:rPr>
          <w:rFonts w:asciiTheme="minorHAnsi" w:hAnsiTheme="minorHAnsi"/>
        </w:rPr>
        <w:t xml:space="preserve">, E. (2008) Cultural biases: a non-Anglophone perspective. </w:t>
      </w:r>
      <w:r w:rsidRPr="000D5CA1">
        <w:rPr>
          <w:rFonts w:asciiTheme="minorHAnsi" w:hAnsiTheme="minorHAnsi"/>
          <w:i/>
        </w:rPr>
        <w:t>Assessment in Education: Principles, Policy &amp; Practice</w:t>
      </w:r>
      <w:r w:rsidRPr="000D5CA1">
        <w:rPr>
          <w:rFonts w:asciiTheme="minorHAnsi" w:hAnsiTheme="minorHAnsi"/>
        </w:rPr>
        <w:t xml:space="preserve">, 15(3), 259-266. </w:t>
      </w:r>
    </w:p>
    <w:p w14:paraId="4B22416F" w14:textId="77777777" w:rsidR="000B54AF" w:rsidRPr="000D5CA1" w:rsidRDefault="000B54AF" w:rsidP="000D5CA1">
      <w:pPr>
        <w:ind w:left="567" w:hanging="567"/>
        <w:rPr>
          <w:rFonts w:asciiTheme="minorHAnsi" w:hAnsiTheme="minorHAnsi"/>
          <w:noProof/>
        </w:rPr>
      </w:pPr>
      <w:r w:rsidRPr="000D5CA1">
        <w:rPr>
          <w:rFonts w:asciiTheme="minorHAnsi" w:hAnsiTheme="minorHAnsi"/>
          <w:noProof/>
        </w:rPr>
        <w:lastRenderedPageBreak/>
        <w:t xml:space="preserve">Neumann, E., Kiss, A., Fejes, I., Bajomi, I., BerEenyi, E., Biró, Z. A., &amp; Vida, J. (2012). The hard work of interpretation: the national politics of PISA reception in Hungary and Romania. </w:t>
      </w:r>
      <w:r w:rsidRPr="000D5CA1">
        <w:rPr>
          <w:rFonts w:asciiTheme="minorHAnsi" w:hAnsiTheme="minorHAnsi"/>
          <w:i/>
          <w:noProof/>
        </w:rPr>
        <w:t>European Educational Research Journal, 11</w:t>
      </w:r>
      <w:r w:rsidRPr="000D5CA1">
        <w:rPr>
          <w:rFonts w:asciiTheme="minorHAnsi" w:hAnsiTheme="minorHAnsi"/>
          <w:noProof/>
        </w:rPr>
        <w:t xml:space="preserve">(2), 227-242. </w:t>
      </w:r>
    </w:p>
    <w:p w14:paraId="7C351F74" w14:textId="3BD26AB1" w:rsidR="000B54AF" w:rsidRPr="000D5CA1" w:rsidRDefault="000B54AF" w:rsidP="000D5CA1">
      <w:pPr>
        <w:ind w:left="567" w:hanging="567"/>
        <w:rPr>
          <w:rFonts w:asciiTheme="minorHAnsi" w:hAnsiTheme="minorHAnsi"/>
          <w:noProof/>
        </w:rPr>
      </w:pPr>
      <w:r w:rsidRPr="000D5CA1">
        <w:rPr>
          <w:rFonts w:asciiTheme="minorHAnsi" w:hAnsiTheme="minorHAnsi"/>
          <w:noProof/>
        </w:rPr>
        <w:t>Norén, E., &amp; Björklund Boistrup, L. (2013).</w:t>
      </w:r>
      <w:r w:rsidRPr="00D43D07">
        <w:rPr>
          <w:rFonts w:asciiTheme="minorHAnsi" w:hAnsiTheme="minorHAnsi"/>
          <w:noProof/>
        </w:rPr>
        <w:t xml:space="preserve"> What is a group? Theoretical</w:t>
      </w:r>
      <w:r w:rsidR="00D43D07">
        <w:rPr>
          <w:rFonts w:asciiTheme="minorHAnsi" w:hAnsiTheme="minorHAnsi"/>
          <w:noProof/>
        </w:rPr>
        <w:t xml:space="preserve"> considerations when researching</w:t>
      </w:r>
      <w:r w:rsidRPr="00D43D07">
        <w:rPr>
          <w:rFonts w:asciiTheme="minorHAnsi" w:hAnsiTheme="minorHAnsi"/>
          <w:noProof/>
        </w:rPr>
        <w:t xml:space="preserve"> affordances for multilingual students' mathematical learning. </w:t>
      </w:r>
      <w:r w:rsidRPr="000D5CA1">
        <w:rPr>
          <w:rFonts w:asciiTheme="minorHAnsi" w:hAnsiTheme="minorHAnsi"/>
          <w:noProof/>
        </w:rPr>
        <w:t xml:space="preserve">Paper presented at </w:t>
      </w:r>
      <w:r w:rsidR="00D43D07">
        <w:rPr>
          <w:rFonts w:asciiTheme="minorHAnsi" w:hAnsiTheme="minorHAnsi"/>
          <w:noProof/>
        </w:rPr>
        <w:t>7</w:t>
      </w:r>
      <w:r w:rsidR="00D43D07" w:rsidRPr="00D43D07">
        <w:rPr>
          <w:rFonts w:asciiTheme="minorHAnsi" w:hAnsiTheme="minorHAnsi"/>
          <w:noProof/>
          <w:vertAlign w:val="superscript"/>
        </w:rPr>
        <w:t>th</w:t>
      </w:r>
      <w:r w:rsidR="00D43D07">
        <w:rPr>
          <w:rFonts w:asciiTheme="minorHAnsi" w:hAnsiTheme="minorHAnsi"/>
          <w:noProof/>
        </w:rPr>
        <w:t xml:space="preserve"> Conference on </w:t>
      </w:r>
      <w:r w:rsidRPr="000D5CA1">
        <w:rPr>
          <w:rFonts w:asciiTheme="minorHAnsi" w:hAnsiTheme="minorHAnsi"/>
          <w:noProof/>
        </w:rPr>
        <w:t>Mat</w:t>
      </w:r>
      <w:r w:rsidR="00D43D07">
        <w:rPr>
          <w:rFonts w:asciiTheme="minorHAnsi" w:hAnsiTheme="minorHAnsi"/>
          <w:noProof/>
        </w:rPr>
        <w:t>hematics Education and Society</w:t>
      </w:r>
      <w:r w:rsidRPr="000D5CA1">
        <w:rPr>
          <w:rFonts w:asciiTheme="minorHAnsi" w:hAnsiTheme="minorHAnsi"/>
          <w:noProof/>
        </w:rPr>
        <w:t xml:space="preserve">, Cape Town, South Africa. </w:t>
      </w:r>
    </w:p>
    <w:p w14:paraId="1D04A712" w14:textId="77777777" w:rsidR="000B54AF" w:rsidRPr="000D5CA1" w:rsidRDefault="000B54AF" w:rsidP="000D5CA1">
      <w:pPr>
        <w:ind w:left="567" w:hanging="567"/>
        <w:rPr>
          <w:rFonts w:asciiTheme="minorHAnsi" w:hAnsiTheme="minorHAnsi"/>
          <w:noProof/>
        </w:rPr>
      </w:pPr>
      <w:r w:rsidRPr="000D5CA1">
        <w:rPr>
          <w:rFonts w:asciiTheme="minorHAnsi" w:hAnsiTheme="minorHAnsi"/>
          <w:noProof/>
        </w:rPr>
        <w:t>OECD. (2009). Take the Test: Sample Questions from OECD's PISA Assessments</w:t>
      </w:r>
      <w:r w:rsidRPr="000D5CA1">
        <w:rPr>
          <w:rFonts w:asciiTheme="minorHAnsi" w:hAnsiTheme="minorHAnsi"/>
          <w:i/>
          <w:noProof/>
        </w:rPr>
        <w:t xml:space="preserve"> </w:t>
      </w:r>
      <w:r w:rsidRPr="000D5CA1">
        <w:rPr>
          <w:rFonts w:asciiTheme="minorHAnsi" w:hAnsiTheme="minorHAnsi"/>
          <w:noProof/>
        </w:rPr>
        <w:t xml:space="preserve">  Retrieved from http://www.oecd.org/pisa/pisaproducts/pisa2000/41943106.pdf </w:t>
      </w:r>
    </w:p>
    <w:p w14:paraId="568A0FD1" w14:textId="77777777" w:rsidR="000B54AF" w:rsidRPr="000D5CA1" w:rsidRDefault="000B54AF" w:rsidP="000D5CA1">
      <w:pPr>
        <w:ind w:left="567" w:hanging="567"/>
        <w:rPr>
          <w:rFonts w:asciiTheme="minorHAnsi" w:hAnsiTheme="minorHAnsi"/>
          <w:noProof/>
        </w:rPr>
      </w:pPr>
      <w:r w:rsidRPr="000D5CA1">
        <w:rPr>
          <w:rFonts w:asciiTheme="minorHAnsi" w:hAnsiTheme="minorHAnsi"/>
          <w:noProof/>
        </w:rPr>
        <w:t>OECD. (2013). PISA 2012 Assessment and analytical framework: Mathematics, reading, science, problem solving and financial literacy</w:t>
      </w:r>
      <w:r w:rsidRPr="000D5CA1">
        <w:rPr>
          <w:rFonts w:asciiTheme="minorHAnsi" w:hAnsiTheme="minorHAnsi"/>
          <w:i/>
          <w:noProof/>
        </w:rPr>
        <w:t xml:space="preserve"> </w:t>
      </w:r>
      <w:r w:rsidRPr="000D5CA1">
        <w:rPr>
          <w:rFonts w:asciiTheme="minorHAnsi" w:hAnsiTheme="minorHAnsi"/>
          <w:noProof/>
        </w:rPr>
        <w:t xml:space="preserve">  Retrieved from http://dx.doi.org/10.1787/9789264190511-en </w:t>
      </w:r>
    </w:p>
    <w:p w14:paraId="098D9A33" w14:textId="1253EDC2" w:rsidR="007F0FED" w:rsidRPr="000D5CA1" w:rsidRDefault="007F0FED" w:rsidP="000D5CA1">
      <w:pPr>
        <w:ind w:left="567" w:hanging="567"/>
        <w:rPr>
          <w:rFonts w:asciiTheme="minorHAnsi" w:hAnsiTheme="minorHAnsi"/>
        </w:rPr>
      </w:pPr>
      <w:r w:rsidRPr="000D5CA1">
        <w:rPr>
          <w:rFonts w:asciiTheme="minorHAnsi" w:hAnsiTheme="minorHAnsi"/>
        </w:rPr>
        <w:t>Olson, K. (2008)</w:t>
      </w:r>
      <w:r w:rsidR="00D43D07">
        <w:rPr>
          <w:rFonts w:asciiTheme="minorHAnsi" w:hAnsiTheme="minorHAnsi"/>
        </w:rPr>
        <w:t>.</w:t>
      </w:r>
      <w:r w:rsidRPr="000D5CA1">
        <w:rPr>
          <w:rFonts w:asciiTheme="minorHAnsi" w:hAnsiTheme="minorHAnsi"/>
        </w:rPr>
        <w:t xml:space="preserve"> </w:t>
      </w:r>
      <w:proofErr w:type="gramStart"/>
      <w:r w:rsidRPr="000D5CA1">
        <w:rPr>
          <w:rFonts w:asciiTheme="minorHAnsi" w:hAnsiTheme="minorHAnsi"/>
        </w:rPr>
        <w:t>Governmental rationality and popular sovereignty.</w:t>
      </w:r>
      <w:proofErr w:type="gramEnd"/>
      <w:r w:rsidRPr="000D5CA1">
        <w:rPr>
          <w:rFonts w:asciiTheme="minorHAnsi" w:hAnsiTheme="minorHAnsi"/>
        </w:rPr>
        <w:t xml:space="preserve"> </w:t>
      </w:r>
      <w:r w:rsidRPr="00D43D07">
        <w:rPr>
          <w:rFonts w:asciiTheme="minorHAnsi" w:hAnsiTheme="minorHAnsi"/>
          <w:i/>
        </w:rPr>
        <w:t>Current perspectives in social theory, 25</w:t>
      </w:r>
      <w:r w:rsidRPr="000D5CA1">
        <w:rPr>
          <w:rFonts w:asciiTheme="minorHAnsi" w:hAnsiTheme="minorHAnsi"/>
        </w:rPr>
        <w:t>, 329-352</w:t>
      </w:r>
    </w:p>
    <w:p w14:paraId="18613EC4" w14:textId="4D5D55BB" w:rsidR="000B54AF" w:rsidRPr="000D5CA1" w:rsidRDefault="000B54AF" w:rsidP="000D5CA1">
      <w:pPr>
        <w:ind w:left="567" w:hanging="567"/>
        <w:rPr>
          <w:rFonts w:asciiTheme="minorHAnsi" w:hAnsiTheme="minorHAnsi"/>
          <w:noProof/>
        </w:rPr>
      </w:pPr>
      <w:r w:rsidRPr="000D5CA1">
        <w:rPr>
          <w:rFonts w:asciiTheme="minorHAnsi" w:hAnsiTheme="minorHAnsi"/>
          <w:noProof/>
        </w:rPr>
        <w:t>Oppedisano, V., &amp; Turati, G. (2012). What are the causes of educational inequality and of its evolution over time in</w:t>
      </w:r>
      <w:r w:rsidR="00D43D07">
        <w:rPr>
          <w:rFonts w:asciiTheme="minorHAnsi" w:hAnsiTheme="minorHAnsi"/>
          <w:noProof/>
        </w:rPr>
        <w:t xml:space="preserve"> Europe? Evidence from PISA</w:t>
      </w:r>
      <w:r w:rsidRPr="000D5CA1">
        <w:rPr>
          <w:rFonts w:asciiTheme="minorHAnsi" w:hAnsiTheme="minorHAnsi"/>
          <w:noProof/>
        </w:rPr>
        <w:t xml:space="preserve">. </w:t>
      </w:r>
      <w:r w:rsidRPr="000D5CA1">
        <w:rPr>
          <w:rFonts w:asciiTheme="minorHAnsi" w:hAnsiTheme="minorHAnsi"/>
          <w:i/>
          <w:noProof/>
        </w:rPr>
        <w:t>Education Economics</w:t>
      </w:r>
      <w:r w:rsidRPr="000D5CA1">
        <w:rPr>
          <w:rFonts w:asciiTheme="minorHAnsi" w:hAnsiTheme="minorHAnsi"/>
          <w:noProof/>
        </w:rPr>
        <w:t>, 1-22. doi: 10.1080/09645292.2012.736475</w:t>
      </w:r>
    </w:p>
    <w:p w14:paraId="65B1AD6F" w14:textId="77777777" w:rsidR="007B7875" w:rsidRPr="000D5CA1" w:rsidRDefault="007B7875" w:rsidP="000D5CA1">
      <w:pPr>
        <w:ind w:left="567" w:hanging="567"/>
        <w:rPr>
          <w:rFonts w:asciiTheme="minorHAnsi" w:hAnsiTheme="minorHAnsi"/>
          <w:noProof/>
        </w:rPr>
      </w:pPr>
      <w:r w:rsidRPr="000D5CA1">
        <w:rPr>
          <w:rFonts w:asciiTheme="minorHAnsi" w:hAnsiTheme="minorHAnsi"/>
          <w:noProof/>
        </w:rPr>
        <w:t xml:space="preserve">Ozga, J. (2012a). Assessing PISA, </w:t>
      </w:r>
      <w:r w:rsidRPr="000D5CA1">
        <w:rPr>
          <w:rFonts w:asciiTheme="minorHAnsi" w:hAnsiTheme="minorHAnsi"/>
          <w:i/>
          <w:noProof/>
        </w:rPr>
        <w:t>European Educational Research Journal</w:t>
      </w:r>
      <w:r w:rsidRPr="000D5CA1">
        <w:rPr>
          <w:rFonts w:asciiTheme="minorHAnsi" w:hAnsiTheme="minorHAnsi"/>
          <w:noProof/>
        </w:rPr>
        <w:t>, 11(2), 166-171.</w:t>
      </w:r>
    </w:p>
    <w:p w14:paraId="6C57590F" w14:textId="77777777" w:rsidR="007B7875" w:rsidRPr="000D5CA1" w:rsidRDefault="007B7875" w:rsidP="000D5CA1">
      <w:pPr>
        <w:ind w:left="567" w:hanging="567"/>
        <w:rPr>
          <w:rFonts w:asciiTheme="minorHAnsi" w:hAnsiTheme="minorHAnsi"/>
          <w:noProof/>
        </w:rPr>
      </w:pPr>
      <w:r w:rsidRPr="000D5CA1">
        <w:rPr>
          <w:rFonts w:asciiTheme="minorHAnsi" w:hAnsiTheme="minorHAnsi"/>
          <w:noProof/>
        </w:rPr>
        <w:t xml:space="preserve">Ozga, J. (2012b) Governing knowledge: data, inspection and education policy in Europe. </w:t>
      </w:r>
      <w:r w:rsidRPr="000D5CA1">
        <w:rPr>
          <w:rFonts w:asciiTheme="minorHAnsi" w:hAnsiTheme="minorHAnsi"/>
          <w:i/>
          <w:noProof/>
        </w:rPr>
        <w:t>Globalisation, Societies and Education</w:t>
      </w:r>
      <w:r w:rsidRPr="000D5CA1">
        <w:rPr>
          <w:rFonts w:asciiTheme="minorHAnsi" w:hAnsiTheme="minorHAnsi"/>
          <w:noProof/>
        </w:rPr>
        <w:t>, 10(4), 439-455.</w:t>
      </w:r>
    </w:p>
    <w:p w14:paraId="6E007734" w14:textId="64375362" w:rsidR="007F0FED" w:rsidRPr="000D5CA1" w:rsidRDefault="00D57936" w:rsidP="000D5CA1">
      <w:pPr>
        <w:ind w:left="567" w:hanging="567"/>
        <w:rPr>
          <w:rFonts w:asciiTheme="minorHAnsi" w:hAnsiTheme="minorHAnsi"/>
        </w:rPr>
      </w:pPr>
      <w:proofErr w:type="gramStart"/>
      <w:r>
        <w:rPr>
          <w:rFonts w:asciiTheme="minorHAnsi" w:hAnsiTheme="minorHAnsi"/>
        </w:rPr>
        <w:t>Peters,</w:t>
      </w:r>
      <w:r w:rsidR="007F0FED" w:rsidRPr="000D5CA1">
        <w:rPr>
          <w:rFonts w:asciiTheme="minorHAnsi" w:hAnsiTheme="minorHAnsi"/>
        </w:rPr>
        <w:t xml:space="preserve"> M.A. </w:t>
      </w:r>
      <w:r w:rsidR="00E13A32">
        <w:rPr>
          <w:rFonts w:asciiTheme="minorHAnsi" w:hAnsiTheme="minorHAnsi"/>
        </w:rPr>
        <w:t xml:space="preserve">(2009) </w:t>
      </w:r>
      <w:r w:rsidR="007F0FED" w:rsidRPr="000D5CA1">
        <w:rPr>
          <w:rFonts w:asciiTheme="minorHAnsi" w:hAnsiTheme="minorHAnsi"/>
        </w:rPr>
        <w:t>Introduction.</w:t>
      </w:r>
      <w:proofErr w:type="gramEnd"/>
      <w:r w:rsidR="007F0FED" w:rsidRPr="000D5CA1">
        <w:rPr>
          <w:rFonts w:asciiTheme="minorHAnsi" w:hAnsiTheme="minorHAnsi"/>
        </w:rPr>
        <w:t xml:space="preserve"> </w:t>
      </w:r>
      <w:proofErr w:type="spellStart"/>
      <w:r w:rsidR="007F0FED" w:rsidRPr="000D5CA1">
        <w:rPr>
          <w:rFonts w:asciiTheme="minorHAnsi" w:hAnsiTheme="minorHAnsi"/>
        </w:rPr>
        <w:t>Governmentality</w:t>
      </w:r>
      <w:proofErr w:type="spellEnd"/>
      <w:r w:rsidR="007F0FED" w:rsidRPr="000D5CA1">
        <w:rPr>
          <w:rFonts w:asciiTheme="minorHAnsi" w:hAnsiTheme="minorHAnsi"/>
        </w:rPr>
        <w:t>, Education and t</w:t>
      </w:r>
      <w:r>
        <w:rPr>
          <w:rFonts w:asciiTheme="minorHAnsi" w:hAnsiTheme="minorHAnsi"/>
        </w:rPr>
        <w:t>he End of Neoliberalism</w:t>
      </w:r>
      <w:proofErr w:type="gramStart"/>
      <w:r>
        <w:rPr>
          <w:rFonts w:asciiTheme="minorHAnsi" w:hAnsiTheme="minorHAnsi"/>
        </w:rPr>
        <w:t>?,</w:t>
      </w:r>
      <w:proofErr w:type="gramEnd"/>
      <w:r>
        <w:rPr>
          <w:rFonts w:asciiTheme="minorHAnsi" w:hAnsiTheme="minorHAnsi"/>
        </w:rPr>
        <w:t xml:space="preserve"> In </w:t>
      </w:r>
      <w:proofErr w:type="spellStart"/>
      <w:r>
        <w:rPr>
          <w:rFonts w:asciiTheme="minorHAnsi" w:hAnsiTheme="minorHAnsi"/>
        </w:rPr>
        <w:t>M.</w:t>
      </w:r>
      <w:r w:rsidR="007F0FED" w:rsidRPr="000D5CA1">
        <w:rPr>
          <w:rFonts w:asciiTheme="minorHAnsi" w:hAnsiTheme="minorHAnsi"/>
        </w:rPr>
        <w:t>A.Peters</w:t>
      </w:r>
      <w:proofErr w:type="spellEnd"/>
      <w:r w:rsidR="007F0FED" w:rsidRPr="000D5CA1">
        <w:rPr>
          <w:rFonts w:asciiTheme="minorHAnsi" w:hAnsiTheme="minorHAnsi"/>
        </w:rPr>
        <w:t xml:space="preserve">, A.C. </w:t>
      </w:r>
      <w:proofErr w:type="spellStart"/>
      <w:r w:rsidR="007F0FED" w:rsidRPr="000D5CA1">
        <w:rPr>
          <w:rFonts w:asciiTheme="minorHAnsi" w:hAnsiTheme="minorHAnsi"/>
        </w:rPr>
        <w:t>Besley</w:t>
      </w:r>
      <w:proofErr w:type="spellEnd"/>
      <w:r w:rsidR="007F0FED" w:rsidRPr="000D5CA1">
        <w:rPr>
          <w:rFonts w:asciiTheme="minorHAnsi" w:hAnsiTheme="minorHAnsi"/>
        </w:rPr>
        <w:t xml:space="preserve">, M. </w:t>
      </w:r>
      <w:proofErr w:type="spellStart"/>
      <w:r w:rsidR="007F0FED" w:rsidRPr="000D5CA1">
        <w:rPr>
          <w:rFonts w:asciiTheme="minorHAnsi" w:hAnsiTheme="minorHAnsi"/>
        </w:rPr>
        <w:t>Olssen</w:t>
      </w:r>
      <w:proofErr w:type="spellEnd"/>
      <w:r w:rsidR="007F0FED" w:rsidRPr="000D5CA1">
        <w:rPr>
          <w:rFonts w:asciiTheme="minorHAnsi" w:hAnsiTheme="minorHAnsi"/>
        </w:rPr>
        <w:t>, S. Maurer &amp; S. Weber (</w:t>
      </w:r>
      <w:proofErr w:type="spellStart"/>
      <w:r w:rsidR="007F0FED" w:rsidRPr="000D5CA1">
        <w:rPr>
          <w:rFonts w:asciiTheme="minorHAnsi" w:hAnsiTheme="minorHAnsi"/>
        </w:rPr>
        <w:t>Eds</w:t>
      </w:r>
      <w:proofErr w:type="spellEnd"/>
      <w:r w:rsidR="007F0FED" w:rsidRPr="000D5CA1">
        <w:rPr>
          <w:rFonts w:asciiTheme="minorHAnsi" w:hAnsiTheme="minorHAnsi"/>
        </w:rPr>
        <w:t>)</w:t>
      </w:r>
      <w:r>
        <w:rPr>
          <w:rFonts w:asciiTheme="minorHAnsi" w:hAnsiTheme="minorHAnsi"/>
        </w:rPr>
        <w:t>.</w:t>
      </w:r>
      <w:r w:rsidR="007F0FED" w:rsidRPr="000D5CA1">
        <w:rPr>
          <w:rFonts w:asciiTheme="minorHAnsi" w:hAnsiTheme="minorHAnsi"/>
        </w:rPr>
        <w:t xml:space="preserve"> </w:t>
      </w:r>
      <w:proofErr w:type="spellStart"/>
      <w:proofErr w:type="gramStart"/>
      <w:r w:rsidR="007F0FED" w:rsidRPr="00D57936">
        <w:rPr>
          <w:rFonts w:asciiTheme="minorHAnsi" w:hAnsiTheme="minorHAnsi"/>
          <w:i/>
        </w:rPr>
        <w:t>Governmentality</w:t>
      </w:r>
      <w:proofErr w:type="spellEnd"/>
      <w:r w:rsidR="007F0FED" w:rsidRPr="00D57936">
        <w:rPr>
          <w:rFonts w:asciiTheme="minorHAnsi" w:hAnsiTheme="minorHAnsi"/>
          <w:i/>
        </w:rPr>
        <w:t xml:space="preserve"> Studies in Education</w:t>
      </w:r>
      <w:r w:rsidR="007F0FED" w:rsidRPr="000D5CA1">
        <w:rPr>
          <w:rFonts w:asciiTheme="minorHAnsi" w:hAnsiTheme="minorHAnsi"/>
        </w:rPr>
        <w:t>.</w:t>
      </w:r>
      <w:proofErr w:type="gramEnd"/>
      <w:r w:rsidR="007F0FED" w:rsidRPr="000D5CA1">
        <w:rPr>
          <w:rFonts w:asciiTheme="minorHAnsi" w:hAnsiTheme="minorHAnsi"/>
        </w:rPr>
        <w:t xml:space="preserve"> </w:t>
      </w:r>
      <w:r w:rsidRPr="000D5CA1">
        <w:rPr>
          <w:rFonts w:asciiTheme="minorHAnsi" w:hAnsiTheme="minorHAnsi"/>
        </w:rPr>
        <w:t>(pp. xxvii-</w:t>
      </w:r>
      <w:proofErr w:type="spellStart"/>
      <w:r w:rsidRPr="000D5CA1">
        <w:rPr>
          <w:rFonts w:asciiTheme="minorHAnsi" w:hAnsiTheme="minorHAnsi"/>
        </w:rPr>
        <w:t>xIviii</w:t>
      </w:r>
      <w:proofErr w:type="spellEnd"/>
      <w:r w:rsidRPr="000D5CA1">
        <w:rPr>
          <w:rFonts w:asciiTheme="minorHAnsi" w:hAnsiTheme="minorHAnsi"/>
        </w:rPr>
        <w:t>)</w:t>
      </w:r>
      <w:r>
        <w:rPr>
          <w:rFonts w:asciiTheme="minorHAnsi" w:hAnsiTheme="minorHAnsi"/>
        </w:rPr>
        <w:t xml:space="preserve"> </w:t>
      </w:r>
      <w:r w:rsidR="007F0FED" w:rsidRPr="000D5CA1">
        <w:rPr>
          <w:rFonts w:asciiTheme="minorHAnsi" w:hAnsiTheme="minorHAnsi"/>
        </w:rPr>
        <w:t>Rotterdam: Sense Publishers</w:t>
      </w:r>
      <w:r w:rsidR="00E13A32">
        <w:rPr>
          <w:rFonts w:asciiTheme="minorHAnsi" w:hAnsiTheme="minorHAnsi"/>
        </w:rPr>
        <w:t>.</w:t>
      </w:r>
    </w:p>
    <w:p w14:paraId="22E9EF51" w14:textId="77777777" w:rsidR="000B54AF" w:rsidRDefault="000B54AF" w:rsidP="000D5CA1">
      <w:pPr>
        <w:ind w:left="567" w:hanging="567"/>
        <w:rPr>
          <w:rFonts w:asciiTheme="minorHAnsi" w:hAnsiTheme="minorHAnsi"/>
          <w:noProof/>
        </w:rPr>
      </w:pPr>
      <w:r w:rsidRPr="000D5CA1">
        <w:rPr>
          <w:rFonts w:asciiTheme="minorHAnsi" w:hAnsiTheme="minorHAnsi"/>
          <w:noProof/>
        </w:rPr>
        <w:t xml:space="preserve">Pons, X. (2012). Going beyond the 'PISA shock' discourse: an analysis of the cognitive reception of PISA in six European countries, 2001-2008. </w:t>
      </w:r>
      <w:r w:rsidRPr="000D5CA1">
        <w:rPr>
          <w:rFonts w:asciiTheme="minorHAnsi" w:hAnsiTheme="minorHAnsi"/>
          <w:i/>
          <w:noProof/>
        </w:rPr>
        <w:t>European Educational Research Journal, 11</w:t>
      </w:r>
      <w:r w:rsidRPr="000D5CA1">
        <w:rPr>
          <w:rFonts w:asciiTheme="minorHAnsi" w:hAnsiTheme="minorHAnsi"/>
          <w:noProof/>
        </w:rPr>
        <w:t xml:space="preserve">(2), 206-226. </w:t>
      </w:r>
    </w:p>
    <w:p w14:paraId="7BADE7FD" w14:textId="77777777" w:rsidR="00D01408" w:rsidRPr="00D01408" w:rsidRDefault="00D01408" w:rsidP="00D01408">
      <w:pPr>
        <w:widowControl w:val="0"/>
        <w:autoSpaceDE w:val="0"/>
        <w:autoSpaceDN w:val="0"/>
        <w:adjustRightInd w:val="0"/>
        <w:ind w:left="720" w:hanging="720"/>
        <w:rPr>
          <w:rFonts w:asciiTheme="minorHAnsi" w:hAnsiTheme="minorHAnsi" w:cs="Helvetica"/>
        </w:rPr>
      </w:pPr>
      <w:proofErr w:type="spellStart"/>
      <w:r w:rsidRPr="00D01408">
        <w:rPr>
          <w:rFonts w:asciiTheme="minorHAnsi" w:hAnsiTheme="minorHAnsi" w:cs="Helvetica"/>
        </w:rPr>
        <w:t>Rabinow</w:t>
      </w:r>
      <w:proofErr w:type="spellEnd"/>
      <w:r w:rsidRPr="00D01408">
        <w:rPr>
          <w:rFonts w:asciiTheme="minorHAnsi" w:hAnsiTheme="minorHAnsi" w:cs="Helvetica"/>
        </w:rPr>
        <w:t xml:space="preserve">, P. (Ed.). (1984). </w:t>
      </w:r>
      <w:r w:rsidRPr="00D01408">
        <w:rPr>
          <w:rFonts w:asciiTheme="minorHAnsi" w:hAnsiTheme="minorHAnsi" w:cs="Helvetica"/>
          <w:i/>
          <w:iCs/>
        </w:rPr>
        <w:t>The Foucault Reader: an introduction to Foucault's thought</w:t>
      </w:r>
      <w:r w:rsidRPr="00D01408">
        <w:rPr>
          <w:rFonts w:asciiTheme="minorHAnsi" w:hAnsiTheme="minorHAnsi" w:cs="Helvetica"/>
        </w:rPr>
        <w:t>. New York: Pantheon Books.</w:t>
      </w:r>
    </w:p>
    <w:p w14:paraId="038EBFC9" w14:textId="3986CD5D" w:rsidR="006C4D35" w:rsidRPr="000D5CA1" w:rsidRDefault="006C4D35" w:rsidP="000D5CA1">
      <w:pPr>
        <w:ind w:left="567" w:hanging="567"/>
        <w:rPr>
          <w:rFonts w:asciiTheme="minorHAnsi" w:hAnsiTheme="minorHAnsi"/>
          <w:noProof/>
        </w:rPr>
      </w:pPr>
      <w:r w:rsidRPr="000D5CA1">
        <w:rPr>
          <w:rFonts w:asciiTheme="minorHAnsi" w:hAnsiTheme="minorHAnsi"/>
          <w:noProof/>
        </w:rPr>
        <w:t xml:space="preserve">Seddon, T &amp; Levin, J. (eds) (2013) Educators, professionalism and politics. Global transitions, national spaces and professional projects, </w:t>
      </w:r>
      <w:r w:rsidRPr="00D43D07">
        <w:rPr>
          <w:rFonts w:asciiTheme="minorHAnsi" w:hAnsiTheme="minorHAnsi"/>
          <w:i/>
          <w:noProof/>
        </w:rPr>
        <w:t>World Year Book of Education 2013</w:t>
      </w:r>
      <w:r w:rsidR="00D43D07">
        <w:rPr>
          <w:rFonts w:asciiTheme="minorHAnsi" w:hAnsiTheme="minorHAnsi"/>
          <w:noProof/>
        </w:rPr>
        <w:t>.</w:t>
      </w:r>
      <w:r w:rsidRPr="000D5CA1">
        <w:rPr>
          <w:rFonts w:asciiTheme="minorHAnsi" w:hAnsiTheme="minorHAnsi"/>
          <w:noProof/>
        </w:rPr>
        <w:t xml:space="preserve"> London: Routledge</w:t>
      </w:r>
      <w:r w:rsidR="00E13A32">
        <w:rPr>
          <w:rFonts w:asciiTheme="minorHAnsi" w:hAnsiTheme="minorHAnsi"/>
          <w:noProof/>
        </w:rPr>
        <w:t>.</w:t>
      </w:r>
    </w:p>
    <w:p w14:paraId="7D238051" w14:textId="03813ECF" w:rsidR="00656A5E" w:rsidRPr="00D43D07" w:rsidRDefault="00656A5E" w:rsidP="00D43D07">
      <w:pPr>
        <w:ind w:left="567" w:hanging="567"/>
        <w:rPr>
          <w:rFonts w:asciiTheme="minorHAnsi" w:hAnsiTheme="minorHAnsi" w:cs="Trebuchet MS"/>
        </w:rPr>
      </w:pPr>
      <w:proofErr w:type="gramStart"/>
      <w:r w:rsidRPr="00D43D07">
        <w:rPr>
          <w:rFonts w:asciiTheme="minorHAnsi" w:hAnsiTheme="minorHAnsi" w:cs="Trebuchet MS"/>
        </w:rPr>
        <w:t>Singh ,</w:t>
      </w:r>
      <w:proofErr w:type="gramEnd"/>
      <w:r w:rsidRPr="00D43D07">
        <w:rPr>
          <w:rFonts w:asciiTheme="minorHAnsi" w:hAnsiTheme="minorHAnsi" w:cs="Trebuchet MS"/>
        </w:rPr>
        <w:t xml:space="preserve"> P. Thomas, S. &amp; Harris, J. (2013): </w:t>
      </w:r>
      <w:proofErr w:type="spellStart"/>
      <w:r w:rsidRPr="00D43D07">
        <w:rPr>
          <w:rFonts w:asciiTheme="minorHAnsi" w:hAnsiTheme="minorHAnsi" w:cs="Trebuchet MS"/>
        </w:rPr>
        <w:t>Recontextualising</w:t>
      </w:r>
      <w:proofErr w:type="spellEnd"/>
      <w:r w:rsidRPr="00D43D07">
        <w:rPr>
          <w:rFonts w:asciiTheme="minorHAnsi" w:hAnsiTheme="minorHAnsi" w:cs="Trebuchet MS"/>
        </w:rPr>
        <w:t xml:space="preserve"> policy</w:t>
      </w:r>
      <w:r w:rsidR="00D43D07">
        <w:rPr>
          <w:rFonts w:asciiTheme="minorHAnsi" w:hAnsiTheme="minorHAnsi" w:cs="Trebuchet MS"/>
        </w:rPr>
        <w:t xml:space="preserve"> </w:t>
      </w:r>
      <w:r w:rsidRPr="00D43D07">
        <w:rPr>
          <w:rFonts w:asciiTheme="minorHAnsi" w:hAnsiTheme="minorHAnsi" w:cs="Trebuchet MS"/>
        </w:rPr>
        <w:t xml:space="preserve">discourses: a </w:t>
      </w:r>
      <w:proofErr w:type="spellStart"/>
      <w:r w:rsidRPr="00D43D07">
        <w:rPr>
          <w:rFonts w:asciiTheme="minorHAnsi" w:hAnsiTheme="minorHAnsi" w:cs="Trebuchet MS"/>
        </w:rPr>
        <w:t>Bernsteinian</w:t>
      </w:r>
      <w:proofErr w:type="spellEnd"/>
      <w:r w:rsidRPr="00D43D07">
        <w:rPr>
          <w:rFonts w:asciiTheme="minorHAnsi" w:hAnsiTheme="minorHAnsi" w:cs="Trebuchet MS"/>
        </w:rPr>
        <w:t xml:space="preserve"> perspective on policy interpretation, translation, enactment, </w:t>
      </w:r>
      <w:r w:rsidRPr="00D43D07">
        <w:rPr>
          <w:rFonts w:asciiTheme="minorHAnsi" w:hAnsiTheme="minorHAnsi" w:cs="Trebuchet MS"/>
          <w:i/>
        </w:rPr>
        <w:t>Journal of</w:t>
      </w:r>
      <w:r w:rsidR="00D43D07">
        <w:rPr>
          <w:rFonts w:asciiTheme="minorHAnsi" w:hAnsiTheme="minorHAnsi" w:cs="Trebuchet MS"/>
        </w:rPr>
        <w:t xml:space="preserve"> </w:t>
      </w:r>
      <w:r w:rsidRPr="00D43D07">
        <w:rPr>
          <w:rFonts w:asciiTheme="minorHAnsi" w:hAnsiTheme="minorHAnsi" w:cs="Trebuchet MS"/>
          <w:i/>
        </w:rPr>
        <w:t>Education Policy</w:t>
      </w:r>
      <w:r w:rsidRPr="00D43D07">
        <w:rPr>
          <w:rFonts w:asciiTheme="minorHAnsi" w:hAnsiTheme="minorHAnsi" w:cs="Trebuchet MS"/>
        </w:rPr>
        <w:t>, DOI:10.1080/02680939.2013.770554</w:t>
      </w:r>
      <w:r w:rsidR="00E13A32">
        <w:rPr>
          <w:rFonts w:asciiTheme="minorHAnsi" w:hAnsiTheme="minorHAnsi" w:cs="Trebuchet MS"/>
        </w:rPr>
        <w:t>.</w:t>
      </w:r>
    </w:p>
    <w:p w14:paraId="3F79DECC" w14:textId="77777777" w:rsidR="00737F70" w:rsidRPr="000D5CA1" w:rsidRDefault="00737F70" w:rsidP="000D5CA1">
      <w:pPr>
        <w:ind w:left="567" w:hanging="567"/>
        <w:rPr>
          <w:rFonts w:asciiTheme="minorHAnsi" w:hAnsiTheme="minorHAnsi" w:cs="Helvetica"/>
        </w:rPr>
      </w:pPr>
      <w:proofErr w:type="spellStart"/>
      <w:r w:rsidRPr="000D5CA1">
        <w:rPr>
          <w:rFonts w:asciiTheme="minorHAnsi" w:hAnsiTheme="minorHAnsi" w:cs="Helvetica"/>
        </w:rPr>
        <w:t>Stobart</w:t>
      </w:r>
      <w:proofErr w:type="spellEnd"/>
      <w:r w:rsidRPr="000D5CA1">
        <w:rPr>
          <w:rFonts w:asciiTheme="minorHAnsi" w:hAnsiTheme="minorHAnsi" w:cs="Helvetica"/>
        </w:rPr>
        <w:t xml:space="preserve">, G. (2005). </w:t>
      </w:r>
      <w:proofErr w:type="gramStart"/>
      <w:r w:rsidRPr="000D5CA1">
        <w:rPr>
          <w:rFonts w:asciiTheme="minorHAnsi" w:hAnsiTheme="minorHAnsi" w:cs="Helvetica"/>
        </w:rPr>
        <w:t>Fairness in multicultural assessment systems.</w:t>
      </w:r>
      <w:proofErr w:type="gramEnd"/>
      <w:r w:rsidRPr="000D5CA1">
        <w:rPr>
          <w:rFonts w:asciiTheme="minorHAnsi" w:hAnsiTheme="minorHAnsi" w:cs="Helvetica"/>
        </w:rPr>
        <w:t xml:space="preserve"> </w:t>
      </w:r>
      <w:r w:rsidRPr="000D5CA1">
        <w:rPr>
          <w:rFonts w:asciiTheme="minorHAnsi" w:hAnsiTheme="minorHAnsi" w:cs="Helvetica"/>
          <w:i/>
          <w:iCs/>
        </w:rPr>
        <w:t>Assessment in Education: Principles, Policy and Practice, 12</w:t>
      </w:r>
      <w:r w:rsidRPr="000D5CA1">
        <w:rPr>
          <w:rFonts w:asciiTheme="minorHAnsi" w:hAnsiTheme="minorHAnsi" w:cs="Helvetica"/>
        </w:rPr>
        <w:t xml:space="preserve">(3), 275-287. </w:t>
      </w:r>
    </w:p>
    <w:p w14:paraId="7461DFB6" w14:textId="28B7738E" w:rsidR="002449EA" w:rsidRPr="000D5CA1" w:rsidRDefault="00737F70" w:rsidP="000D5CA1">
      <w:pPr>
        <w:ind w:left="567" w:hanging="567"/>
        <w:rPr>
          <w:rFonts w:asciiTheme="minorHAnsi" w:eastAsiaTheme="minorEastAsia" w:hAnsiTheme="minorHAnsi" w:cs="Helvetica"/>
        </w:rPr>
      </w:pPr>
      <w:r w:rsidRPr="000D5CA1">
        <w:rPr>
          <w:rFonts w:asciiTheme="minorHAnsi" w:eastAsiaTheme="minorEastAsia" w:hAnsiTheme="minorHAnsi" w:cs="Helvetica"/>
        </w:rPr>
        <w:t xml:space="preserve"> </w:t>
      </w:r>
      <w:proofErr w:type="spellStart"/>
      <w:r w:rsidR="002449EA" w:rsidRPr="000D5CA1">
        <w:rPr>
          <w:rFonts w:asciiTheme="minorHAnsi" w:eastAsiaTheme="minorEastAsia" w:hAnsiTheme="minorHAnsi" w:cs="Helvetica"/>
        </w:rPr>
        <w:t>Wiliam</w:t>
      </w:r>
      <w:proofErr w:type="spellEnd"/>
      <w:r w:rsidR="002449EA" w:rsidRPr="000D5CA1">
        <w:rPr>
          <w:rFonts w:asciiTheme="minorHAnsi" w:eastAsiaTheme="minorEastAsia" w:hAnsiTheme="minorHAnsi" w:cs="Helvetica"/>
        </w:rPr>
        <w:t xml:space="preserve">, D. (2008). </w:t>
      </w:r>
      <w:proofErr w:type="gramStart"/>
      <w:r w:rsidR="002449EA" w:rsidRPr="000D5CA1">
        <w:rPr>
          <w:rFonts w:asciiTheme="minorHAnsi" w:eastAsiaTheme="minorEastAsia" w:hAnsiTheme="minorHAnsi" w:cs="Helvetica"/>
        </w:rPr>
        <w:t>Internat</w:t>
      </w:r>
      <w:r w:rsidR="00134C8A">
        <w:rPr>
          <w:rFonts w:asciiTheme="minorHAnsi" w:eastAsiaTheme="minorEastAsia" w:hAnsiTheme="minorHAnsi" w:cs="Helvetica"/>
        </w:rPr>
        <w:t>io</w:t>
      </w:r>
      <w:r w:rsidR="002449EA" w:rsidRPr="000D5CA1">
        <w:rPr>
          <w:rFonts w:asciiTheme="minorHAnsi" w:eastAsiaTheme="minorEastAsia" w:hAnsiTheme="minorHAnsi" w:cs="Helvetica"/>
        </w:rPr>
        <w:t>nal comparisons and sensitivity to instruction.</w:t>
      </w:r>
      <w:proofErr w:type="gramEnd"/>
      <w:r w:rsidR="002449EA" w:rsidRPr="000D5CA1">
        <w:rPr>
          <w:rFonts w:asciiTheme="minorHAnsi" w:eastAsiaTheme="minorEastAsia" w:hAnsiTheme="minorHAnsi" w:cs="Helvetica"/>
        </w:rPr>
        <w:t xml:space="preserve"> </w:t>
      </w:r>
      <w:r w:rsidR="002449EA" w:rsidRPr="000D5CA1">
        <w:rPr>
          <w:rFonts w:asciiTheme="minorHAnsi" w:eastAsiaTheme="minorEastAsia" w:hAnsiTheme="minorHAnsi" w:cs="Helvetica"/>
          <w:i/>
          <w:iCs/>
        </w:rPr>
        <w:t>Assessment in Education: Principles, Policy and Practice, 15</w:t>
      </w:r>
      <w:r w:rsidR="002449EA" w:rsidRPr="000D5CA1">
        <w:rPr>
          <w:rFonts w:asciiTheme="minorHAnsi" w:eastAsiaTheme="minorEastAsia" w:hAnsiTheme="minorHAnsi" w:cs="Helvetica"/>
        </w:rPr>
        <w:t xml:space="preserve">(3), 253-257. </w:t>
      </w:r>
    </w:p>
    <w:p w14:paraId="671D75C0" w14:textId="77777777" w:rsidR="002449EA" w:rsidRPr="000D5CA1" w:rsidRDefault="002449EA" w:rsidP="000D5CA1">
      <w:pPr>
        <w:ind w:left="567" w:hanging="567"/>
        <w:rPr>
          <w:rFonts w:asciiTheme="minorHAnsi" w:hAnsiTheme="minorHAnsi"/>
          <w:noProof/>
        </w:rPr>
      </w:pPr>
    </w:p>
    <w:p w14:paraId="55FE9D09" w14:textId="77777777" w:rsidR="000B54AF" w:rsidRDefault="000B54AF" w:rsidP="000B54AF">
      <w:pPr>
        <w:rPr>
          <w:noProof/>
        </w:rPr>
      </w:pPr>
    </w:p>
    <w:p w14:paraId="23DB4B8C" w14:textId="77777777" w:rsidR="00FF223B" w:rsidRDefault="00FF223B" w:rsidP="00FF223B"/>
    <w:p w14:paraId="2EEDF534" w14:textId="77777777" w:rsidR="005B5CB1" w:rsidRDefault="005B5CB1" w:rsidP="00FF223B"/>
    <w:p w14:paraId="79E4A055" w14:textId="77777777" w:rsidR="005B5CB1" w:rsidRDefault="005B5CB1" w:rsidP="00FF223B"/>
    <w:p w14:paraId="226CF3B9" w14:textId="77777777" w:rsidR="005B5CB1" w:rsidRDefault="005B5CB1" w:rsidP="005B5CB1">
      <w:pPr>
        <w:rPr>
          <w:noProof/>
        </w:rPr>
      </w:pPr>
    </w:p>
    <w:p w14:paraId="48CEC165" w14:textId="69D031DD" w:rsidR="00166024" w:rsidRPr="00FF223B" w:rsidRDefault="00166024" w:rsidP="00FF223B"/>
    <w:sectPr w:rsidR="00166024" w:rsidRPr="00FF223B" w:rsidSect="006D5063">
      <w:headerReference w:type="default" r:id="rId9"/>
      <w:pgSz w:w="11906" w:h="16838" w:code="9"/>
      <w:pgMar w:top="1304" w:right="1134" w:bottom="1531" w:left="1134" w:header="851" w:footer="851"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908619" w14:textId="77777777" w:rsidR="00134C8A" w:rsidRDefault="00134C8A">
      <w:r>
        <w:separator/>
      </w:r>
    </w:p>
  </w:endnote>
  <w:endnote w:type="continuationSeparator" w:id="0">
    <w:p w14:paraId="2D3E15CA" w14:textId="77777777" w:rsidR="00134C8A" w:rsidRDefault="00134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MeliorLTStd">
    <w:altName w:val="Times New Roman"/>
    <w:panose1 w:val="00000000000000000000"/>
    <w:charset w:val="A1"/>
    <w:family w:val="auto"/>
    <w:notTrueType/>
    <w:pitch w:val="default"/>
    <w:sig w:usb0="00000081" w:usb1="00000000" w:usb2="00000000" w:usb3="00000000" w:csb0="00000008" w:csb1="00000000"/>
  </w:font>
  <w:font w:name="MeliorLTStd-Italic">
    <w:altName w:val="Times New Roman"/>
    <w:panose1 w:val="00000000000000000000"/>
    <w:charset w:val="A1"/>
    <w:family w:val="auto"/>
    <w:notTrueType/>
    <w:pitch w:val="default"/>
    <w:sig w:usb0="00000081" w:usb1="00000000" w:usb2="00000000" w:usb3="00000000" w:csb0="00000008"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2CC51E" w14:textId="77777777" w:rsidR="00134C8A" w:rsidRDefault="00134C8A">
      <w:r>
        <w:separator/>
      </w:r>
    </w:p>
  </w:footnote>
  <w:footnote w:type="continuationSeparator" w:id="0">
    <w:p w14:paraId="01549264" w14:textId="77777777" w:rsidR="00134C8A" w:rsidRDefault="00134C8A">
      <w:r>
        <w:continuationSeparator/>
      </w:r>
    </w:p>
  </w:footnote>
  <w:footnote w:id="1">
    <w:p w14:paraId="5280F67B" w14:textId="0C5C377B" w:rsidR="00134C8A" w:rsidRDefault="00134C8A" w:rsidP="00653B5A">
      <w:r>
        <w:rPr>
          <w:rStyle w:val="FootnoteReference"/>
        </w:rPr>
        <w:footnoteRef/>
      </w:r>
      <w:r>
        <w:t xml:space="preserve"> </w:t>
      </w:r>
      <w:r w:rsidRPr="00891CAA">
        <w:t xml:space="preserve">Other international testing regimes exist e.g. OECD’s PIAAC (Project for International Assessment of Adult Competencies) </w:t>
      </w:r>
      <w:r>
        <w:t xml:space="preserve">first </w:t>
      </w:r>
      <w:r w:rsidRPr="00891CAA">
        <w:t xml:space="preserve">results expected in </w:t>
      </w:r>
      <w:r>
        <w:t xml:space="preserve">October </w:t>
      </w:r>
      <w:r w:rsidRPr="00891CAA">
        <w:t xml:space="preserve">2013 </w:t>
      </w:r>
      <w:r>
        <w:t>(see Tsatsaroni and Evans in this Special Issue)</w:t>
      </w:r>
      <w:r w:rsidRPr="00891CAA">
        <w:t>, TIMSS, IELTS, TOEFL, etc</w:t>
      </w:r>
      <w:r>
        <w:t xml:space="preserve">. which could be </w:t>
      </w:r>
      <w:proofErr w:type="spellStart"/>
      <w:r>
        <w:t>analysed</w:t>
      </w:r>
      <w:proofErr w:type="spellEnd"/>
      <w:r>
        <w:t xml:space="preserve"> in similar ways. However, in this article we are able only to begin to address PISA itself.</w:t>
      </w:r>
    </w:p>
  </w:footnote>
  <w:footnote w:id="2">
    <w:p w14:paraId="387CB549" w14:textId="77777777" w:rsidR="00134C8A" w:rsidRPr="00F63BA0" w:rsidRDefault="00134C8A" w:rsidP="00FF223B">
      <w:pPr>
        <w:pStyle w:val="FootnoteText"/>
        <w:rPr>
          <w:lang w:val="en-US"/>
        </w:rPr>
      </w:pPr>
      <w:r>
        <w:rPr>
          <w:rStyle w:val="FootnoteReference"/>
        </w:rPr>
        <w:footnoteRef/>
      </w:r>
      <w:r w:rsidRPr="007A349B">
        <w:rPr>
          <w:lang w:val="en-US"/>
        </w:rPr>
        <w:t xml:space="preserve"> </w:t>
      </w:r>
      <w:r w:rsidRPr="00F63BA0">
        <w:rPr>
          <w:lang w:val="en-US"/>
        </w:rPr>
        <w:t>While a survey of papers presented at CERME and PME cannot be considered a systematically representative sample, these are significant international research fora that may be considered to reflect “mainstream” research in mathematics education. Interestingly, references to PISA were much more prevalent in CERME than in PME, perhaps reflecting the relative lack of attention to PISA among mathematics education researchers in the US. Moreover, a high proportion of PME papers referring to PISA came from researchers in “high performing” countries.</w:t>
      </w:r>
    </w:p>
  </w:footnote>
  <w:footnote w:id="3">
    <w:p w14:paraId="23437AE0" w14:textId="77777777" w:rsidR="00134C8A" w:rsidRPr="006B255A" w:rsidRDefault="00134C8A" w:rsidP="00FF223B">
      <w:pPr>
        <w:pStyle w:val="FootnoteText"/>
        <w:rPr>
          <w:lang w:val="en-US"/>
        </w:rPr>
      </w:pPr>
      <w:r>
        <w:rPr>
          <w:rStyle w:val="FootnoteReference"/>
        </w:rPr>
        <w:footnoteRef/>
      </w:r>
      <w:r w:rsidRPr="006B255A">
        <w:rPr>
          <w:lang w:val="en-US"/>
        </w:rPr>
        <w:t xml:space="preserve"> </w:t>
      </w:r>
      <w:r>
        <w:rPr>
          <w:lang w:val="en-US"/>
        </w:rPr>
        <w:t>Other writers would talk about the changing role and forms of knowledge in the transnational policy process, e.g., knowledge produced through PISA, in terms of a “post bureaucratic turn</w:t>
      </w:r>
      <w:r w:rsidRPr="007B7875">
        <w:rPr>
          <w:lang w:val="en-US"/>
        </w:rPr>
        <w:t xml:space="preserve">” (Mahon, 2008). Concerning analysis of such data, it is worth noting that in an on-going project </w:t>
      </w:r>
      <w:proofErr w:type="spellStart"/>
      <w:r w:rsidRPr="007B7875">
        <w:rPr>
          <w:lang w:val="en-US"/>
        </w:rPr>
        <w:t>Radhika</w:t>
      </w:r>
      <w:proofErr w:type="spellEnd"/>
      <w:r w:rsidRPr="007B7875">
        <w:rPr>
          <w:lang w:val="en-US"/>
        </w:rPr>
        <w:t xml:space="preserve"> </w:t>
      </w:r>
      <w:proofErr w:type="spellStart"/>
      <w:r w:rsidRPr="007B7875">
        <w:rPr>
          <w:lang w:val="en-US"/>
        </w:rPr>
        <w:t>Gorur</w:t>
      </w:r>
      <w:proofErr w:type="spellEnd"/>
      <w:r w:rsidRPr="007B7875">
        <w:rPr>
          <w:lang w:val="en-US"/>
        </w:rPr>
        <w:t xml:space="preserve"> (2013)</w:t>
      </w:r>
      <w:r>
        <w:rPr>
          <w:lang w:val="en-US"/>
        </w:rPr>
        <w:t xml:space="preserve"> examines the nature, scale and scope of the PISA data base and what it affords in terms of secondary analysis, conceived as a contemporary form of knowledge practice. </w:t>
      </w:r>
    </w:p>
  </w:footnote>
  <w:footnote w:id="4">
    <w:p w14:paraId="6ECDB68B" w14:textId="51E54E37" w:rsidR="00134C8A" w:rsidRPr="006B255A" w:rsidRDefault="00134C8A" w:rsidP="00FF223B">
      <w:pPr>
        <w:pStyle w:val="FootnoteText"/>
        <w:rPr>
          <w:lang w:val="en-US"/>
        </w:rPr>
      </w:pPr>
      <w:r>
        <w:rPr>
          <w:rStyle w:val="FootnoteReference"/>
        </w:rPr>
        <w:footnoteRef/>
      </w:r>
      <w:r w:rsidRPr="006B255A">
        <w:rPr>
          <w:lang w:val="en-US"/>
        </w:rPr>
        <w:t xml:space="preserve"> </w:t>
      </w:r>
      <w:r>
        <w:rPr>
          <w:lang w:val="en-US"/>
        </w:rPr>
        <w:t xml:space="preserve">This has been the core problem addressed by researchers in a recent Economic and Social Research Council project, in the U.K., with the use of the term “enactment”; see </w:t>
      </w:r>
      <w:r>
        <w:rPr>
          <w:noProof/>
          <w:lang w:val="en-US"/>
        </w:rPr>
        <w:t>Ball, Maguire, and Braun(2012)</w:t>
      </w:r>
      <w:r>
        <w:rPr>
          <w:lang w:val="en-US"/>
        </w:rPr>
        <w:t xml:space="preserve">. However, see also Singh, </w:t>
      </w:r>
      <w:r w:rsidRPr="0019746E">
        <w:rPr>
          <w:rFonts w:asciiTheme="minorHAnsi" w:hAnsiTheme="minorHAnsi" w:cs="Trebuchet MS"/>
          <w:lang w:val="en-US"/>
        </w:rPr>
        <w:t>Thomas</w:t>
      </w:r>
      <w:r>
        <w:rPr>
          <w:rFonts w:asciiTheme="minorHAnsi" w:hAnsiTheme="minorHAnsi" w:cs="Trebuchet MS"/>
          <w:lang w:val="en-US"/>
        </w:rPr>
        <w:t xml:space="preserve"> and</w:t>
      </w:r>
      <w:r w:rsidRPr="00134C8A">
        <w:rPr>
          <w:rFonts w:asciiTheme="minorHAnsi" w:hAnsiTheme="minorHAnsi" w:cs="Trebuchet MS"/>
          <w:lang w:val="en-US"/>
        </w:rPr>
        <w:t xml:space="preserve"> Harris</w:t>
      </w:r>
      <w:r>
        <w:rPr>
          <w:rFonts w:asciiTheme="minorHAnsi" w:hAnsiTheme="minorHAnsi" w:cs="Trebuchet MS"/>
          <w:lang w:val="en-US"/>
        </w:rPr>
        <w:t xml:space="preserve"> </w:t>
      </w:r>
      <w:r>
        <w:rPr>
          <w:lang w:val="en-US"/>
        </w:rPr>
        <w:t xml:space="preserve">(2013). </w:t>
      </w:r>
    </w:p>
  </w:footnote>
  <w:footnote w:id="5">
    <w:p w14:paraId="275887D8" w14:textId="06CBA150" w:rsidR="00134C8A" w:rsidRPr="00134C8A" w:rsidRDefault="00134C8A">
      <w:pPr>
        <w:pStyle w:val="FootnoteText"/>
        <w:rPr>
          <w:lang w:val="en-US"/>
        </w:rPr>
      </w:pPr>
      <w:r>
        <w:rPr>
          <w:rStyle w:val="FootnoteReference"/>
        </w:rPr>
        <w:footnoteRef/>
      </w:r>
      <w:r w:rsidRPr="00134C8A">
        <w:rPr>
          <w:lang w:val="en-US"/>
        </w:rPr>
        <w:t xml:space="preserve"> </w:t>
      </w:r>
      <w:r>
        <w:rPr>
          <w:lang w:val="en-US"/>
        </w:rPr>
        <w:t xml:space="preserve">For analytical purposes, Bernstein (2000) distinguishes two levels or dimensions of discourse, the instructional and the regulative. The former refers to rules regulating what knowledge is to be selected and how they should be organized. The latter refers to rules of social/moral order, regulating the form that the pedagogic relationship takes (i.e., visibly hierarchical or otherwise), and to the expectations about conduct, character and manner (i.e., the imagined model of the teacher, the learner and the pedagogic context).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DBDF8" w14:textId="77777777" w:rsidR="00134C8A" w:rsidRDefault="00134C8A">
    <w:pPr>
      <w:framePr w:wrap="auto" w:vAnchor="text" w:hAnchor="margin" w:xAlign="right" w:y="1"/>
    </w:pPr>
  </w:p>
  <w:p w14:paraId="43FDD133" w14:textId="77777777" w:rsidR="00134C8A" w:rsidRDefault="00134C8A">
    <w:pP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4416"/>
    <w:multiLevelType w:val="hybridMultilevel"/>
    <w:tmpl w:val="8590496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7E50E84"/>
    <w:multiLevelType w:val="hybridMultilevel"/>
    <w:tmpl w:val="32F8A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A90466"/>
    <w:multiLevelType w:val="hybridMultilevel"/>
    <w:tmpl w:val="E286EB24"/>
    <w:lvl w:ilvl="0" w:tplc="4120DA5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71195E"/>
    <w:multiLevelType w:val="hybridMultilevel"/>
    <w:tmpl w:val="D3F4B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BB76ED"/>
    <w:multiLevelType w:val="hybridMultilevel"/>
    <w:tmpl w:val="55D0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FF51D1"/>
    <w:multiLevelType w:val="hybridMultilevel"/>
    <w:tmpl w:val="F2A65926"/>
    <w:lvl w:ilvl="0" w:tplc="6D2A762A">
      <w:start w:val="1"/>
      <w:numFmt w:val="bullet"/>
      <w:lvlText w:val="•"/>
      <w:lvlJc w:val="left"/>
      <w:pPr>
        <w:tabs>
          <w:tab w:val="num" w:pos="720"/>
        </w:tabs>
        <w:ind w:left="720" w:hanging="360"/>
      </w:pPr>
      <w:rPr>
        <w:rFonts w:ascii="Arial" w:hAnsi="Arial" w:hint="default"/>
      </w:rPr>
    </w:lvl>
    <w:lvl w:ilvl="1" w:tplc="9E9C67B6" w:tentative="1">
      <w:start w:val="1"/>
      <w:numFmt w:val="bullet"/>
      <w:lvlText w:val="•"/>
      <w:lvlJc w:val="left"/>
      <w:pPr>
        <w:tabs>
          <w:tab w:val="num" w:pos="1440"/>
        </w:tabs>
        <w:ind w:left="1440" w:hanging="360"/>
      </w:pPr>
      <w:rPr>
        <w:rFonts w:ascii="Arial" w:hAnsi="Arial" w:hint="default"/>
      </w:rPr>
    </w:lvl>
    <w:lvl w:ilvl="2" w:tplc="37B4511C" w:tentative="1">
      <w:start w:val="1"/>
      <w:numFmt w:val="bullet"/>
      <w:lvlText w:val="•"/>
      <w:lvlJc w:val="left"/>
      <w:pPr>
        <w:tabs>
          <w:tab w:val="num" w:pos="2160"/>
        </w:tabs>
        <w:ind w:left="2160" w:hanging="360"/>
      </w:pPr>
      <w:rPr>
        <w:rFonts w:ascii="Arial" w:hAnsi="Arial" w:hint="default"/>
      </w:rPr>
    </w:lvl>
    <w:lvl w:ilvl="3" w:tplc="11E84FF6" w:tentative="1">
      <w:start w:val="1"/>
      <w:numFmt w:val="bullet"/>
      <w:lvlText w:val="•"/>
      <w:lvlJc w:val="left"/>
      <w:pPr>
        <w:tabs>
          <w:tab w:val="num" w:pos="2880"/>
        </w:tabs>
        <w:ind w:left="2880" w:hanging="360"/>
      </w:pPr>
      <w:rPr>
        <w:rFonts w:ascii="Arial" w:hAnsi="Arial" w:hint="default"/>
      </w:rPr>
    </w:lvl>
    <w:lvl w:ilvl="4" w:tplc="26641468" w:tentative="1">
      <w:start w:val="1"/>
      <w:numFmt w:val="bullet"/>
      <w:lvlText w:val="•"/>
      <w:lvlJc w:val="left"/>
      <w:pPr>
        <w:tabs>
          <w:tab w:val="num" w:pos="3600"/>
        </w:tabs>
        <w:ind w:left="3600" w:hanging="360"/>
      </w:pPr>
      <w:rPr>
        <w:rFonts w:ascii="Arial" w:hAnsi="Arial" w:hint="default"/>
      </w:rPr>
    </w:lvl>
    <w:lvl w:ilvl="5" w:tplc="1ADA6FC2" w:tentative="1">
      <w:start w:val="1"/>
      <w:numFmt w:val="bullet"/>
      <w:lvlText w:val="•"/>
      <w:lvlJc w:val="left"/>
      <w:pPr>
        <w:tabs>
          <w:tab w:val="num" w:pos="4320"/>
        </w:tabs>
        <w:ind w:left="4320" w:hanging="360"/>
      </w:pPr>
      <w:rPr>
        <w:rFonts w:ascii="Arial" w:hAnsi="Arial" w:hint="default"/>
      </w:rPr>
    </w:lvl>
    <w:lvl w:ilvl="6" w:tplc="F5B85C66" w:tentative="1">
      <w:start w:val="1"/>
      <w:numFmt w:val="bullet"/>
      <w:lvlText w:val="•"/>
      <w:lvlJc w:val="left"/>
      <w:pPr>
        <w:tabs>
          <w:tab w:val="num" w:pos="5040"/>
        </w:tabs>
        <w:ind w:left="5040" w:hanging="360"/>
      </w:pPr>
      <w:rPr>
        <w:rFonts w:ascii="Arial" w:hAnsi="Arial" w:hint="default"/>
      </w:rPr>
    </w:lvl>
    <w:lvl w:ilvl="7" w:tplc="3A80D240" w:tentative="1">
      <w:start w:val="1"/>
      <w:numFmt w:val="bullet"/>
      <w:lvlText w:val="•"/>
      <w:lvlJc w:val="left"/>
      <w:pPr>
        <w:tabs>
          <w:tab w:val="num" w:pos="5760"/>
        </w:tabs>
        <w:ind w:left="5760" w:hanging="360"/>
      </w:pPr>
      <w:rPr>
        <w:rFonts w:ascii="Arial" w:hAnsi="Arial" w:hint="default"/>
      </w:rPr>
    </w:lvl>
    <w:lvl w:ilvl="8" w:tplc="7E5ADA32" w:tentative="1">
      <w:start w:val="1"/>
      <w:numFmt w:val="bullet"/>
      <w:lvlText w:val="•"/>
      <w:lvlJc w:val="left"/>
      <w:pPr>
        <w:tabs>
          <w:tab w:val="num" w:pos="6480"/>
        </w:tabs>
        <w:ind w:left="6480" w:hanging="360"/>
      </w:pPr>
      <w:rPr>
        <w:rFonts w:ascii="Arial" w:hAnsi="Arial" w:hint="default"/>
      </w:rPr>
    </w:lvl>
  </w:abstractNum>
  <w:abstractNum w:abstractNumId="6">
    <w:nsid w:val="54F333DC"/>
    <w:multiLevelType w:val="hybridMultilevel"/>
    <w:tmpl w:val="67C0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89705B"/>
    <w:multiLevelType w:val="hybridMultilevel"/>
    <w:tmpl w:val="5E94AF92"/>
    <w:lvl w:ilvl="0" w:tplc="FB3AA6CC">
      <w:start w:val="1"/>
      <w:numFmt w:val="bullet"/>
      <w:lvlText w:val="•"/>
      <w:lvlJc w:val="left"/>
      <w:pPr>
        <w:tabs>
          <w:tab w:val="num" w:pos="720"/>
        </w:tabs>
        <w:ind w:left="720" w:hanging="360"/>
      </w:pPr>
      <w:rPr>
        <w:rFonts w:ascii="Arial" w:hAnsi="Arial" w:hint="default"/>
      </w:rPr>
    </w:lvl>
    <w:lvl w:ilvl="1" w:tplc="932EB5B6" w:tentative="1">
      <w:start w:val="1"/>
      <w:numFmt w:val="bullet"/>
      <w:lvlText w:val="•"/>
      <w:lvlJc w:val="left"/>
      <w:pPr>
        <w:tabs>
          <w:tab w:val="num" w:pos="1440"/>
        </w:tabs>
        <w:ind w:left="1440" w:hanging="360"/>
      </w:pPr>
      <w:rPr>
        <w:rFonts w:ascii="Arial" w:hAnsi="Arial" w:hint="default"/>
      </w:rPr>
    </w:lvl>
    <w:lvl w:ilvl="2" w:tplc="AA7A8C9C" w:tentative="1">
      <w:start w:val="1"/>
      <w:numFmt w:val="bullet"/>
      <w:lvlText w:val="•"/>
      <w:lvlJc w:val="left"/>
      <w:pPr>
        <w:tabs>
          <w:tab w:val="num" w:pos="2160"/>
        </w:tabs>
        <w:ind w:left="2160" w:hanging="360"/>
      </w:pPr>
      <w:rPr>
        <w:rFonts w:ascii="Arial" w:hAnsi="Arial" w:hint="default"/>
      </w:rPr>
    </w:lvl>
    <w:lvl w:ilvl="3" w:tplc="A12467D8" w:tentative="1">
      <w:start w:val="1"/>
      <w:numFmt w:val="bullet"/>
      <w:lvlText w:val="•"/>
      <w:lvlJc w:val="left"/>
      <w:pPr>
        <w:tabs>
          <w:tab w:val="num" w:pos="2880"/>
        </w:tabs>
        <w:ind w:left="2880" w:hanging="360"/>
      </w:pPr>
      <w:rPr>
        <w:rFonts w:ascii="Arial" w:hAnsi="Arial" w:hint="default"/>
      </w:rPr>
    </w:lvl>
    <w:lvl w:ilvl="4" w:tplc="28E2DC32" w:tentative="1">
      <w:start w:val="1"/>
      <w:numFmt w:val="bullet"/>
      <w:lvlText w:val="•"/>
      <w:lvlJc w:val="left"/>
      <w:pPr>
        <w:tabs>
          <w:tab w:val="num" w:pos="3600"/>
        </w:tabs>
        <w:ind w:left="3600" w:hanging="360"/>
      </w:pPr>
      <w:rPr>
        <w:rFonts w:ascii="Arial" w:hAnsi="Arial" w:hint="default"/>
      </w:rPr>
    </w:lvl>
    <w:lvl w:ilvl="5" w:tplc="089A5968" w:tentative="1">
      <w:start w:val="1"/>
      <w:numFmt w:val="bullet"/>
      <w:lvlText w:val="•"/>
      <w:lvlJc w:val="left"/>
      <w:pPr>
        <w:tabs>
          <w:tab w:val="num" w:pos="4320"/>
        </w:tabs>
        <w:ind w:left="4320" w:hanging="360"/>
      </w:pPr>
      <w:rPr>
        <w:rFonts w:ascii="Arial" w:hAnsi="Arial" w:hint="default"/>
      </w:rPr>
    </w:lvl>
    <w:lvl w:ilvl="6" w:tplc="72383B94" w:tentative="1">
      <w:start w:val="1"/>
      <w:numFmt w:val="bullet"/>
      <w:lvlText w:val="•"/>
      <w:lvlJc w:val="left"/>
      <w:pPr>
        <w:tabs>
          <w:tab w:val="num" w:pos="5040"/>
        </w:tabs>
        <w:ind w:left="5040" w:hanging="360"/>
      </w:pPr>
      <w:rPr>
        <w:rFonts w:ascii="Arial" w:hAnsi="Arial" w:hint="default"/>
      </w:rPr>
    </w:lvl>
    <w:lvl w:ilvl="7" w:tplc="2BE2DA6E" w:tentative="1">
      <w:start w:val="1"/>
      <w:numFmt w:val="bullet"/>
      <w:lvlText w:val="•"/>
      <w:lvlJc w:val="left"/>
      <w:pPr>
        <w:tabs>
          <w:tab w:val="num" w:pos="5760"/>
        </w:tabs>
        <w:ind w:left="5760" w:hanging="360"/>
      </w:pPr>
      <w:rPr>
        <w:rFonts w:ascii="Arial" w:hAnsi="Arial" w:hint="default"/>
      </w:rPr>
    </w:lvl>
    <w:lvl w:ilvl="8" w:tplc="5FF0DE98" w:tentative="1">
      <w:start w:val="1"/>
      <w:numFmt w:val="bullet"/>
      <w:lvlText w:val="•"/>
      <w:lvlJc w:val="left"/>
      <w:pPr>
        <w:tabs>
          <w:tab w:val="num" w:pos="6480"/>
        </w:tabs>
        <w:ind w:left="6480" w:hanging="360"/>
      </w:pPr>
      <w:rPr>
        <w:rFonts w:ascii="Arial" w:hAnsi="Arial" w:hint="default"/>
      </w:rPr>
    </w:lvl>
  </w:abstractNum>
  <w:abstractNum w:abstractNumId="8">
    <w:nsid w:val="68D50581"/>
    <w:multiLevelType w:val="hybridMultilevel"/>
    <w:tmpl w:val="B01CC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F95CB5"/>
    <w:multiLevelType w:val="hybridMultilevel"/>
    <w:tmpl w:val="CB726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042CF1"/>
    <w:multiLevelType w:val="hybridMultilevel"/>
    <w:tmpl w:val="9A0A1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004286"/>
    <w:multiLevelType w:val="hybridMultilevel"/>
    <w:tmpl w:val="91AAC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0A35F0"/>
    <w:multiLevelType w:val="hybridMultilevel"/>
    <w:tmpl w:val="07F0F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4"/>
  </w:num>
  <w:num w:numId="4">
    <w:abstractNumId w:val="8"/>
  </w:num>
  <w:num w:numId="5">
    <w:abstractNumId w:val="3"/>
  </w:num>
  <w:num w:numId="6">
    <w:abstractNumId w:val="1"/>
  </w:num>
  <w:num w:numId="7">
    <w:abstractNumId w:val="5"/>
  </w:num>
  <w:num w:numId="8">
    <w:abstractNumId w:val="7"/>
  </w:num>
  <w:num w:numId="9">
    <w:abstractNumId w:val="12"/>
  </w:num>
  <w:num w:numId="10">
    <w:abstractNumId w:val="2"/>
  </w:num>
  <w:num w:numId="11">
    <w:abstractNumId w:val="0"/>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Layout&gt;"/>
    <w:docVar w:name="EN.Libraries" w:val="&lt;Libraries&gt;&lt;/Libraries&gt;"/>
  </w:docVars>
  <w:rsids>
    <w:rsidRoot w:val="00FF223B"/>
    <w:rsid w:val="00001A75"/>
    <w:rsid w:val="00005BD6"/>
    <w:rsid w:val="00012497"/>
    <w:rsid w:val="00025D09"/>
    <w:rsid w:val="00034568"/>
    <w:rsid w:val="00042E28"/>
    <w:rsid w:val="00045012"/>
    <w:rsid w:val="000456DD"/>
    <w:rsid w:val="0005485C"/>
    <w:rsid w:val="00054F6E"/>
    <w:rsid w:val="00071FB7"/>
    <w:rsid w:val="000801B7"/>
    <w:rsid w:val="00086CE7"/>
    <w:rsid w:val="000B058E"/>
    <w:rsid w:val="000B3C61"/>
    <w:rsid w:val="000B54AF"/>
    <w:rsid w:val="000D5CA1"/>
    <w:rsid w:val="000D6137"/>
    <w:rsid w:val="000E119E"/>
    <w:rsid w:val="00103155"/>
    <w:rsid w:val="00104B22"/>
    <w:rsid w:val="00116ED5"/>
    <w:rsid w:val="00123A95"/>
    <w:rsid w:val="00134C8A"/>
    <w:rsid w:val="00161A34"/>
    <w:rsid w:val="00166024"/>
    <w:rsid w:val="00187C53"/>
    <w:rsid w:val="00192D1E"/>
    <w:rsid w:val="00196F85"/>
    <w:rsid w:val="0019746E"/>
    <w:rsid w:val="001A5D88"/>
    <w:rsid w:val="001A790F"/>
    <w:rsid w:val="001C05B8"/>
    <w:rsid w:val="001C5349"/>
    <w:rsid w:val="001D4B28"/>
    <w:rsid w:val="001D733C"/>
    <w:rsid w:val="001F0880"/>
    <w:rsid w:val="001F3020"/>
    <w:rsid w:val="002029EF"/>
    <w:rsid w:val="00213595"/>
    <w:rsid w:val="002146DE"/>
    <w:rsid w:val="002235EE"/>
    <w:rsid w:val="00231A9A"/>
    <w:rsid w:val="00232E34"/>
    <w:rsid w:val="002449EA"/>
    <w:rsid w:val="00257E4D"/>
    <w:rsid w:val="00262B28"/>
    <w:rsid w:val="00264DE1"/>
    <w:rsid w:val="00293C90"/>
    <w:rsid w:val="00295DEB"/>
    <w:rsid w:val="00296D23"/>
    <w:rsid w:val="002C55E6"/>
    <w:rsid w:val="002E3966"/>
    <w:rsid w:val="002E5108"/>
    <w:rsid w:val="002F35BA"/>
    <w:rsid w:val="0032325F"/>
    <w:rsid w:val="0032692D"/>
    <w:rsid w:val="0033525C"/>
    <w:rsid w:val="00341994"/>
    <w:rsid w:val="0034550C"/>
    <w:rsid w:val="00345FD6"/>
    <w:rsid w:val="00351AFD"/>
    <w:rsid w:val="00352214"/>
    <w:rsid w:val="00357557"/>
    <w:rsid w:val="00370DE0"/>
    <w:rsid w:val="003742D0"/>
    <w:rsid w:val="00381F9B"/>
    <w:rsid w:val="00385974"/>
    <w:rsid w:val="003A3AE0"/>
    <w:rsid w:val="003A6968"/>
    <w:rsid w:val="003B4574"/>
    <w:rsid w:val="003B4600"/>
    <w:rsid w:val="003F2C5B"/>
    <w:rsid w:val="0040286F"/>
    <w:rsid w:val="00413D2B"/>
    <w:rsid w:val="00422D2E"/>
    <w:rsid w:val="00423140"/>
    <w:rsid w:val="00436A35"/>
    <w:rsid w:val="00442AD1"/>
    <w:rsid w:val="00443A7B"/>
    <w:rsid w:val="00444BD6"/>
    <w:rsid w:val="00452E54"/>
    <w:rsid w:val="00455A80"/>
    <w:rsid w:val="0047142A"/>
    <w:rsid w:val="0047749E"/>
    <w:rsid w:val="004B2A96"/>
    <w:rsid w:val="004C02EB"/>
    <w:rsid w:val="004C6A48"/>
    <w:rsid w:val="004E4EB1"/>
    <w:rsid w:val="00507AD2"/>
    <w:rsid w:val="00511AFE"/>
    <w:rsid w:val="00523AB0"/>
    <w:rsid w:val="005455AD"/>
    <w:rsid w:val="00556185"/>
    <w:rsid w:val="00560278"/>
    <w:rsid w:val="00561D48"/>
    <w:rsid w:val="00567B76"/>
    <w:rsid w:val="00570278"/>
    <w:rsid w:val="005804DA"/>
    <w:rsid w:val="00597F65"/>
    <w:rsid w:val="005B0A9F"/>
    <w:rsid w:val="005B5CB1"/>
    <w:rsid w:val="005B6B7C"/>
    <w:rsid w:val="005C031D"/>
    <w:rsid w:val="005E13C6"/>
    <w:rsid w:val="005F4232"/>
    <w:rsid w:val="005F63A4"/>
    <w:rsid w:val="00627060"/>
    <w:rsid w:val="00635796"/>
    <w:rsid w:val="006375ED"/>
    <w:rsid w:val="006415DB"/>
    <w:rsid w:val="00650EB7"/>
    <w:rsid w:val="00653B5A"/>
    <w:rsid w:val="00656A5E"/>
    <w:rsid w:val="00660B8B"/>
    <w:rsid w:val="0066192B"/>
    <w:rsid w:val="00664660"/>
    <w:rsid w:val="00664ACD"/>
    <w:rsid w:val="00671D27"/>
    <w:rsid w:val="00686B5B"/>
    <w:rsid w:val="00694446"/>
    <w:rsid w:val="006A1807"/>
    <w:rsid w:val="006B33FE"/>
    <w:rsid w:val="006C4D35"/>
    <w:rsid w:val="006D5063"/>
    <w:rsid w:val="006E436A"/>
    <w:rsid w:val="006E7E7E"/>
    <w:rsid w:val="006F67A0"/>
    <w:rsid w:val="00700118"/>
    <w:rsid w:val="007039B2"/>
    <w:rsid w:val="00710568"/>
    <w:rsid w:val="00712DB4"/>
    <w:rsid w:val="00733F7B"/>
    <w:rsid w:val="00737F70"/>
    <w:rsid w:val="007470C4"/>
    <w:rsid w:val="0077669E"/>
    <w:rsid w:val="00777B04"/>
    <w:rsid w:val="0078207A"/>
    <w:rsid w:val="007820EB"/>
    <w:rsid w:val="007827B7"/>
    <w:rsid w:val="00783389"/>
    <w:rsid w:val="007A27C2"/>
    <w:rsid w:val="007A2CC4"/>
    <w:rsid w:val="007A349B"/>
    <w:rsid w:val="007A565E"/>
    <w:rsid w:val="007B1033"/>
    <w:rsid w:val="007B7875"/>
    <w:rsid w:val="007D6302"/>
    <w:rsid w:val="007F0FED"/>
    <w:rsid w:val="007F11C6"/>
    <w:rsid w:val="0081316A"/>
    <w:rsid w:val="00853A66"/>
    <w:rsid w:val="008A0F1C"/>
    <w:rsid w:val="008A1CF2"/>
    <w:rsid w:val="008B73BD"/>
    <w:rsid w:val="008C2A44"/>
    <w:rsid w:val="008C4964"/>
    <w:rsid w:val="008D184F"/>
    <w:rsid w:val="008D3FFC"/>
    <w:rsid w:val="00900005"/>
    <w:rsid w:val="00930357"/>
    <w:rsid w:val="00934927"/>
    <w:rsid w:val="00963B78"/>
    <w:rsid w:val="00973645"/>
    <w:rsid w:val="009A622F"/>
    <w:rsid w:val="009B3F4B"/>
    <w:rsid w:val="009C34C7"/>
    <w:rsid w:val="009D0C27"/>
    <w:rsid w:val="009D78EA"/>
    <w:rsid w:val="009F3434"/>
    <w:rsid w:val="00A01CD9"/>
    <w:rsid w:val="00A0365A"/>
    <w:rsid w:val="00A0723D"/>
    <w:rsid w:val="00A15F93"/>
    <w:rsid w:val="00A23043"/>
    <w:rsid w:val="00A33206"/>
    <w:rsid w:val="00A35AD3"/>
    <w:rsid w:val="00A408A7"/>
    <w:rsid w:val="00A416BD"/>
    <w:rsid w:val="00A4448A"/>
    <w:rsid w:val="00A44997"/>
    <w:rsid w:val="00A455E1"/>
    <w:rsid w:val="00A603CE"/>
    <w:rsid w:val="00A63843"/>
    <w:rsid w:val="00A63900"/>
    <w:rsid w:val="00A649D2"/>
    <w:rsid w:val="00A652A1"/>
    <w:rsid w:val="00A81237"/>
    <w:rsid w:val="00A9363F"/>
    <w:rsid w:val="00AB66C1"/>
    <w:rsid w:val="00AE0349"/>
    <w:rsid w:val="00AE395C"/>
    <w:rsid w:val="00AE3BAB"/>
    <w:rsid w:val="00B1272D"/>
    <w:rsid w:val="00B345ED"/>
    <w:rsid w:val="00B47B05"/>
    <w:rsid w:val="00B544AC"/>
    <w:rsid w:val="00B64ED6"/>
    <w:rsid w:val="00B73C21"/>
    <w:rsid w:val="00B85C79"/>
    <w:rsid w:val="00B870B0"/>
    <w:rsid w:val="00B90DA6"/>
    <w:rsid w:val="00BA2998"/>
    <w:rsid w:val="00BA5BEB"/>
    <w:rsid w:val="00BB39FF"/>
    <w:rsid w:val="00BC370E"/>
    <w:rsid w:val="00BC524E"/>
    <w:rsid w:val="00BD633B"/>
    <w:rsid w:val="00C02338"/>
    <w:rsid w:val="00C02EDD"/>
    <w:rsid w:val="00C22FA8"/>
    <w:rsid w:val="00C53A4D"/>
    <w:rsid w:val="00C73EC5"/>
    <w:rsid w:val="00C84F5B"/>
    <w:rsid w:val="00C91615"/>
    <w:rsid w:val="00CB197E"/>
    <w:rsid w:val="00CB60D7"/>
    <w:rsid w:val="00CC597C"/>
    <w:rsid w:val="00CD1369"/>
    <w:rsid w:val="00CD27E2"/>
    <w:rsid w:val="00CD5FF3"/>
    <w:rsid w:val="00CF164A"/>
    <w:rsid w:val="00CF429C"/>
    <w:rsid w:val="00D01408"/>
    <w:rsid w:val="00D025A0"/>
    <w:rsid w:val="00D16F73"/>
    <w:rsid w:val="00D41CA8"/>
    <w:rsid w:val="00D43D07"/>
    <w:rsid w:val="00D45493"/>
    <w:rsid w:val="00D57936"/>
    <w:rsid w:val="00D657CB"/>
    <w:rsid w:val="00D81E38"/>
    <w:rsid w:val="00D853FB"/>
    <w:rsid w:val="00D8600C"/>
    <w:rsid w:val="00D9120D"/>
    <w:rsid w:val="00D96B8B"/>
    <w:rsid w:val="00DA7916"/>
    <w:rsid w:val="00DD329F"/>
    <w:rsid w:val="00DE180D"/>
    <w:rsid w:val="00DE2618"/>
    <w:rsid w:val="00DE60AE"/>
    <w:rsid w:val="00DF40BF"/>
    <w:rsid w:val="00DF67CA"/>
    <w:rsid w:val="00E013A4"/>
    <w:rsid w:val="00E13A32"/>
    <w:rsid w:val="00E327EF"/>
    <w:rsid w:val="00E3593A"/>
    <w:rsid w:val="00E430DA"/>
    <w:rsid w:val="00E4437B"/>
    <w:rsid w:val="00E5170A"/>
    <w:rsid w:val="00E60E35"/>
    <w:rsid w:val="00E6358B"/>
    <w:rsid w:val="00E64063"/>
    <w:rsid w:val="00E648EA"/>
    <w:rsid w:val="00E76B5E"/>
    <w:rsid w:val="00E7778E"/>
    <w:rsid w:val="00E94960"/>
    <w:rsid w:val="00EA22F5"/>
    <w:rsid w:val="00EC6576"/>
    <w:rsid w:val="00EC72FB"/>
    <w:rsid w:val="00ED3479"/>
    <w:rsid w:val="00F328A7"/>
    <w:rsid w:val="00F52820"/>
    <w:rsid w:val="00F55FB3"/>
    <w:rsid w:val="00F63BA0"/>
    <w:rsid w:val="00F67A3F"/>
    <w:rsid w:val="00F8335B"/>
    <w:rsid w:val="00F86FE6"/>
    <w:rsid w:val="00FA45B2"/>
    <w:rsid w:val="00FB58CE"/>
    <w:rsid w:val="00FC0DFC"/>
    <w:rsid w:val="00FE0FC3"/>
    <w:rsid w:val="00FF223B"/>
    <w:rsid w:val="00FF4497"/>
    <w:rsid w:val="00FF482B"/>
    <w:rsid w:val="00FF7C74"/>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1ED4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223B"/>
    <w:pPr>
      <w:spacing w:after="120"/>
    </w:pPr>
    <w:rPr>
      <w:rFonts w:eastAsia="MS Mincho"/>
      <w:sz w:val="24"/>
      <w:szCs w:val="24"/>
      <w:lang w:val="en-US" w:eastAsia="ja-JP"/>
    </w:rPr>
  </w:style>
  <w:style w:type="paragraph" w:styleId="Heading1">
    <w:name w:val="heading 1"/>
    <w:basedOn w:val="Normal"/>
    <w:next w:val="Normal"/>
    <w:qFormat/>
    <w:pPr>
      <w:keepNext/>
      <w:spacing w:line="400" w:lineRule="exact"/>
      <w:jc w:val="center"/>
      <w:outlineLvl w:val="0"/>
    </w:pPr>
    <w:rPr>
      <w:b/>
      <w:bCs/>
      <w:caps/>
      <w:kern w:val="28"/>
      <w:sz w:val="32"/>
      <w:szCs w:val="32"/>
    </w:rPr>
  </w:style>
  <w:style w:type="paragraph" w:styleId="Heading2">
    <w:name w:val="heading 2"/>
    <w:basedOn w:val="Normal"/>
    <w:next w:val="Normal"/>
    <w:link w:val="Heading2Char"/>
    <w:uiPriority w:val="9"/>
    <w:qFormat/>
    <w:pPr>
      <w:keepNext/>
      <w:spacing w:before="120"/>
      <w:outlineLvl w:val="1"/>
    </w:pPr>
    <w:rPr>
      <w:b/>
      <w:bCs/>
      <w:caps/>
    </w:rPr>
  </w:style>
  <w:style w:type="paragraph" w:styleId="Heading3">
    <w:name w:val="heading 3"/>
    <w:basedOn w:val="Normal"/>
    <w:next w:val="Normal"/>
    <w:qFormat/>
    <w:pPr>
      <w:keepNext/>
      <w:outlineLvl w:val="2"/>
    </w:pPr>
    <w:rPr>
      <w:b/>
      <w:bCs/>
    </w:rPr>
  </w:style>
  <w:style w:type="paragraph" w:styleId="Heading4">
    <w:name w:val="heading 4"/>
    <w:basedOn w:val="Normal"/>
    <w:next w:val="Normal"/>
    <w:link w:val="Heading4Char"/>
    <w:unhideWhenUsed/>
    <w:qFormat/>
    <w:rsid w:val="00650EB7"/>
    <w:pPr>
      <w:keepNext/>
      <w:keepLines/>
      <w:spacing w:before="200" w:after="0"/>
      <w:outlineLvl w:val="3"/>
    </w:pPr>
    <w:rPr>
      <w:rFonts w:asciiTheme="minorHAnsi" w:eastAsiaTheme="majorEastAsia" w:hAnsiTheme="min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transcript">
    <w:name w:val="Numbered transcript"/>
    <w:basedOn w:val="Normal"/>
    <w:pPr>
      <w:tabs>
        <w:tab w:val="left" w:pos="851"/>
      </w:tabs>
      <w:spacing w:after="60" w:line="280" w:lineRule="exact"/>
      <w:ind w:left="2268" w:hanging="1984"/>
    </w:pPr>
    <w:rPr>
      <w:sz w:val="26"/>
      <w:szCs w:val="26"/>
    </w:rPr>
  </w:style>
  <w:style w:type="paragraph" w:styleId="Quote">
    <w:name w:val="Quote"/>
    <w:basedOn w:val="Normal"/>
    <w:rsid w:val="00FF223B"/>
    <w:pPr>
      <w:ind w:left="284"/>
    </w:pPr>
    <w:rPr>
      <w:szCs w:val="26"/>
    </w:rPr>
  </w:style>
  <w:style w:type="paragraph" w:customStyle="1" w:styleId="References">
    <w:name w:val="References"/>
    <w:basedOn w:val="Normal"/>
    <w:pPr>
      <w:ind w:left="284" w:hanging="284"/>
    </w:pPr>
  </w:style>
  <w:style w:type="paragraph" w:customStyle="1" w:styleId="Endnote">
    <w:name w:val="Endnote"/>
    <w:basedOn w:val="Normal"/>
  </w:style>
  <w:style w:type="paragraph" w:customStyle="1" w:styleId="FigTitle">
    <w:name w:val="FigTitle"/>
    <w:basedOn w:val="Normal"/>
    <w:pPr>
      <w:spacing w:before="120"/>
    </w:pPr>
    <w:rPr>
      <w:b/>
      <w:bCs/>
      <w:sz w:val="26"/>
      <w:szCs w:val="26"/>
    </w:rPr>
  </w:style>
  <w:style w:type="paragraph" w:customStyle="1" w:styleId="Transcript">
    <w:name w:val="Transcript"/>
    <w:basedOn w:val="Normal"/>
    <w:pPr>
      <w:ind w:left="1702" w:hanging="1418"/>
    </w:pPr>
    <w:rPr>
      <w:sz w:val="26"/>
      <w:szCs w:val="26"/>
    </w:rPr>
  </w:style>
  <w:style w:type="paragraph" w:styleId="DocumentMap">
    <w:name w:val="Document Map"/>
    <w:basedOn w:val="Normal"/>
    <w:semiHidden/>
    <w:pPr>
      <w:shd w:val="clear" w:color="auto" w:fill="000080"/>
    </w:pPr>
    <w:rPr>
      <w:rFonts w:ascii="Tahoma" w:hAnsi="Tahoma" w:cs="Tahoma"/>
    </w:rPr>
  </w:style>
  <w:style w:type="paragraph" w:styleId="Footer">
    <w:name w:val="footer"/>
    <w:basedOn w:val="Normal"/>
    <w:rsid w:val="008A4E27"/>
    <w:pPr>
      <w:tabs>
        <w:tab w:val="center" w:pos="4320"/>
        <w:tab w:val="right" w:pos="8640"/>
      </w:tabs>
    </w:pPr>
  </w:style>
  <w:style w:type="character" w:styleId="PageNumber">
    <w:name w:val="page number"/>
    <w:basedOn w:val="DefaultParagraphFont"/>
    <w:rsid w:val="008A4E27"/>
  </w:style>
  <w:style w:type="paragraph" w:styleId="ListParagraph">
    <w:name w:val="List Paragraph"/>
    <w:basedOn w:val="Normal"/>
    <w:uiPriority w:val="34"/>
    <w:qFormat/>
    <w:rsid w:val="00FF223B"/>
    <w:pPr>
      <w:ind w:left="720"/>
      <w:contextualSpacing/>
    </w:pPr>
  </w:style>
  <w:style w:type="character" w:styleId="CommentReference">
    <w:name w:val="annotation reference"/>
    <w:uiPriority w:val="99"/>
    <w:unhideWhenUsed/>
    <w:rsid w:val="00FF223B"/>
    <w:rPr>
      <w:sz w:val="16"/>
      <w:szCs w:val="16"/>
    </w:rPr>
  </w:style>
  <w:style w:type="paragraph" w:styleId="CommentText">
    <w:name w:val="annotation text"/>
    <w:basedOn w:val="Normal"/>
    <w:link w:val="CommentTextChar"/>
    <w:uiPriority w:val="99"/>
    <w:unhideWhenUsed/>
    <w:rsid w:val="00FF223B"/>
    <w:rPr>
      <w:sz w:val="20"/>
      <w:szCs w:val="20"/>
    </w:rPr>
  </w:style>
  <w:style w:type="character" w:customStyle="1" w:styleId="CommentTextChar">
    <w:name w:val="Comment Text Char"/>
    <w:basedOn w:val="DefaultParagraphFont"/>
    <w:link w:val="CommentText"/>
    <w:uiPriority w:val="99"/>
    <w:rsid w:val="00FF223B"/>
    <w:rPr>
      <w:rFonts w:eastAsia="MS Mincho"/>
      <w:lang w:val="en-US" w:eastAsia="ja-JP"/>
    </w:rPr>
  </w:style>
  <w:style w:type="character" w:customStyle="1" w:styleId="Heading2Char">
    <w:name w:val="Heading 2 Char"/>
    <w:link w:val="Heading2"/>
    <w:uiPriority w:val="9"/>
    <w:rsid w:val="00FF223B"/>
    <w:rPr>
      <w:b/>
      <w:bCs/>
      <w:caps/>
      <w:sz w:val="28"/>
      <w:szCs w:val="28"/>
    </w:rPr>
  </w:style>
  <w:style w:type="paragraph" w:styleId="FootnoteText">
    <w:name w:val="footnote text"/>
    <w:basedOn w:val="Normal"/>
    <w:link w:val="FootnoteTextChar"/>
    <w:uiPriority w:val="99"/>
    <w:unhideWhenUsed/>
    <w:rsid w:val="00FF223B"/>
    <w:rPr>
      <w:rFonts w:ascii="Cambria" w:eastAsia="Cambria" w:hAnsi="Cambria"/>
      <w:sz w:val="20"/>
      <w:szCs w:val="20"/>
      <w:lang w:val="el-GR" w:eastAsia="en-US"/>
    </w:rPr>
  </w:style>
  <w:style w:type="character" w:customStyle="1" w:styleId="FootnoteTextChar">
    <w:name w:val="Footnote Text Char"/>
    <w:basedOn w:val="DefaultParagraphFont"/>
    <w:link w:val="FootnoteText"/>
    <w:uiPriority w:val="99"/>
    <w:rsid w:val="00FF223B"/>
    <w:rPr>
      <w:rFonts w:ascii="Cambria" w:eastAsia="Cambria" w:hAnsi="Cambria"/>
      <w:lang w:val="el-GR"/>
    </w:rPr>
  </w:style>
  <w:style w:type="character" w:styleId="FootnoteReference">
    <w:name w:val="footnote reference"/>
    <w:uiPriority w:val="99"/>
    <w:unhideWhenUsed/>
    <w:rsid w:val="00FF223B"/>
    <w:rPr>
      <w:vertAlign w:val="superscript"/>
    </w:rPr>
  </w:style>
  <w:style w:type="paragraph" w:styleId="BalloonText">
    <w:name w:val="Balloon Text"/>
    <w:basedOn w:val="Normal"/>
    <w:link w:val="BalloonTextChar"/>
    <w:rsid w:val="00FF223B"/>
    <w:rPr>
      <w:rFonts w:ascii="Lucida Grande" w:hAnsi="Lucida Grande" w:cs="Lucida Grande"/>
      <w:sz w:val="18"/>
      <w:szCs w:val="18"/>
    </w:rPr>
  </w:style>
  <w:style w:type="character" w:customStyle="1" w:styleId="BalloonTextChar">
    <w:name w:val="Balloon Text Char"/>
    <w:basedOn w:val="DefaultParagraphFont"/>
    <w:link w:val="BalloonText"/>
    <w:rsid w:val="00FF223B"/>
    <w:rPr>
      <w:rFonts w:ascii="Lucida Grande" w:eastAsia="MS Mincho" w:hAnsi="Lucida Grande" w:cs="Lucida Grande"/>
      <w:sz w:val="18"/>
      <w:szCs w:val="18"/>
      <w:lang w:val="en-US" w:eastAsia="ja-JP"/>
    </w:rPr>
  </w:style>
  <w:style w:type="paragraph" w:styleId="CommentSubject">
    <w:name w:val="annotation subject"/>
    <w:basedOn w:val="CommentText"/>
    <w:next w:val="CommentText"/>
    <w:link w:val="CommentSubjectChar"/>
    <w:rsid w:val="00BB39FF"/>
    <w:rPr>
      <w:b/>
      <w:bCs/>
    </w:rPr>
  </w:style>
  <w:style w:type="character" w:customStyle="1" w:styleId="CommentSubjectChar">
    <w:name w:val="Comment Subject Char"/>
    <w:basedOn w:val="CommentTextChar"/>
    <w:link w:val="CommentSubject"/>
    <w:rsid w:val="00BB39FF"/>
    <w:rPr>
      <w:rFonts w:eastAsia="MS Mincho"/>
      <w:b/>
      <w:bCs/>
      <w:lang w:val="en-US" w:eastAsia="ja-JP"/>
    </w:rPr>
  </w:style>
  <w:style w:type="paragraph" w:styleId="Revision">
    <w:name w:val="Revision"/>
    <w:hidden/>
    <w:uiPriority w:val="99"/>
    <w:semiHidden/>
    <w:rsid w:val="009D78EA"/>
    <w:rPr>
      <w:rFonts w:eastAsia="MS Mincho"/>
      <w:sz w:val="24"/>
      <w:szCs w:val="24"/>
      <w:lang w:val="en-US" w:eastAsia="ja-JP"/>
    </w:rPr>
  </w:style>
  <w:style w:type="character" w:styleId="Hyperlink">
    <w:name w:val="Hyperlink"/>
    <w:basedOn w:val="DefaultParagraphFont"/>
    <w:uiPriority w:val="99"/>
    <w:unhideWhenUsed/>
    <w:rsid w:val="00E60E35"/>
    <w:rPr>
      <w:strike w:val="0"/>
      <w:dstrike w:val="0"/>
      <w:color w:val="0000FF"/>
      <w:u w:val="none"/>
      <w:effect w:val="none"/>
    </w:rPr>
  </w:style>
  <w:style w:type="character" w:customStyle="1" w:styleId="field-content">
    <w:name w:val="field-content"/>
    <w:basedOn w:val="DefaultParagraphFont"/>
    <w:rsid w:val="00E60E35"/>
  </w:style>
  <w:style w:type="character" w:customStyle="1" w:styleId="biblio-authors">
    <w:name w:val="biblio-authors"/>
    <w:basedOn w:val="DefaultParagraphFont"/>
    <w:rsid w:val="00E60E35"/>
  </w:style>
  <w:style w:type="character" w:customStyle="1" w:styleId="biblio-title-chicago">
    <w:name w:val="biblio-title-chicago"/>
    <w:basedOn w:val="DefaultParagraphFont"/>
    <w:rsid w:val="00E60E35"/>
  </w:style>
  <w:style w:type="character" w:customStyle="1" w:styleId="Heading4Char">
    <w:name w:val="Heading 4 Char"/>
    <w:basedOn w:val="DefaultParagraphFont"/>
    <w:link w:val="Heading4"/>
    <w:rsid w:val="00650EB7"/>
    <w:rPr>
      <w:rFonts w:asciiTheme="minorHAnsi" w:eastAsiaTheme="majorEastAsia" w:hAnsiTheme="minorHAnsi" w:cstheme="majorBidi"/>
      <w:b/>
      <w:bCs/>
      <w:i/>
      <w:iCs/>
      <w:sz w:val="24"/>
      <w:szCs w:val="24"/>
      <w:lang w:val="en-US" w:eastAsia="ja-JP"/>
    </w:rPr>
  </w:style>
  <w:style w:type="paragraph" w:styleId="Header">
    <w:name w:val="header"/>
    <w:basedOn w:val="Normal"/>
    <w:link w:val="HeaderChar"/>
    <w:rsid w:val="005E13C6"/>
    <w:pPr>
      <w:tabs>
        <w:tab w:val="center" w:pos="4153"/>
        <w:tab w:val="right" w:pos="8306"/>
      </w:tabs>
      <w:spacing w:after="0"/>
    </w:pPr>
  </w:style>
  <w:style w:type="character" w:customStyle="1" w:styleId="HeaderChar">
    <w:name w:val="Header Char"/>
    <w:basedOn w:val="DefaultParagraphFont"/>
    <w:link w:val="Header"/>
    <w:rsid w:val="005E13C6"/>
    <w:rPr>
      <w:rFonts w:eastAsia="MS Mincho"/>
      <w:sz w:val="24"/>
      <w:szCs w:val="24"/>
      <w:lang w:val="en-US" w:eastAsia="ja-JP"/>
    </w:rPr>
  </w:style>
  <w:style w:type="character" w:styleId="Strong">
    <w:name w:val="Strong"/>
    <w:basedOn w:val="DefaultParagraphFont"/>
    <w:uiPriority w:val="22"/>
    <w:qFormat/>
    <w:rsid w:val="00257E4D"/>
    <w:rPr>
      <w:b/>
      <w:bCs/>
    </w:rPr>
  </w:style>
  <w:style w:type="paragraph" w:styleId="NormalWeb">
    <w:name w:val="Normal (Web)"/>
    <w:basedOn w:val="Normal"/>
    <w:uiPriority w:val="99"/>
    <w:unhideWhenUsed/>
    <w:rsid w:val="00B73C21"/>
    <w:pPr>
      <w:spacing w:before="100" w:beforeAutospacing="1" w:after="100" w:afterAutospacing="1"/>
    </w:pPr>
    <w:rPr>
      <w:rFonts w:eastAsia="Times New Roman"/>
      <w:lang w:val="el-GR" w:eastAsia="el-G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223B"/>
    <w:pPr>
      <w:spacing w:after="120"/>
    </w:pPr>
    <w:rPr>
      <w:rFonts w:eastAsia="MS Mincho"/>
      <w:sz w:val="24"/>
      <w:szCs w:val="24"/>
      <w:lang w:val="en-US" w:eastAsia="ja-JP"/>
    </w:rPr>
  </w:style>
  <w:style w:type="paragraph" w:styleId="Heading1">
    <w:name w:val="heading 1"/>
    <w:basedOn w:val="Normal"/>
    <w:next w:val="Normal"/>
    <w:qFormat/>
    <w:pPr>
      <w:keepNext/>
      <w:spacing w:line="400" w:lineRule="exact"/>
      <w:jc w:val="center"/>
      <w:outlineLvl w:val="0"/>
    </w:pPr>
    <w:rPr>
      <w:b/>
      <w:bCs/>
      <w:caps/>
      <w:kern w:val="28"/>
      <w:sz w:val="32"/>
      <w:szCs w:val="32"/>
    </w:rPr>
  </w:style>
  <w:style w:type="paragraph" w:styleId="Heading2">
    <w:name w:val="heading 2"/>
    <w:basedOn w:val="Normal"/>
    <w:next w:val="Normal"/>
    <w:link w:val="Heading2Char"/>
    <w:uiPriority w:val="9"/>
    <w:qFormat/>
    <w:pPr>
      <w:keepNext/>
      <w:spacing w:before="120"/>
      <w:outlineLvl w:val="1"/>
    </w:pPr>
    <w:rPr>
      <w:b/>
      <w:bCs/>
      <w:caps/>
    </w:rPr>
  </w:style>
  <w:style w:type="paragraph" w:styleId="Heading3">
    <w:name w:val="heading 3"/>
    <w:basedOn w:val="Normal"/>
    <w:next w:val="Normal"/>
    <w:qFormat/>
    <w:pPr>
      <w:keepNext/>
      <w:outlineLvl w:val="2"/>
    </w:pPr>
    <w:rPr>
      <w:b/>
      <w:bCs/>
    </w:rPr>
  </w:style>
  <w:style w:type="paragraph" w:styleId="Heading4">
    <w:name w:val="heading 4"/>
    <w:basedOn w:val="Normal"/>
    <w:next w:val="Normal"/>
    <w:link w:val="Heading4Char"/>
    <w:unhideWhenUsed/>
    <w:qFormat/>
    <w:rsid w:val="00650EB7"/>
    <w:pPr>
      <w:keepNext/>
      <w:keepLines/>
      <w:spacing w:before="200" w:after="0"/>
      <w:outlineLvl w:val="3"/>
    </w:pPr>
    <w:rPr>
      <w:rFonts w:asciiTheme="minorHAnsi" w:eastAsiaTheme="majorEastAsia" w:hAnsiTheme="min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transcript">
    <w:name w:val="Numbered transcript"/>
    <w:basedOn w:val="Normal"/>
    <w:pPr>
      <w:tabs>
        <w:tab w:val="left" w:pos="851"/>
      </w:tabs>
      <w:spacing w:after="60" w:line="280" w:lineRule="exact"/>
      <w:ind w:left="2268" w:hanging="1984"/>
    </w:pPr>
    <w:rPr>
      <w:sz w:val="26"/>
      <w:szCs w:val="26"/>
    </w:rPr>
  </w:style>
  <w:style w:type="paragraph" w:styleId="Quote">
    <w:name w:val="Quote"/>
    <w:basedOn w:val="Normal"/>
    <w:rsid w:val="00FF223B"/>
    <w:pPr>
      <w:ind w:left="284"/>
    </w:pPr>
    <w:rPr>
      <w:szCs w:val="26"/>
    </w:rPr>
  </w:style>
  <w:style w:type="paragraph" w:customStyle="1" w:styleId="References">
    <w:name w:val="References"/>
    <w:basedOn w:val="Normal"/>
    <w:pPr>
      <w:ind w:left="284" w:hanging="284"/>
    </w:pPr>
  </w:style>
  <w:style w:type="paragraph" w:customStyle="1" w:styleId="Endnote">
    <w:name w:val="Endnote"/>
    <w:basedOn w:val="Normal"/>
  </w:style>
  <w:style w:type="paragraph" w:customStyle="1" w:styleId="FigTitle">
    <w:name w:val="FigTitle"/>
    <w:basedOn w:val="Normal"/>
    <w:pPr>
      <w:spacing w:before="120"/>
    </w:pPr>
    <w:rPr>
      <w:b/>
      <w:bCs/>
      <w:sz w:val="26"/>
      <w:szCs w:val="26"/>
    </w:rPr>
  </w:style>
  <w:style w:type="paragraph" w:customStyle="1" w:styleId="Transcript">
    <w:name w:val="Transcript"/>
    <w:basedOn w:val="Normal"/>
    <w:pPr>
      <w:ind w:left="1702" w:hanging="1418"/>
    </w:pPr>
    <w:rPr>
      <w:sz w:val="26"/>
      <w:szCs w:val="26"/>
    </w:rPr>
  </w:style>
  <w:style w:type="paragraph" w:styleId="DocumentMap">
    <w:name w:val="Document Map"/>
    <w:basedOn w:val="Normal"/>
    <w:semiHidden/>
    <w:pPr>
      <w:shd w:val="clear" w:color="auto" w:fill="000080"/>
    </w:pPr>
    <w:rPr>
      <w:rFonts w:ascii="Tahoma" w:hAnsi="Tahoma" w:cs="Tahoma"/>
    </w:rPr>
  </w:style>
  <w:style w:type="paragraph" w:styleId="Footer">
    <w:name w:val="footer"/>
    <w:basedOn w:val="Normal"/>
    <w:rsid w:val="008A4E27"/>
    <w:pPr>
      <w:tabs>
        <w:tab w:val="center" w:pos="4320"/>
        <w:tab w:val="right" w:pos="8640"/>
      </w:tabs>
    </w:pPr>
  </w:style>
  <w:style w:type="character" w:styleId="PageNumber">
    <w:name w:val="page number"/>
    <w:basedOn w:val="DefaultParagraphFont"/>
    <w:rsid w:val="008A4E27"/>
  </w:style>
  <w:style w:type="paragraph" w:styleId="ListParagraph">
    <w:name w:val="List Paragraph"/>
    <w:basedOn w:val="Normal"/>
    <w:uiPriority w:val="34"/>
    <w:qFormat/>
    <w:rsid w:val="00FF223B"/>
    <w:pPr>
      <w:ind w:left="720"/>
      <w:contextualSpacing/>
    </w:pPr>
  </w:style>
  <w:style w:type="character" w:styleId="CommentReference">
    <w:name w:val="annotation reference"/>
    <w:uiPriority w:val="99"/>
    <w:unhideWhenUsed/>
    <w:rsid w:val="00FF223B"/>
    <w:rPr>
      <w:sz w:val="16"/>
      <w:szCs w:val="16"/>
    </w:rPr>
  </w:style>
  <w:style w:type="paragraph" w:styleId="CommentText">
    <w:name w:val="annotation text"/>
    <w:basedOn w:val="Normal"/>
    <w:link w:val="CommentTextChar"/>
    <w:uiPriority w:val="99"/>
    <w:unhideWhenUsed/>
    <w:rsid w:val="00FF223B"/>
    <w:rPr>
      <w:sz w:val="20"/>
      <w:szCs w:val="20"/>
    </w:rPr>
  </w:style>
  <w:style w:type="character" w:customStyle="1" w:styleId="CommentTextChar">
    <w:name w:val="Comment Text Char"/>
    <w:basedOn w:val="DefaultParagraphFont"/>
    <w:link w:val="CommentText"/>
    <w:uiPriority w:val="99"/>
    <w:rsid w:val="00FF223B"/>
    <w:rPr>
      <w:rFonts w:eastAsia="MS Mincho"/>
      <w:lang w:val="en-US" w:eastAsia="ja-JP"/>
    </w:rPr>
  </w:style>
  <w:style w:type="character" w:customStyle="1" w:styleId="Heading2Char">
    <w:name w:val="Heading 2 Char"/>
    <w:link w:val="Heading2"/>
    <w:uiPriority w:val="9"/>
    <w:rsid w:val="00FF223B"/>
    <w:rPr>
      <w:b/>
      <w:bCs/>
      <w:caps/>
      <w:sz w:val="28"/>
      <w:szCs w:val="28"/>
    </w:rPr>
  </w:style>
  <w:style w:type="paragraph" w:styleId="FootnoteText">
    <w:name w:val="footnote text"/>
    <w:basedOn w:val="Normal"/>
    <w:link w:val="FootnoteTextChar"/>
    <w:uiPriority w:val="99"/>
    <w:unhideWhenUsed/>
    <w:rsid w:val="00FF223B"/>
    <w:rPr>
      <w:rFonts w:ascii="Cambria" w:eastAsia="Cambria" w:hAnsi="Cambria"/>
      <w:sz w:val="20"/>
      <w:szCs w:val="20"/>
      <w:lang w:val="el-GR" w:eastAsia="en-US"/>
    </w:rPr>
  </w:style>
  <w:style w:type="character" w:customStyle="1" w:styleId="FootnoteTextChar">
    <w:name w:val="Footnote Text Char"/>
    <w:basedOn w:val="DefaultParagraphFont"/>
    <w:link w:val="FootnoteText"/>
    <w:uiPriority w:val="99"/>
    <w:rsid w:val="00FF223B"/>
    <w:rPr>
      <w:rFonts w:ascii="Cambria" w:eastAsia="Cambria" w:hAnsi="Cambria"/>
      <w:lang w:val="el-GR"/>
    </w:rPr>
  </w:style>
  <w:style w:type="character" w:styleId="FootnoteReference">
    <w:name w:val="footnote reference"/>
    <w:uiPriority w:val="99"/>
    <w:unhideWhenUsed/>
    <w:rsid w:val="00FF223B"/>
    <w:rPr>
      <w:vertAlign w:val="superscript"/>
    </w:rPr>
  </w:style>
  <w:style w:type="paragraph" w:styleId="BalloonText">
    <w:name w:val="Balloon Text"/>
    <w:basedOn w:val="Normal"/>
    <w:link w:val="BalloonTextChar"/>
    <w:rsid w:val="00FF223B"/>
    <w:rPr>
      <w:rFonts w:ascii="Lucida Grande" w:hAnsi="Lucida Grande" w:cs="Lucida Grande"/>
      <w:sz w:val="18"/>
      <w:szCs w:val="18"/>
    </w:rPr>
  </w:style>
  <w:style w:type="character" w:customStyle="1" w:styleId="BalloonTextChar">
    <w:name w:val="Balloon Text Char"/>
    <w:basedOn w:val="DefaultParagraphFont"/>
    <w:link w:val="BalloonText"/>
    <w:rsid w:val="00FF223B"/>
    <w:rPr>
      <w:rFonts w:ascii="Lucida Grande" w:eastAsia="MS Mincho" w:hAnsi="Lucida Grande" w:cs="Lucida Grande"/>
      <w:sz w:val="18"/>
      <w:szCs w:val="18"/>
      <w:lang w:val="en-US" w:eastAsia="ja-JP"/>
    </w:rPr>
  </w:style>
  <w:style w:type="paragraph" w:styleId="CommentSubject">
    <w:name w:val="annotation subject"/>
    <w:basedOn w:val="CommentText"/>
    <w:next w:val="CommentText"/>
    <w:link w:val="CommentSubjectChar"/>
    <w:rsid w:val="00BB39FF"/>
    <w:rPr>
      <w:b/>
      <w:bCs/>
    </w:rPr>
  </w:style>
  <w:style w:type="character" w:customStyle="1" w:styleId="CommentSubjectChar">
    <w:name w:val="Comment Subject Char"/>
    <w:basedOn w:val="CommentTextChar"/>
    <w:link w:val="CommentSubject"/>
    <w:rsid w:val="00BB39FF"/>
    <w:rPr>
      <w:rFonts w:eastAsia="MS Mincho"/>
      <w:b/>
      <w:bCs/>
      <w:lang w:val="en-US" w:eastAsia="ja-JP"/>
    </w:rPr>
  </w:style>
  <w:style w:type="paragraph" w:styleId="Revision">
    <w:name w:val="Revision"/>
    <w:hidden/>
    <w:uiPriority w:val="99"/>
    <w:semiHidden/>
    <w:rsid w:val="009D78EA"/>
    <w:rPr>
      <w:rFonts w:eastAsia="MS Mincho"/>
      <w:sz w:val="24"/>
      <w:szCs w:val="24"/>
      <w:lang w:val="en-US" w:eastAsia="ja-JP"/>
    </w:rPr>
  </w:style>
  <w:style w:type="character" w:styleId="Hyperlink">
    <w:name w:val="Hyperlink"/>
    <w:basedOn w:val="DefaultParagraphFont"/>
    <w:uiPriority w:val="99"/>
    <w:unhideWhenUsed/>
    <w:rsid w:val="00E60E35"/>
    <w:rPr>
      <w:strike w:val="0"/>
      <w:dstrike w:val="0"/>
      <w:color w:val="0000FF"/>
      <w:u w:val="none"/>
      <w:effect w:val="none"/>
    </w:rPr>
  </w:style>
  <w:style w:type="character" w:customStyle="1" w:styleId="field-content">
    <w:name w:val="field-content"/>
    <w:basedOn w:val="DefaultParagraphFont"/>
    <w:rsid w:val="00E60E35"/>
  </w:style>
  <w:style w:type="character" w:customStyle="1" w:styleId="biblio-authors">
    <w:name w:val="biblio-authors"/>
    <w:basedOn w:val="DefaultParagraphFont"/>
    <w:rsid w:val="00E60E35"/>
  </w:style>
  <w:style w:type="character" w:customStyle="1" w:styleId="biblio-title-chicago">
    <w:name w:val="biblio-title-chicago"/>
    <w:basedOn w:val="DefaultParagraphFont"/>
    <w:rsid w:val="00E60E35"/>
  </w:style>
  <w:style w:type="character" w:customStyle="1" w:styleId="Heading4Char">
    <w:name w:val="Heading 4 Char"/>
    <w:basedOn w:val="DefaultParagraphFont"/>
    <w:link w:val="Heading4"/>
    <w:rsid w:val="00650EB7"/>
    <w:rPr>
      <w:rFonts w:asciiTheme="minorHAnsi" w:eastAsiaTheme="majorEastAsia" w:hAnsiTheme="minorHAnsi" w:cstheme="majorBidi"/>
      <w:b/>
      <w:bCs/>
      <w:i/>
      <w:iCs/>
      <w:sz w:val="24"/>
      <w:szCs w:val="24"/>
      <w:lang w:val="en-US" w:eastAsia="ja-JP"/>
    </w:rPr>
  </w:style>
  <w:style w:type="paragraph" w:styleId="Header">
    <w:name w:val="header"/>
    <w:basedOn w:val="Normal"/>
    <w:link w:val="HeaderChar"/>
    <w:rsid w:val="005E13C6"/>
    <w:pPr>
      <w:tabs>
        <w:tab w:val="center" w:pos="4153"/>
        <w:tab w:val="right" w:pos="8306"/>
      </w:tabs>
      <w:spacing w:after="0"/>
    </w:pPr>
  </w:style>
  <w:style w:type="character" w:customStyle="1" w:styleId="HeaderChar">
    <w:name w:val="Header Char"/>
    <w:basedOn w:val="DefaultParagraphFont"/>
    <w:link w:val="Header"/>
    <w:rsid w:val="005E13C6"/>
    <w:rPr>
      <w:rFonts w:eastAsia="MS Mincho"/>
      <w:sz w:val="24"/>
      <w:szCs w:val="24"/>
      <w:lang w:val="en-US" w:eastAsia="ja-JP"/>
    </w:rPr>
  </w:style>
  <w:style w:type="character" w:styleId="Strong">
    <w:name w:val="Strong"/>
    <w:basedOn w:val="DefaultParagraphFont"/>
    <w:uiPriority w:val="22"/>
    <w:qFormat/>
    <w:rsid w:val="00257E4D"/>
    <w:rPr>
      <w:b/>
      <w:bCs/>
    </w:rPr>
  </w:style>
  <w:style w:type="paragraph" w:styleId="NormalWeb">
    <w:name w:val="Normal (Web)"/>
    <w:basedOn w:val="Normal"/>
    <w:uiPriority w:val="99"/>
    <w:unhideWhenUsed/>
    <w:rsid w:val="00B73C21"/>
    <w:pPr>
      <w:spacing w:before="100" w:beforeAutospacing="1" w:after="100" w:afterAutospacing="1"/>
    </w:pPr>
    <w:rPr>
      <w:rFonts w:eastAsia="Times New Roman"/>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48022">
      <w:bodyDiv w:val="1"/>
      <w:marLeft w:val="0"/>
      <w:marRight w:val="0"/>
      <w:marTop w:val="0"/>
      <w:marBottom w:val="0"/>
      <w:divBdr>
        <w:top w:val="none" w:sz="0" w:space="0" w:color="auto"/>
        <w:left w:val="none" w:sz="0" w:space="0" w:color="auto"/>
        <w:bottom w:val="none" w:sz="0" w:space="0" w:color="auto"/>
        <w:right w:val="none" w:sz="0" w:space="0" w:color="auto"/>
      </w:divBdr>
      <w:divsChild>
        <w:div w:id="277640681">
          <w:marLeft w:val="0"/>
          <w:marRight w:val="0"/>
          <w:marTop w:val="0"/>
          <w:marBottom w:val="0"/>
          <w:divBdr>
            <w:top w:val="none" w:sz="0" w:space="0" w:color="auto"/>
            <w:left w:val="none" w:sz="0" w:space="0" w:color="auto"/>
            <w:bottom w:val="none" w:sz="0" w:space="0" w:color="auto"/>
            <w:right w:val="none" w:sz="0" w:space="0" w:color="auto"/>
          </w:divBdr>
          <w:divsChild>
            <w:div w:id="1794053832">
              <w:marLeft w:val="0"/>
              <w:marRight w:val="0"/>
              <w:marTop w:val="0"/>
              <w:marBottom w:val="0"/>
              <w:divBdr>
                <w:top w:val="none" w:sz="0" w:space="0" w:color="auto"/>
                <w:left w:val="none" w:sz="0" w:space="0" w:color="auto"/>
                <w:bottom w:val="none" w:sz="0" w:space="0" w:color="auto"/>
                <w:right w:val="none" w:sz="0" w:space="0" w:color="auto"/>
              </w:divBdr>
              <w:divsChild>
                <w:div w:id="1662540125">
                  <w:marLeft w:val="0"/>
                  <w:marRight w:val="0"/>
                  <w:marTop w:val="0"/>
                  <w:marBottom w:val="0"/>
                  <w:divBdr>
                    <w:top w:val="none" w:sz="0" w:space="0" w:color="auto"/>
                    <w:left w:val="none" w:sz="0" w:space="0" w:color="auto"/>
                    <w:bottom w:val="none" w:sz="0" w:space="0" w:color="auto"/>
                    <w:right w:val="none" w:sz="0" w:space="0" w:color="auto"/>
                  </w:divBdr>
                  <w:divsChild>
                    <w:div w:id="15354674">
                      <w:marLeft w:val="0"/>
                      <w:marRight w:val="0"/>
                      <w:marTop w:val="0"/>
                      <w:marBottom w:val="0"/>
                      <w:divBdr>
                        <w:top w:val="none" w:sz="0" w:space="0" w:color="auto"/>
                        <w:left w:val="none" w:sz="0" w:space="0" w:color="auto"/>
                        <w:bottom w:val="none" w:sz="0" w:space="0" w:color="auto"/>
                        <w:right w:val="none" w:sz="0" w:space="0" w:color="auto"/>
                      </w:divBdr>
                      <w:divsChild>
                        <w:div w:id="66220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983257">
      <w:bodyDiv w:val="1"/>
      <w:marLeft w:val="0"/>
      <w:marRight w:val="0"/>
      <w:marTop w:val="0"/>
      <w:marBottom w:val="0"/>
      <w:divBdr>
        <w:top w:val="none" w:sz="0" w:space="0" w:color="auto"/>
        <w:left w:val="none" w:sz="0" w:space="0" w:color="auto"/>
        <w:bottom w:val="none" w:sz="0" w:space="0" w:color="auto"/>
        <w:right w:val="none" w:sz="0" w:space="0" w:color="auto"/>
      </w:divBdr>
      <w:divsChild>
        <w:div w:id="1200048401">
          <w:marLeft w:val="0"/>
          <w:marRight w:val="0"/>
          <w:marTop w:val="0"/>
          <w:marBottom w:val="0"/>
          <w:divBdr>
            <w:top w:val="none" w:sz="0" w:space="0" w:color="auto"/>
            <w:left w:val="none" w:sz="0" w:space="0" w:color="auto"/>
            <w:bottom w:val="none" w:sz="0" w:space="0" w:color="auto"/>
            <w:right w:val="none" w:sz="0" w:space="0" w:color="auto"/>
          </w:divBdr>
          <w:divsChild>
            <w:div w:id="301623268">
              <w:marLeft w:val="0"/>
              <w:marRight w:val="0"/>
              <w:marTop w:val="0"/>
              <w:marBottom w:val="0"/>
              <w:divBdr>
                <w:top w:val="none" w:sz="0" w:space="0" w:color="auto"/>
                <w:left w:val="none" w:sz="0" w:space="0" w:color="auto"/>
                <w:bottom w:val="none" w:sz="0" w:space="0" w:color="auto"/>
                <w:right w:val="none" w:sz="0" w:space="0" w:color="auto"/>
              </w:divBdr>
              <w:divsChild>
                <w:div w:id="1718890516">
                  <w:marLeft w:val="0"/>
                  <w:marRight w:val="0"/>
                  <w:marTop w:val="0"/>
                  <w:marBottom w:val="0"/>
                  <w:divBdr>
                    <w:top w:val="none" w:sz="0" w:space="0" w:color="auto"/>
                    <w:left w:val="none" w:sz="0" w:space="0" w:color="auto"/>
                    <w:bottom w:val="none" w:sz="0" w:space="0" w:color="auto"/>
                    <w:right w:val="none" w:sz="0" w:space="0" w:color="auto"/>
                  </w:divBdr>
                  <w:divsChild>
                    <w:div w:id="1855144470">
                      <w:marLeft w:val="0"/>
                      <w:marRight w:val="0"/>
                      <w:marTop w:val="300"/>
                      <w:marBottom w:val="300"/>
                      <w:divBdr>
                        <w:top w:val="none" w:sz="0" w:space="0" w:color="auto"/>
                        <w:left w:val="none" w:sz="0" w:space="0" w:color="auto"/>
                        <w:bottom w:val="none" w:sz="0" w:space="0" w:color="auto"/>
                        <w:right w:val="none" w:sz="0" w:space="0" w:color="auto"/>
                      </w:divBdr>
                      <w:divsChild>
                        <w:div w:id="1167094438">
                          <w:marLeft w:val="0"/>
                          <w:marRight w:val="0"/>
                          <w:marTop w:val="0"/>
                          <w:marBottom w:val="0"/>
                          <w:divBdr>
                            <w:top w:val="none" w:sz="0" w:space="0" w:color="auto"/>
                            <w:left w:val="none" w:sz="0" w:space="0" w:color="auto"/>
                            <w:bottom w:val="none" w:sz="0" w:space="0" w:color="auto"/>
                            <w:right w:val="none" w:sz="0" w:space="0" w:color="auto"/>
                          </w:divBdr>
                          <w:divsChild>
                            <w:div w:id="1228539122">
                              <w:marLeft w:val="0"/>
                              <w:marRight w:val="0"/>
                              <w:marTop w:val="0"/>
                              <w:marBottom w:val="0"/>
                              <w:divBdr>
                                <w:top w:val="none" w:sz="0" w:space="0" w:color="auto"/>
                                <w:left w:val="none" w:sz="0" w:space="0" w:color="auto"/>
                                <w:bottom w:val="none" w:sz="0" w:space="0" w:color="auto"/>
                                <w:right w:val="none" w:sz="0" w:space="0" w:color="auto"/>
                              </w:divBdr>
                              <w:divsChild>
                                <w:div w:id="1487353421">
                                  <w:marLeft w:val="0"/>
                                  <w:marRight w:val="0"/>
                                  <w:marTop w:val="0"/>
                                  <w:marBottom w:val="0"/>
                                  <w:divBdr>
                                    <w:top w:val="none" w:sz="0" w:space="0" w:color="auto"/>
                                    <w:left w:val="none" w:sz="0" w:space="0" w:color="auto"/>
                                    <w:bottom w:val="none" w:sz="0" w:space="0" w:color="auto"/>
                                    <w:right w:val="none" w:sz="0" w:space="0" w:color="auto"/>
                                  </w:divBdr>
                                  <w:divsChild>
                                    <w:div w:id="544491270">
                                      <w:marLeft w:val="0"/>
                                      <w:marRight w:val="0"/>
                                      <w:marTop w:val="0"/>
                                      <w:marBottom w:val="0"/>
                                      <w:divBdr>
                                        <w:top w:val="none" w:sz="0" w:space="0" w:color="auto"/>
                                        <w:left w:val="none" w:sz="0" w:space="0" w:color="auto"/>
                                        <w:bottom w:val="none" w:sz="0" w:space="0" w:color="auto"/>
                                        <w:right w:val="none" w:sz="0" w:space="0" w:color="auto"/>
                                      </w:divBdr>
                                      <w:divsChild>
                                        <w:div w:id="682171832">
                                          <w:marLeft w:val="0"/>
                                          <w:marRight w:val="0"/>
                                          <w:marTop w:val="0"/>
                                          <w:marBottom w:val="0"/>
                                          <w:divBdr>
                                            <w:top w:val="none" w:sz="0" w:space="0" w:color="auto"/>
                                            <w:left w:val="none" w:sz="0" w:space="0" w:color="auto"/>
                                            <w:bottom w:val="none" w:sz="0" w:space="0" w:color="auto"/>
                                            <w:right w:val="none" w:sz="0" w:space="0" w:color="auto"/>
                                          </w:divBdr>
                                          <w:divsChild>
                                            <w:div w:id="205871662">
                                              <w:marLeft w:val="0"/>
                                              <w:marRight w:val="0"/>
                                              <w:marTop w:val="0"/>
                                              <w:marBottom w:val="0"/>
                                              <w:divBdr>
                                                <w:top w:val="none" w:sz="0" w:space="0" w:color="auto"/>
                                                <w:left w:val="none" w:sz="0" w:space="0" w:color="auto"/>
                                                <w:bottom w:val="none" w:sz="0" w:space="0" w:color="auto"/>
                                                <w:right w:val="none" w:sz="0" w:space="0" w:color="auto"/>
                                              </w:divBdr>
                                              <w:divsChild>
                                                <w:div w:id="1839153387">
                                                  <w:marLeft w:val="0"/>
                                                  <w:marRight w:val="0"/>
                                                  <w:marTop w:val="240"/>
                                                  <w:marBottom w:val="240"/>
                                                  <w:divBdr>
                                                    <w:top w:val="none" w:sz="0" w:space="0" w:color="auto"/>
                                                    <w:left w:val="none" w:sz="0" w:space="0" w:color="auto"/>
                                                    <w:bottom w:val="none" w:sz="0" w:space="0" w:color="auto"/>
                                                    <w:right w:val="none" w:sz="0" w:space="0" w:color="auto"/>
                                                  </w:divBdr>
                                                  <w:divsChild>
                                                    <w:div w:id="44107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4047710">
      <w:bodyDiv w:val="1"/>
      <w:marLeft w:val="0"/>
      <w:marRight w:val="0"/>
      <w:marTop w:val="0"/>
      <w:marBottom w:val="0"/>
      <w:divBdr>
        <w:top w:val="none" w:sz="0" w:space="0" w:color="auto"/>
        <w:left w:val="none" w:sz="0" w:space="0" w:color="auto"/>
        <w:bottom w:val="none" w:sz="0" w:space="0" w:color="auto"/>
        <w:right w:val="none" w:sz="0" w:space="0" w:color="auto"/>
      </w:divBdr>
      <w:divsChild>
        <w:div w:id="574900078">
          <w:marLeft w:val="0"/>
          <w:marRight w:val="0"/>
          <w:marTop w:val="0"/>
          <w:marBottom w:val="0"/>
          <w:divBdr>
            <w:top w:val="none" w:sz="0" w:space="0" w:color="auto"/>
            <w:left w:val="none" w:sz="0" w:space="0" w:color="auto"/>
            <w:bottom w:val="none" w:sz="0" w:space="0" w:color="auto"/>
            <w:right w:val="none" w:sz="0" w:space="0" w:color="auto"/>
          </w:divBdr>
        </w:div>
        <w:div w:id="1837957604">
          <w:marLeft w:val="0"/>
          <w:marRight w:val="0"/>
          <w:marTop w:val="0"/>
          <w:marBottom w:val="0"/>
          <w:divBdr>
            <w:top w:val="none" w:sz="0" w:space="0" w:color="auto"/>
            <w:left w:val="none" w:sz="0" w:space="0" w:color="auto"/>
            <w:bottom w:val="none" w:sz="0" w:space="0" w:color="auto"/>
            <w:right w:val="none" w:sz="0" w:space="0" w:color="auto"/>
          </w:divBdr>
        </w:div>
        <w:div w:id="2098941434">
          <w:marLeft w:val="0"/>
          <w:marRight w:val="0"/>
          <w:marTop w:val="0"/>
          <w:marBottom w:val="0"/>
          <w:divBdr>
            <w:top w:val="none" w:sz="0" w:space="0" w:color="auto"/>
            <w:left w:val="none" w:sz="0" w:space="0" w:color="auto"/>
            <w:bottom w:val="none" w:sz="0" w:space="0" w:color="auto"/>
            <w:right w:val="none" w:sz="0" w:space="0" w:color="auto"/>
          </w:divBdr>
        </w:div>
        <w:div w:id="2132166317">
          <w:marLeft w:val="0"/>
          <w:marRight w:val="0"/>
          <w:marTop w:val="0"/>
          <w:marBottom w:val="0"/>
          <w:divBdr>
            <w:top w:val="none" w:sz="0" w:space="0" w:color="auto"/>
            <w:left w:val="none" w:sz="0" w:space="0" w:color="auto"/>
            <w:bottom w:val="none" w:sz="0" w:space="0" w:color="auto"/>
            <w:right w:val="none" w:sz="0" w:space="0" w:color="auto"/>
          </w:divBdr>
        </w:div>
      </w:divsChild>
    </w:div>
    <w:div w:id="2005821343">
      <w:bodyDiv w:val="1"/>
      <w:marLeft w:val="0"/>
      <w:marRight w:val="0"/>
      <w:marTop w:val="0"/>
      <w:marBottom w:val="0"/>
      <w:divBdr>
        <w:top w:val="none" w:sz="0" w:space="0" w:color="auto"/>
        <w:left w:val="none" w:sz="0" w:space="0" w:color="auto"/>
        <w:bottom w:val="none" w:sz="0" w:space="0" w:color="auto"/>
        <w:right w:val="none" w:sz="0" w:space="0" w:color="auto"/>
      </w:divBdr>
      <w:divsChild>
        <w:div w:id="317803401">
          <w:marLeft w:val="0"/>
          <w:marRight w:val="0"/>
          <w:marTop w:val="0"/>
          <w:marBottom w:val="0"/>
          <w:divBdr>
            <w:top w:val="none" w:sz="0" w:space="0" w:color="auto"/>
            <w:left w:val="none" w:sz="0" w:space="0" w:color="auto"/>
            <w:bottom w:val="none" w:sz="0" w:space="0" w:color="auto"/>
            <w:right w:val="none" w:sz="0" w:space="0" w:color="auto"/>
          </w:divBdr>
        </w:div>
        <w:div w:id="1641350907">
          <w:marLeft w:val="0"/>
          <w:marRight w:val="0"/>
          <w:marTop w:val="0"/>
          <w:marBottom w:val="0"/>
          <w:divBdr>
            <w:top w:val="none" w:sz="0" w:space="0" w:color="auto"/>
            <w:left w:val="none" w:sz="0" w:space="0" w:color="auto"/>
            <w:bottom w:val="none" w:sz="0" w:space="0" w:color="auto"/>
            <w:right w:val="none" w:sz="0" w:space="0" w:color="auto"/>
          </w:divBdr>
        </w:div>
        <w:div w:id="1406758727">
          <w:marLeft w:val="0"/>
          <w:marRight w:val="0"/>
          <w:marTop w:val="0"/>
          <w:marBottom w:val="0"/>
          <w:divBdr>
            <w:top w:val="none" w:sz="0" w:space="0" w:color="auto"/>
            <w:left w:val="none" w:sz="0" w:space="0" w:color="auto"/>
            <w:bottom w:val="none" w:sz="0" w:space="0" w:color="auto"/>
            <w:right w:val="none" w:sz="0" w:space="0" w:color="auto"/>
          </w:divBdr>
        </w:div>
        <w:div w:id="254629033">
          <w:marLeft w:val="0"/>
          <w:marRight w:val="0"/>
          <w:marTop w:val="0"/>
          <w:marBottom w:val="0"/>
          <w:divBdr>
            <w:top w:val="none" w:sz="0" w:space="0" w:color="auto"/>
            <w:left w:val="none" w:sz="0" w:space="0" w:color="auto"/>
            <w:bottom w:val="none" w:sz="0" w:space="0" w:color="auto"/>
            <w:right w:val="none" w:sz="0" w:space="0" w:color="auto"/>
          </w:divBdr>
        </w:div>
        <w:div w:id="1740859801">
          <w:marLeft w:val="0"/>
          <w:marRight w:val="0"/>
          <w:marTop w:val="0"/>
          <w:marBottom w:val="0"/>
          <w:divBdr>
            <w:top w:val="none" w:sz="0" w:space="0" w:color="auto"/>
            <w:left w:val="none" w:sz="0" w:space="0" w:color="auto"/>
            <w:bottom w:val="none" w:sz="0" w:space="0" w:color="auto"/>
            <w:right w:val="none" w:sz="0" w:space="0" w:color="auto"/>
          </w:divBdr>
        </w:div>
        <w:div w:id="1031761023">
          <w:marLeft w:val="0"/>
          <w:marRight w:val="0"/>
          <w:marTop w:val="0"/>
          <w:marBottom w:val="0"/>
          <w:divBdr>
            <w:top w:val="none" w:sz="0" w:space="0" w:color="auto"/>
            <w:left w:val="none" w:sz="0" w:space="0" w:color="auto"/>
            <w:bottom w:val="none" w:sz="0" w:space="0" w:color="auto"/>
            <w:right w:val="none" w:sz="0" w:space="0" w:color="auto"/>
          </w:divBdr>
        </w:div>
        <w:div w:id="2090691265">
          <w:marLeft w:val="0"/>
          <w:marRight w:val="0"/>
          <w:marTop w:val="0"/>
          <w:marBottom w:val="0"/>
          <w:divBdr>
            <w:top w:val="none" w:sz="0" w:space="0" w:color="auto"/>
            <w:left w:val="none" w:sz="0" w:space="0" w:color="auto"/>
            <w:bottom w:val="none" w:sz="0" w:space="0" w:color="auto"/>
            <w:right w:val="none" w:sz="0" w:space="0" w:color="auto"/>
          </w:divBdr>
        </w:div>
        <w:div w:id="530995197">
          <w:marLeft w:val="0"/>
          <w:marRight w:val="0"/>
          <w:marTop w:val="0"/>
          <w:marBottom w:val="0"/>
          <w:divBdr>
            <w:top w:val="none" w:sz="0" w:space="0" w:color="auto"/>
            <w:left w:val="none" w:sz="0" w:space="0" w:color="auto"/>
            <w:bottom w:val="none" w:sz="0" w:space="0" w:color="auto"/>
            <w:right w:val="none" w:sz="0" w:space="0" w:color="auto"/>
          </w:divBdr>
        </w:div>
        <w:div w:id="941960017">
          <w:marLeft w:val="0"/>
          <w:marRight w:val="0"/>
          <w:marTop w:val="0"/>
          <w:marBottom w:val="0"/>
          <w:divBdr>
            <w:top w:val="none" w:sz="0" w:space="0" w:color="auto"/>
            <w:left w:val="none" w:sz="0" w:space="0" w:color="auto"/>
            <w:bottom w:val="none" w:sz="0" w:space="0" w:color="auto"/>
            <w:right w:val="none" w:sz="0" w:space="0" w:color="auto"/>
          </w:divBdr>
        </w:div>
        <w:div w:id="1381124465">
          <w:marLeft w:val="0"/>
          <w:marRight w:val="0"/>
          <w:marTop w:val="0"/>
          <w:marBottom w:val="0"/>
          <w:divBdr>
            <w:top w:val="none" w:sz="0" w:space="0" w:color="auto"/>
            <w:left w:val="none" w:sz="0" w:space="0" w:color="auto"/>
            <w:bottom w:val="none" w:sz="0" w:space="0" w:color="auto"/>
            <w:right w:val="none" w:sz="0" w:space="0" w:color="auto"/>
          </w:divBdr>
        </w:div>
        <w:div w:id="484131445">
          <w:marLeft w:val="0"/>
          <w:marRight w:val="0"/>
          <w:marTop w:val="0"/>
          <w:marBottom w:val="0"/>
          <w:divBdr>
            <w:top w:val="none" w:sz="0" w:space="0" w:color="auto"/>
            <w:left w:val="none" w:sz="0" w:space="0" w:color="auto"/>
            <w:bottom w:val="none" w:sz="0" w:space="0" w:color="auto"/>
            <w:right w:val="none" w:sz="0" w:space="0" w:color="auto"/>
          </w:divBdr>
        </w:div>
        <w:div w:id="335378595">
          <w:marLeft w:val="0"/>
          <w:marRight w:val="0"/>
          <w:marTop w:val="0"/>
          <w:marBottom w:val="0"/>
          <w:divBdr>
            <w:top w:val="none" w:sz="0" w:space="0" w:color="auto"/>
            <w:left w:val="none" w:sz="0" w:space="0" w:color="auto"/>
            <w:bottom w:val="none" w:sz="0" w:space="0" w:color="auto"/>
            <w:right w:val="none" w:sz="0" w:space="0" w:color="auto"/>
          </w:divBdr>
        </w:div>
        <w:div w:id="544634950">
          <w:marLeft w:val="0"/>
          <w:marRight w:val="0"/>
          <w:marTop w:val="0"/>
          <w:marBottom w:val="0"/>
          <w:divBdr>
            <w:top w:val="none" w:sz="0" w:space="0" w:color="auto"/>
            <w:left w:val="none" w:sz="0" w:space="0" w:color="auto"/>
            <w:bottom w:val="none" w:sz="0" w:space="0" w:color="auto"/>
            <w:right w:val="none" w:sz="0" w:space="0" w:color="auto"/>
          </w:divBdr>
        </w:div>
        <w:div w:id="1082025827">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06675-17AF-9F48-849D-A84277E18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10745</Words>
  <Characters>61253</Characters>
  <Application>Microsoft Macintosh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CERME paper template</vt:lpstr>
    </vt:vector>
  </TitlesOfParts>
  <Company/>
  <LinksUpToDate>false</LinksUpToDate>
  <CharactersWithSpaces>71855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CERME paper template</dc:title>
  <dc:creator>Candia Morgan</dc:creator>
  <cp:lastModifiedBy>Candia Morgan</cp:lastModifiedBy>
  <cp:revision>3</cp:revision>
  <cp:lastPrinted>1999-04-19T10:26:00Z</cp:lastPrinted>
  <dcterms:created xsi:type="dcterms:W3CDTF">2014-01-27T17:13:00Z</dcterms:created>
  <dcterms:modified xsi:type="dcterms:W3CDTF">2014-01-27T17:16:00Z</dcterms:modified>
</cp:coreProperties>
</file>