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DD" w:rsidRDefault="008F68DD" w:rsidP="008F68DD"/>
    <w:p w:rsidR="008F68DD" w:rsidRDefault="008F68DD" w:rsidP="008F68DD"/>
    <w:p w:rsidR="008F68DD" w:rsidRDefault="008F68DD" w:rsidP="008F68DD"/>
    <w:p w:rsidR="008F68DD" w:rsidRDefault="008F68DD" w:rsidP="008F68DD"/>
    <w:p w:rsidR="008F68DD" w:rsidRDefault="008F68DD" w:rsidP="008F68DD"/>
    <w:p w:rsidR="008F68DD" w:rsidRDefault="008F68DD" w:rsidP="008F68DD"/>
    <w:p w:rsidR="008F68DD" w:rsidRDefault="008F68DD" w:rsidP="008F68DD">
      <w:pPr>
        <w:jc w:val="center"/>
        <w:rPr>
          <w:b/>
        </w:rPr>
      </w:pPr>
      <w:r>
        <w:rPr>
          <w:b/>
        </w:rPr>
        <w:t xml:space="preserve">Intergenerational </w:t>
      </w:r>
      <w:proofErr w:type="spellStart"/>
      <w:r>
        <w:rPr>
          <w:b/>
        </w:rPr>
        <w:t>worklessness</w:t>
      </w:r>
      <w:proofErr w:type="spellEnd"/>
      <w:r>
        <w:rPr>
          <w:b/>
        </w:rPr>
        <w:t xml:space="preserve"> in the UK and the role of local labour markets</w:t>
      </w:r>
    </w:p>
    <w:p w:rsidR="008F68DD" w:rsidRDefault="008F68DD" w:rsidP="008F68DD">
      <w:pPr>
        <w:jc w:val="center"/>
      </w:pPr>
    </w:p>
    <w:p w:rsidR="008F68DD" w:rsidRDefault="008F68DD" w:rsidP="008F68DD">
      <w:pPr>
        <w:jc w:val="center"/>
      </w:pPr>
    </w:p>
    <w:p w:rsidR="008F68DD" w:rsidRPr="005378F0" w:rsidRDefault="008F68DD" w:rsidP="008F68DD">
      <w:pPr>
        <w:jc w:val="center"/>
        <w:rPr>
          <w:vertAlign w:val="superscript"/>
        </w:rPr>
      </w:pPr>
      <w:r>
        <w:t xml:space="preserve">Lindsey </w:t>
      </w:r>
      <w:proofErr w:type="spellStart"/>
      <w:r>
        <w:t>Macmillan</w:t>
      </w:r>
      <w:r>
        <w:rPr>
          <w:vertAlign w:val="superscript"/>
        </w:rPr>
        <w:t>a</w:t>
      </w:r>
      <w:proofErr w:type="spellEnd"/>
    </w:p>
    <w:p w:rsidR="008F68DD" w:rsidRDefault="008F68DD" w:rsidP="008F68DD">
      <w:pPr>
        <w:jc w:val="center"/>
      </w:pPr>
    </w:p>
    <w:p w:rsidR="008F68DD" w:rsidRDefault="008F68DD" w:rsidP="008F68DD">
      <w:pPr>
        <w:jc w:val="center"/>
      </w:pPr>
    </w:p>
    <w:p w:rsidR="008F68DD" w:rsidRPr="00DF003E" w:rsidRDefault="008F68DD" w:rsidP="008F68DD">
      <w:pPr>
        <w:jc w:val="center"/>
        <w:rPr>
          <w:i/>
        </w:rPr>
      </w:pPr>
      <w:proofErr w:type="spellStart"/>
      <w:proofErr w:type="gramStart"/>
      <w:r>
        <w:rPr>
          <w:i/>
          <w:vertAlign w:val="superscript"/>
        </w:rPr>
        <w:t>a</w:t>
      </w:r>
      <w:r>
        <w:rPr>
          <w:i/>
        </w:rPr>
        <w:t>Dept</w:t>
      </w:r>
      <w:proofErr w:type="spellEnd"/>
      <w:proofErr w:type="gramEnd"/>
      <w:r>
        <w:rPr>
          <w:i/>
        </w:rPr>
        <w:t xml:space="preserve"> of Quantitative Social Science, Institute of Education, University of London (</w:t>
      </w:r>
      <w:hyperlink r:id="rId8" w:history="1">
        <w:r w:rsidRPr="00A04E47">
          <w:rPr>
            <w:rStyle w:val="Hyperlink"/>
          </w:rPr>
          <w:t>L.Macmillan@ioe.ac.uk</w:t>
        </w:r>
      </w:hyperlink>
      <w:r>
        <w:t>, Institute of Education, 20 Bedford Way, London, WC1H 0AL)</w:t>
      </w:r>
    </w:p>
    <w:p w:rsidR="008F68DD" w:rsidRDefault="008F68DD" w:rsidP="008F68DD">
      <w:pPr>
        <w:jc w:val="center"/>
      </w:pPr>
    </w:p>
    <w:p w:rsidR="008F68DD" w:rsidRDefault="008F68DD" w:rsidP="008F68DD"/>
    <w:p w:rsidR="008F68DD" w:rsidRDefault="008F68DD" w:rsidP="008F68DD"/>
    <w:p w:rsidR="008F68DD" w:rsidRDefault="008F68DD" w:rsidP="008F68DD">
      <w:pPr>
        <w:jc w:val="center"/>
      </w:pPr>
      <w:r>
        <w:t>September 2013</w:t>
      </w:r>
    </w:p>
    <w:p w:rsidR="008F68DD" w:rsidRDefault="008F68DD" w:rsidP="008F68DD">
      <w:pPr>
        <w:rPr>
          <w:b/>
        </w:rPr>
      </w:pPr>
    </w:p>
    <w:p w:rsidR="008F68DD" w:rsidRDefault="008F68DD" w:rsidP="008F68DD">
      <w:pPr>
        <w:rPr>
          <w:b/>
        </w:rPr>
      </w:pPr>
    </w:p>
    <w:p w:rsidR="008F68DD" w:rsidRDefault="008F68DD" w:rsidP="008F68DD">
      <w:pPr>
        <w:rPr>
          <w:b/>
        </w:rPr>
      </w:pPr>
    </w:p>
    <w:p w:rsidR="008F68DD" w:rsidRDefault="008F68DD" w:rsidP="008F68DD">
      <w:pPr>
        <w:rPr>
          <w:b/>
        </w:rPr>
      </w:pPr>
      <w:r>
        <w:rPr>
          <w:b/>
        </w:rPr>
        <w:t>Abstract</w:t>
      </w:r>
    </w:p>
    <w:p w:rsidR="008F68DD" w:rsidRDefault="008F68DD" w:rsidP="008F68DD">
      <w:pPr>
        <w:rPr>
          <w:b/>
        </w:rPr>
      </w:pPr>
    </w:p>
    <w:p w:rsidR="008F68DD" w:rsidRDefault="008F68DD" w:rsidP="008F68DD">
      <w:pPr>
        <w:jc w:val="both"/>
      </w:pPr>
      <w:r w:rsidRPr="00A804AD">
        <w:t xml:space="preserve">Intergenerational </w:t>
      </w:r>
      <w:proofErr w:type="spellStart"/>
      <w:r w:rsidRPr="00A804AD">
        <w:t>worklessness</w:t>
      </w:r>
      <w:proofErr w:type="spellEnd"/>
      <w:r w:rsidRPr="00A804AD">
        <w:t xml:space="preserve"> is a topic of considerable current interest. However, </w:t>
      </w:r>
      <w:r>
        <w:t>there has been no robust quantitative evidence on this subject for over a decade</w:t>
      </w:r>
      <w:r w:rsidRPr="00A804AD">
        <w:t xml:space="preserve">. This research is the first to present </w:t>
      </w:r>
      <w:r>
        <w:t>estimates of the association in workless spells across generations for</w:t>
      </w:r>
      <w:r w:rsidRPr="00A804AD">
        <w:t xml:space="preserve"> two new cohorts, one born in 1970 and one born in the late 1970s. This analysis is also the first in this area to consider the important role of local labour market conditions in driving the </w:t>
      </w:r>
      <w:r>
        <w:t xml:space="preserve">intergenerational relationship. Sons with workless fathers spend 7-11% more time out of work than sons with employed fathers from leaving full time education to age 23. </w:t>
      </w:r>
      <w:r w:rsidRPr="00A804AD">
        <w:t>The intergenerational relationship is not driven by fathers and sons experiencing similar conditions in the same local labour markets. Instead, the experience of sons with workless fathers compared to sons with employed fathers varies considerably by the local labour market conditions they experience.</w:t>
      </w:r>
    </w:p>
    <w:p w:rsidR="008F68DD" w:rsidRDefault="008F68DD" w:rsidP="008F68DD">
      <w:pPr>
        <w:jc w:val="both"/>
      </w:pPr>
    </w:p>
    <w:p w:rsidR="008F68DD" w:rsidRDefault="008F68DD" w:rsidP="008F68DD">
      <w:pPr>
        <w:jc w:val="both"/>
      </w:pPr>
    </w:p>
    <w:p w:rsidR="008F68DD" w:rsidRDefault="008F68DD" w:rsidP="008F68DD">
      <w:pPr>
        <w:jc w:val="both"/>
      </w:pPr>
    </w:p>
    <w:p w:rsidR="008F68DD" w:rsidRDefault="008F68DD" w:rsidP="008F68DD">
      <w:pPr>
        <w:jc w:val="both"/>
      </w:pPr>
    </w:p>
    <w:p w:rsidR="008F68DD" w:rsidRDefault="008F68DD" w:rsidP="008F68DD">
      <w:pPr>
        <w:jc w:val="both"/>
      </w:pPr>
    </w:p>
    <w:p w:rsidR="008F68DD" w:rsidRDefault="008F68DD" w:rsidP="008F68DD">
      <w:pPr>
        <w:jc w:val="both"/>
      </w:pPr>
    </w:p>
    <w:p w:rsidR="008F68DD" w:rsidRDefault="008F68DD" w:rsidP="008F68DD"/>
    <w:p w:rsidR="008F68DD" w:rsidRDefault="008F68DD" w:rsidP="008F68DD">
      <w:r>
        <w:t>JEL classifications; J62, J64</w:t>
      </w:r>
    </w:p>
    <w:p w:rsidR="008F68DD" w:rsidRDefault="008F68DD" w:rsidP="008F68DD">
      <w:r>
        <w:t>Key words</w:t>
      </w:r>
      <w:r w:rsidRPr="00DF003E">
        <w:t xml:space="preserve">: </w:t>
      </w:r>
      <w:r>
        <w:t>I</w:t>
      </w:r>
      <w:r w:rsidRPr="00DF003E">
        <w:t>ntergenerational mobility</w:t>
      </w:r>
      <w:r>
        <w:t>, unemployment</w:t>
      </w:r>
    </w:p>
    <w:p w:rsidR="008F68DD" w:rsidRDefault="008F68DD" w:rsidP="008F68DD">
      <w:pPr>
        <w:rPr>
          <w:u w:val="single"/>
        </w:rPr>
      </w:pPr>
    </w:p>
    <w:p w:rsidR="008F68DD" w:rsidRDefault="008F68DD" w:rsidP="008F68DD">
      <w:pPr>
        <w:rPr>
          <w:i/>
          <w:u w:val="single"/>
        </w:rPr>
      </w:pPr>
      <w:r>
        <w:rPr>
          <w:u w:val="single"/>
        </w:rPr>
        <w:t>Acknowledgements</w:t>
      </w:r>
    </w:p>
    <w:p w:rsidR="008F68DD" w:rsidRDefault="008F68DD" w:rsidP="008F68DD">
      <w:r>
        <w:t xml:space="preserve">I would like to thank Paul Gregg, Christopher Muller, Paul Devereux, </w:t>
      </w:r>
      <w:proofErr w:type="spellStart"/>
      <w:r>
        <w:t>Kjell</w:t>
      </w:r>
      <w:proofErr w:type="spellEnd"/>
      <w:r>
        <w:t xml:space="preserve"> </w:t>
      </w:r>
      <w:proofErr w:type="spellStart"/>
      <w:r>
        <w:t>Salvanes</w:t>
      </w:r>
      <w:proofErr w:type="spellEnd"/>
      <w:r>
        <w:t xml:space="preserve">, Simon Burgess, </w:t>
      </w:r>
      <w:proofErr w:type="spellStart"/>
      <w:r>
        <w:t>Bhashkar</w:t>
      </w:r>
      <w:proofErr w:type="spellEnd"/>
      <w:r>
        <w:t xml:space="preserve"> </w:t>
      </w:r>
      <w:proofErr w:type="spellStart"/>
      <w:r>
        <w:t>Mazumder</w:t>
      </w:r>
      <w:proofErr w:type="spellEnd"/>
      <w:r>
        <w:t xml:space="preserve">, Jo </w:t>
      </w:r>
      <w:proofErr w:type="spellStart"/>
      <w:r>
        <w:t>Blanden</w:t>
      </w:r>
      <w:proofErr w:type="spellEnd"/>
      <w:r>
        <w:t xml:space="preserve"> and John Micklewright for their insightful comments as well as comments from two reviewers, which have greatly improved this work. This work was funded as part of an ESRC studentship. </w:t>
      </w:r>
    </w:p>
    <w:p w:rsidR="008F68DD" w:rsidRDefault="008F68DD" w:rsidP="008F68DD"/>
    <w:p w:rsidR="006646DF" w:rsidRDefault="006646DF" w:rsidP="00080DE1">
      <w:pPr>
        <w:pStyle w:val="ListParagraph"/>
        <w:numPr>
          <w:ilvl w:val="0"/>
          <w:numId w:val="2"/>
        </w:numPr>
        <w:spacing w:after="120"/>
        <w:rPr>
          <w:b/>
        </w:rPr>
      </w:pPr>
      <w:r w:rsidRPr="006646DF">
        <w:rPr>
          <w:b/>
        </w:rPr>
        <w:lastRenderedPageBreak/>
        <w:t>Introduction</w:t>
      </w:r>
    </w:p>
    <w:p w:rsidR="006646DF" w:rsidRPr="00A8076F" w:rsidRDefault="006646DF" w:rsidP="006646DF">
      <w:pPr>
        <w:spacing w:line="360" w:lineRule="auto"/>
        <w:jc w:val="both"/>
      </w:pPr>
      <w:r>
        <w:t>F</w:t>
      </w:r>
      <w:r w:rsidRPr="00A8076F">
        <w:t>requent references have been made by politicians</w:t>
      </w:r>
      <w:r w:rsidR="0051768C">
        <w:t xml:space="preserve"> recently</w:t>
      </w:r>
      <w:r w:rsidRPr="00A8076F">
        <w:t xml:space="preserve"> to the issue of intergenerational worklessness in the UK, citing families with two or three generations who never work</w:t>
      </w:r>
      <w:r>
        <w:t>:</w:t>
      </w:r>
      <w:r w:rsidRPr="00A8076F">
        <w:t xml:space="preserve"> </w:t>
      </w:r>
    </w:p>
    <w:p w:rsidR="006646DF" w:rsidRPr="00A8076F" w:rsidRDefault="006646DF" w:rsidP="006646DF">
      <w:pPr>
        <w:spacing w:line="276" w:lineRule="auto"/>
      </w:pPr>
    </w:p>
    <w:p w:rsidR="006646DF" w:rsidRPr="00A8076F" w:rsidRDefault="006646DF" w:rsidP="006646DF">
      <w:pPr>
        <w:spacing w:line="360" w:lineRule="auto"/>
        <w:ind w:left="284" w:right="226"/>
        <w:jc w:val="both"/>
        <w:rPr>
          <w:rStyle w:val="Hyperlink"/>
          <w:rFonts w:eastAsiaTheme="majorEastAsia"/>
        </w:rPr>
      </w:pPr>
      <w:r w:rsidRPr="00A8076F">
        <w:rPr>
          <w:color w:val="000000"/>
        </w:rPr>
        <w:t xml:space="preserve">"Life expectancy on some estates, </w:t>
      </w:r>
      <w:r w:rsidRPr="00A8076F">
        <w:rPr>
          <w:i/>
          <w:color w:val="000000"/>
        </w:rPr>
        <w:t>where often three generations of the same family have never worked</w:t>
      </w:r>
      <w:r w:rsidRPr="00A8076F">
        <w:rPr>
          <w:color w:val="000000"/>
        </w:rPr>
        <w:t>, is lower than the Gaza Strip” Iain Duncan Smith MP (2009)</w:t>
      </w:r>
      <w:r>
        <w:rPr>
          <w:color w:val="000000"/>
        </w:rPr>
        <w:t>.</w:t>
      </w:r>
      <w:r w:rsidRPr="00A8076F">
        <w:rPr>
          <w:rStyle w:val="FootnoteReference"/>
          <w:color w:val="000000"/>
        </w:rPr>
        <w:footnoteReference w:id="1"/>
      </w:r>
    </w:p>
    <w:p w:rsidR="006646DF" w:rsidRPr="00A8076F" w:rsidRDefault="006646DF" w:rsidP="006646DF">
      <w:pPr>
        <w:spacing w:line="360" w:lineRule="auto"/>
        <w:jc w:val="both"/>
        <w:rPr>
          <w:rFonts w:ascii="Geneva" w:hAnsi="Geneva"/>
          <w:color w:val="000000"/>
          <w:sz w:val="18"/>
          <w:szCs w:val="18"/>
        </w:rPr>
      </w:pPr>
    </w:p>
    <w:p w:rsidR="006646DF" w:rsidRDefault="006646DF" w:rsidP="005D1425">
      <w:pPr>
        <w:spacing w:line="360" w:lineRule="auto"/>
        <w:jc w:val="both"/>
      </w:pPr>
      <w:r>
        <w:t>These statements are often used as a justification for the large-scale welfare reforms being implemented by the current Coalition Gov</w:t>
      </w:r>
      <w:r w:rsidR="008432F6">
        <w:t>ernment</w:t>
      </w:r>
      <w:r>
        <w:t>:</w:t>
      </w:r>
    </w:p>
    <w:p w:rsidR="005D1425" w:rsidRDefault="005D1425" w:rsidP="005D1425">
      <w:pPr>
        <w:spacing w:line="360" w:lineRule="auto"/>
        <w:jc w:val="both"/>
      </w:pPr>
    </w:p>
    <w:p w:rsidR="006646DF" w:rsidRPr="00FA4943" w:rsidRDefault="006646DF" w:rsidP="006646DF">
      <w:pPr>
        <w:shd w:val="clear" w:color="auto" w:fill="FFFFFF"/>
        <w:spacing w:after="240" w:line="360" w:lineRule="auto"/>
        <w:ind w:left="238" w:right="238"/>
        <w:rPr>
          <w:lang w:eastAsia="zh-CN"/>
        </w:rPr>
      </w:pPr>
      <w:r>
        <w:rPr>
          <w:lang w:eastAsia="zh-CN"/>
        </w:rPr>
        <w:t>“</w:t>
      </w:r>
      <w:r w:rsidRPr="00FA4943">
        <w:rPr>
          <w:lang w:eastAsia="zh-CN"/>
        </w:rPr>
        <w:t xml:space="preserve">A radical welfare reform programme designed to tackle entrenched poverty and </w:t>
      </w:r>
      <w:r w:rsidRPr="00FA4943">
        <w:rPr>
          <w:i/>
          <w:lang w:eastAsia="zh-CN"/>
        </w:rPr>
        <w:t>end the curse of intergenerational worklessness</w:t>
      </w:r>
      <w:r w:rsidRPr="00FA4943">
        <w:rPr>
          <w:lang w:eastAsia="zh-CN"/>
        </w:rPr>
        <w:t xml:space="preserve"> is set out today by new Secretary of State for Work and Pensions Iain Duncan Smith</w:t>
      </w:r>
      <w:r>
        <w:rPr>
          <w:lang w:eastAsia="zh-CN"/>
        </w:rPr>
        <w:t xml:space="preserve">.” </w:t>
      </w:r>
      <w:proofErr w:type="gramStart"/>
      <w:r>
        <w:rPr>
          <w:lang w:eastAsia="zh-CN"/>
        </w:rPr>
        <w:t>DWP Press Release (2010).</w:t>
      </w:r>
      <w:proofErr w:type="gramEnd"/>
      <w:r>
        <w:rPr>
          <w:rStyle w:val="FootnoteReference"/>
          <w:lang w:eastAsia="zh-CN"/>
        </w:rPr>
        <w:footnoteReference w:id="2"/>
      </w:r>
    </w:p>
    <w:p w:rsidR="00967245" w:rsidRDefault="00D34C8E" w:rsidP="006646DF">
      <w:pPr>
        <w:spacing w:line="360" w:lineRule="auto"/>
        <w:jc w:val="both"/>
        <w:rPr>
          <w:rFonts w:eastAsiaTheme="minorEastAsia"/>
          <w:lang w:eastAsia="zh-CN"/>
        </w:rPr>
      </w:pPr>
      <w:r>
        <w:t xml:space="preserve">Intergenerational worklessness is the relationship between the workless experiences of parents and children across their adult lives. </w:t>
      </w:r>
      <w:r w:rsidR="006646DF" w:rsidRPr="00A8076F">
        <w:t xml:space="preserve">Despite </w:t>
      </w:r>
      <w:r>
        <w:t>the current interest in the topic</w:t>
      </w:r>
      <w:r w:rsidR="00401C0D">
        <w:t xml:space="preserve">, there </w:t>
      </w:r>
      <w:r w:rsidR="005D1425">
        <w:t>has been</w:t>
      </w:r>
      <w:r w:rsidR="006646DF" w:rsidRPr="00A8076F">
        <w:t xml:space="preserve"> no </w:t>
      </w:r>
      <w:r w:rsidR="006646DF">
        <w:t>robust quantitative</w:t>
      </w:r>
      <w:r w:rsidR="006646DF" w:rsidRPr="00A8076F">
        <w:t xml:space="preserve"> evidence on the subject</w:t>
      </w:r>
      <w:r w:rsidR="006646DF">
        <w:t xml:space="preserve"> </w:t>
      </w:r>
      <w:r w:rsidR="005D1425">
        <w:t>for over a decade</w:t>
      </w:r>
      <w:r w:rsidR="008432F6">
        <w:t xml:space="preserve"> in </w:t>
      </w:r>
      <w:r w:rsidR="008432F6">
        <w:rPr>
          <w:color w:val="000000"/>
          <w:szCs w:val="21"/>
        </w:rPr>
        <w:t>the UK</w:t>
      </w:r>
      <w:r w:rsidR="0051768C">
        <w:t xml:space="preserve">. </w:t>
      </w:r>
      <w:r w:rsidR="00064642" w:rsidRPr="00A8076F">
        <w:t>Th</w:t>
      </w:r>
      <w:r w:rsidR="00064642">
        <w:t xml:space="preserve">is </w:t>
      </w:r>
      <w:r w:rsidR="00064642" w:rsidRPr="00A8076F">
        <w:t xml:space="preserve">is perhaps surprising given the </w:t>
      </w:r>
      <w:r w:rsidR="00064642">
        <w:t>marked</w:t>
      </w:r>
      <w:r w:rsidR="00064642" w:rsidRPr="00A8076F">
        <w:t xml:space="preserve"> increase in research into intergenerational </w:t>
      </w:r>
      <w:r w:rsidR="00E11DC8">
        <w:t xml:space="preserve">income </w:t>
      </w:r>
      <w:r w:rsidR="00064642" w:rsidRPr="00A8076F">
        <w:t>mobility over the past two decades</w:t>
      </w:r>
      <w:r w:rsidR="00E11DC8">
        <w:t xml:space="preserve"> (</w:t>
      </w:r>
      <w:proofErr w:type="spellStart"/>
      <w:r w:rsidR="00E11DC8">
        <w:t>Solon</w:t>
      </w:r>
      <w:proofErr w:type="spellEnd"/>
      <w:r w:rsidR="00E11DC8">
        <w:t xml:space="preserve">, 1992, </w:t>
      </w:r>
      <w:proofErr w:type="spellStart"/>
      <w:r w:rsidR="00E11DC8">
        <w:rPr>
          <w:rFonts w:eastAsiaTheme="minorEastAsia"/>
          <w:lang w:eastAsia="zh-CN"/>
        </w:rPr>
        <w:t>Blanden</w:t>
      </w:r>
      <w:proofErr w:type="spellEnd"/>
      <w:r w:rsidR="00E11DC8">
        <w:rPr>
          <w:rFonts w:eastAsiaTheme="minorEastAsia"/>
          <w:lang w:eastAsia="zh-CN"/>
        </w:rPr>
        <w:t xml:space="preserve"> et. al., 2005, Black and </w:t>
      </w:r>
      <w:proofErr w:type="spellStart"/>
      <w:r w:rsidR="00E11DC8">
        <w:rPr>
          <w:rFonts w:eastAsiaTheme="minorEastAsia"/>
          <w:lang w:eastAsia="zh-CN"/>
        </w:rPr>
        <w:t>Devereaux</w:t>
      </w:r>
      <w:proofErr w:type="spellEnd"/>
      <w:r w:rsidR="00E11DC8">
        <w:rPr>
          <w:rFonts w:eastAsiaTheme="minorEastAsia"/>
          <w:lang w:eastAsia="zh-CN"/>
        </w:rPr>
        <w:t>, 2011)</w:t>
      </w:r>
      <w:r w:rsidR="00064642" w:rsidRPr="00A8076F">
        <w:t xml:space="preserve">. </w:t>
      </w:r>
      <w:r w:rsidR="00E11DC8">
        <w:t xml:space="preserve">This </w:t>
      </w:r>
      <w:r w:rsidR="00064642" w:rsidRPr="00A8076F">
        <w:t xml:space="preserve">literature has had a </w:t>
      </w:r>
      <w:r w:rsidR="00064642">
        <w:t>significant</w:t>
      </w:r>
      <w:r w:rsidR="00064642" w:rsidRPr="00A8076F">
        <w:t xml:space="preserve"> impact on public policy</w:t>
      </w:r>
      <w:r w:rsidR="00E11DC8">
        <w:t xml:space="preserve"> in the UK</w:t>
      </w:r>
      <w:r w:rsidR="00064642" w:rsidRPr="00A8076F">
        <w:t xml:space="preserve"> leading to deputy P</w:t>
      </w:r>
      <w:r w:rsidR="00064642">
        <w:t xml:space="preserve">rime </w:t>
      </w:r>
      <w:r w:rsidR="00064642" w:rsidRPr="00A8076F">
        <w:t>M</w:t>
      </w:r>
      <w:r w:rsidR="00064642">
        <w:t>inister</w:t>
      </w:r>
      <w:r w:rsidR="00064642" w:rsidRPr="00A8076F">
        <w:t xml:space="preserve">, Nick Clegg MP, stating that </w:t>
      </w:r>
      <w:r w:rsidR="00064642" w:rsidRPr="00A1423B">
        <w:t>“improving social mobility is the principal goal of the Coalition Government’s social policy”</w:t>
      </w:r>
      <w:r w:rsidR="00064642" w:rsidRPr="00A8076F">
        <w:rPr>
          <w:i/>
        </w:rPr>
        <w:t xml:space="preserve"> </w:t>
      </w:r>
      <w:r w:rsidR="00064642" w:rsidRPr="00A8076F">
        <w:t>(Cabinet Office Report, 2010)</w:t>
      </w:r>
      <w:r w:rsidR="00064642" w:rsidRPr="00A8076F">
        <w:rPr>
          <w:i/>
        </w:rPr>
        <w:t>.</w:t>
      </w:r>
      <w:r w:rsidR="00064642">
        <w:rPr>
          <w:rFonts w:eastAsiaTheme="minorEastAsia"/>
          <w:lang w:eastAsia="zh-CN"/>
        </w:rPr>
        <w:t xml:space="preserve"> This analysis explores another dimension of intergenerational socio-economic status capturing an extreme form of intergenerational poverty</w:t>
      </w:r>
      <w:r w:rsidR="001E38A3">
        <w:rPr>
          <w:rFonts w:eastAsiaTheme="minorEastAsia"/>
          <w:lang w:eastAsia="zh-CN"/>
        </w:rPr>
        <w:t>,</w:t>
      </w:r>
      <w:r w:rsidR="00064642">
        <w:rPr>
          <w:rFonts w:eastAsiaTheme="minorEastAsia"/>
          <w:lang w:eastAsia="zh-CN"/>
        </w:rPr>
        <w:t xml:space="preserve"> often overlooked in </w:t>
      </w:r>
      <w:r w:rsidR="003A6014">
        <w:rPr>
          <w:rFonts w:eastAsiaTheme="minorEastAsia"/>
          <w:lang w:eastAsia="zh-CN"/>
        </w:rPr>
        <w:t xml:space="preserve">previous </w:t>
      </w:r>
      <w:r w:rsidR="00064642">
        <w:rPr>
          <w:rFonts w:eastAsiaTheme="minorEastAsia"/>
          <w:lang w:eastAsia="zh-CN"/>
        </w:rPr>
        <w:t>studies</w:t>
      </w:r>
      <w:r w:rsidR="002E7B81">
        <w:rPr>
          <w:rStyle w:val="FootnoteReference"/>
          <w:rFonts w:eastAsiaTheme="minorEastAsia"/>
          <w:lang w:eastAsia="zh-CN"/>
        </w:rPr>
        <w:footnoteReference w:id="3"/>
      </w:r>
      <w:r w:rsidR="001E38A3">
        <w:rPr>
          <w:rFonts w:eastAsiaTheme="minorEastAsia"/>
          <w:lang w:eastAsia="zh-CN"/>
        </w:rPr>
        <w:t>,</w:t>
      </w:r>
      <w:r w:rsidR="00E11DC8">
        <w:rPr>
          <w:rFonts w:eastAsiaTheme="minorEastAsia"/>
          <w:lang w:eastAsia="zh-CN"/>
        </w:rPr>
        <w:t xml:space="preserve"> by focusing on those </w:t>
      </w:r>
      <w:r w:rsidR="001E38A3">
        <w:rPr>
          <w:rFonts w:eastAsiaTheme="minorEastAsia"/>
          <w:lang w:eastAsia="zh-CN"/>
        </w:rPr>
        <w:t xml:space="preserve">families who are </w:t>
      </w:r>
      <w:r w:rsidR="00E11DC8">
        <w:rPr>
          <w:rFonts w:eastAsiaTheme="minorEastAsia"/>
          <w:lang w:eastAsia="zh-CN"/>
        </w:rPr>
        <w:t>persistently at the bottom of the income distribution</w:t>
      </w:r>
      <w:r w:rsidR="00064642">
        <w:rPr>
          <w:rFonts w:eastAsiaTheme="minorEastAsia"/>
          <w:lang w:eastAsia="zh-CN"/>
        </w:rPr>
        <w:t xml:space="preserve">. </w:t>
      </w:r>
    </w:p>
    <w:p w:rsidR="0051768C" w:rsidRPr="00BA3248" w:rsidRDefault="00064642" w:rsidP="00BA3248">
      <w:pPr>
        <w:spacing w:line="360" w:lineRule="auto"/>
        <w:ind w:firstLine="720"/>
        <w:jc w:val="both"/>
        <w:rPr>
          <w:color w:val="000000"/>
          <w:szCs w:val="21"/>
        </w:rPr>
      </w:pPr>
      <w:r w:rsidRPr="00A8076F">
        <w:t xml:space="preserve">This </w:t>
      </w:r>
      <w:r>
        <w:t>research is the first to present evidence</w:t>
      </w:r>
      <w:r w:rsidR="00F93576">
        <w:t xml:space="preserve"> of intergenerational worklessness in the UK</w:t>
      </w:r>
      <w:r>
        <w:t xml:space="preserve"> from</w:t>
      </w:r>
      <w:r>
        <w:rPr>
          <w:color w:val="000000"/>
          <w:szCs w:val="21"/>
        </w:rPr>
        <w:t xml:space="preserve"> two new cohorts, one born in 1970 and one born in the late 1970s. Previous estimates relate to </w:t>
      </w:r>
      <w:r w:rsidR="00F93576">
        <w:rPr>
          <w:color w:val="000000"/>
          <w:szCs w:val="21"/>
        </w:rPr>
        <w:t>a</w:t>
      </w:r>
      <w:r>
        <w:rPr>
          <w:color w:val="000000"/>
          <w:szCs w:val="21"/>
        </w:rPr>
        <w:t xml:space="preserve"> cohort born in 1958</w:t>
      </w:r>
      <w:r w:rsidR="004516A0">
        <w:rPr>
          <w:color w:val="000000"/>
          <w:szCs w:val="21"/>
        </w:rPr>
        <w:t xml:space="preserve"> with worklessness of the 1</w:t>
      </w:r>
      <w:r w:rsidR="004516A0" w:rsidRPr="00BA3248">
        <w:rPr>
          <w:color w:val="000000"/>
          <w:szCs w:val="21"/>
          <w:vertAlign w:val="superscript"/>
        </w:rPr>
        <w:t>st</w:t>
      </w:r>
      <w:r w:rsidR="004516A0">
        <w:rPr>
          <w:color w:val="000000"/>
          <w:szCs w:val="21"/>
        </w:rPr>
        <w:t xml:space="preserve"> generation observed in 1969 and 1974 and the 2</w:t>
      </w:r>
      <w:r w:rsidR="004516A0" w:rsidRPr="00CE0759">
        <w:rPr>
          <w:color w:val="000000"/>
          <w:szCs w:val="21"/>
          <w:vertAlign w:val="superscript"/>
        </w:rPr>
        <w:t>nd</w:t>
      </w:r>
      <w:r w:rsidR="004516A0">
        <w:rPr>
          <w:color w:val="000000"/>
          <w:szCs w:val="21"/>
        </w:rPr>
        <w:t xml:space="preserve"> generation entering the labour market in the mid 1970s </w:t>
      </w:r>
      <w:r>
        <w:rPr>
          <w:color w:val="000000"/>
          <w:szCs w:val="21"/>
        </w:rPr>
        <w:t xml:space="preserve">(Johnson and Reed, 1996, O’Neill and </w:t>
      </w:r>
      <w:proofErr w:type="spellStart"/>
      <w:r>
        <w:rPr>
          <w:color w:val="000000"/>
          <w:szCs w:val="21"/>
        </w:rPr>
        <w:t>Sweetman</w:t>
      </w:r>
      <w:proofErr w:type="spellEnd"/>
      <w:r>
        <w:rPr>
          <w:color w:val="000000"/>
          <w:szCs w:val="21"/>
        </w:rPr>
        <w:t xml:space="preserve">, 1998). </w:t>
      </w:r>
      <w:r w:rsidR="004516A0">
        <w:rPr>
          <w:color w:val="000000"/>
          <w:szCs w:val="21"/>
        </w:rPr>
        <w:t xml:space="preserve">Given the significant changes in the labour </w:t>
      </w:r>
      <w:r w:rsidR="004516A0">
        <w:rPr>
          <w:color w:val="000000"/>
          <w:szCs w:val="21"/>
        </w:rPr>
        <w:lastRenderedPageBreak/>
        <w:t xml:space="preserve">market over the past thirty years, this new analysis presents estimates for cohorts whose experience of the labour market is more relevant to current discussions. </w:t>
      </w:r>
      <w:r>
        <w:rPr>
          <w:color w:val="000000"/>
          <w:szCs w:val="21"/>
        </w:rPr>
        <w:t xml:space="preserve">It is also </w:t>
      </w:r>
      <w:r w:rsidR="0051768C">
        <w:rPr>
          <w:color w:val="000000"/>
          <w:szCs w:val="21"/>
        </w:rPr>
        <w:t>the first to describe the important role that labour market cond</w:t>
      </w:r>
      <w:r w:rsidR="00A87B41">
        <w:rPr>
          <w:color w:val="000000"/>
          <w:szCs w:val="21"/>
        </w:rPr>
        <w:t>itions play in intergenerational worklessness</w:t>
      </w:r>
      <w:r w:rsidR="004516A0">
        <w:rPr>
          <w:rStyle w:val="FootnoteReference"/>
          <w:color w:val="000000"/>
          <w:szCs w:val="21"/>
        </w:rPr>
        <w:footnoteReference w:id="4"/>
      </w:r>
      <w:r w:rsidR="00BA3248">
        <w:rPr>
          <w:color w:val="000000"/>
          <w:szCs w:val="21"/>
        </w:rPr>
        <w:t>.</w:t>
      </w:r>
      <w:r w:rsidR="0051768C">
        <w:rPr>
          <w:color w:val="000000"/>
          <w:szCs w:val="21"/>
        </w:rPr>
        <w:t xml:space="preserve"> </w:t>
      </w:r>
      <w:r w:rsidR="00BA3248">
        <w:rPr>
          <w:color w:val="000000"/>
          <w:szCs w:val="21"/>
        </w:rPr>
        <w:t xml:space="preserve">It </w:t>
      </w:r>
      <w:r w:rsidR="004516A0">
        <w:rPr>
          <w:color w:val="000000"/>
          <w:szCs w:val="21"/>
        </w:rPr>
        <w:t>may be that</w:t>
      </w:r>
      <w:r w:rsidR="00BA3248">
        <w:rPr>
          <w:color w:val="000000"/>
          <w:szCs w:val="21"/>
        </w:rPr>
        <w:t xml:space="preserve"> </w:t>
      </w:r>
      <w:r w:rsidR="004516A0">
        <w:rPr>
          <w:color w:val="000000"/>
          <w:szCs w:val="21"/>
        </w:rPr>
        <w:t xml:space="preserve">an intergenerational association arises purely because </w:t>
      </w:r>
      <w:r w:rsidR="00BA3248">
        <w:rPr>
          <w:color w:val="000000"/>
          <w:szCs w:val="21"/>
        </w:rPr>
        <w:t xml:space="preserve">fathers and sons </w:t>
      </w:r>
      <w:r w:rsidR="005D1425">
        <w:rPr>
          <w:color w:val="000000"/>
          <w:szCs w:val="21"/>
        </w:rPr>
        <w:t xml:space="preserve">are </w:t>
      </w:r>
      <w:r w:rsidR="004516A0">
        <w:rPr>
          <w:color w:val="000000"/>
          <w:szCs w:val="21"/>
        </w:rPr>
        <w:t>ofte</w:t>
      </w:r>
      <w:r w:rsidR="005D1425">
        <w:rPr>
          <w:color w:val="000000"/>
          <w:szCs w:val="21"/>
        </w:rPr>
        <w:t xml:space="preserve">n </w:t>
      </w:r>
      <w:r w:rsidR="00BA3248">
        <w:rPr>
          <w:color w:val="000000"/>
          <w:szCs w:val="21"/>
        </w:rPr>
        <w:t>exposed to the same local labour markets. Alternatively, it could be that the workless experience of sons</w:t>
      </w:r>
      <w:r w:rsidR="004674C7">
        <w:rPr>
          <w:color w:val="000000"/>
          <w:szCs w:val="21"/>
        </w:rPr>
        <w:t xml:space="preserve"> is affected by a combination of both the local labour market conditions and the workless experience</w:t>
      </w:r>
      <w:r w:rsidR="005D1425">
        <w:rPr>
          <w:color w:val="000000"/>
          <w:szCs w:val="21"/>
        </w:rPr>
        <w:t>s</w:t>
      </w:r>
      <w:r w:rsidR="004674C7">
        <w:rPr>
          <w:color w:val="000000"/>
          <w:szCs w:val="21"/>
        </w:rPr>
        <w:t xml:space="preserve"> of fathers. </w:t>
      </w:r>
      <w:r w:rsidR="00BA3248">
        <w:rPr>
          <w:color w:val="000000"/>
          <w:szCs w:val="21"/>
        </w:rPr>
        <w:t xml:space="preserve">I begin by exploring whether the intergenerational </w:t>
      </w:r>
      <w:r w:rsidR="004516A0">
        <w:rPr>
          <w:color w:val="000000"/>
          <w:szCs w:val="21"/>
        </w:rPr>
        <w:t>association is spuriously driven by</w:t>
      </w:r>
      <w:r w:rsidR="00BA3248">
        <w:rPr>
          <w:color w:val="000000"/>
          <w:szCs w:val="21"/>
        </w:rPr>
        <w:t xml:space="preserve"> fathers and sons living in the same local labour markets before moving on to consider the</w:t>
      </w:r>
      <w:r w:rsidR="00A87B41">
        <w:rPr>
          <w:color w:val="000000"/>
          <w:szCs w:val="21"/>
        </w:rPr>
        <w:t xml:space="preserve"> role of the</w:t>
      </w:r>
      <w:r w:rsidR="00BA3248">
        <w:rPr>
          <w:color w:val="000000"/>
          <w:szCs w:val="21"/>
        </w:rPr>
        <w:t xml:space="preserve"> interaction between local labour market conditions and fathers’ worklessness. </w:t>
      </w:r>
    </w:p>
    <w:p w:rsidR="001C1F65" w:rsidRPr="001C1F65" w:rsidRDefault="006646DF" w:rsidP="00064642">
      <w:pPr>
        <w:spacing w:line="360" w:lineRule="auto"/>
        <w:jc w:val="both"/>
      </w:pPr>
      <w:r w:rsidRPr="00A8076F">
        <w:tab/>
      </w:r>
      <w:r w:rsidR="001C1F65">
        <w:rPr>
          <w:color w:val="000000"/>
          <w:szCs w:val="21"/>
        </w:rPr>
        <w:t xml:space="preserve">This research </w:t>
      </w:r>
      <w:r w:rsidR="001C1F65" w:rsidRPr="00A8076F">
        <w:rPr>
          <w:color w:val="000000"/>
          <w:szCs w:val="21"/>
        </w:rPr>
        <w:t xml:space="preserve">makes a substantial contribution to the current intergenerational </w:t>
      </w:r>
      <w:r w:rsidR="001C1F65">
        <w:rPr>
          <w:color w:val="000000"/>
          <w:szCs w:val="21"/>
        </w:rPr>
        <w:t xml:space="preserve">mobility </w:t>
      </w:r>
      <w:r w:rsidR="001C1F65" w:rsidRPr="00A8076F">
        <w:rPr>
          <w:color w:val="000000"/>
          <w:szCs w:val="21"/>
        </w:rPr>
        <w:t xml:space="preserve">literature and </w:t>
      </w:r>
      <w:r w:rsidR="001C1F65">
        <w:rPr>
          <w:color w:val="000000"/>
          <w:szCs w:val="21"/>
        </w:rPr>
        <w:t xml:space="preserve">to </w:t>
      </w:r>
      <w:r w:rsidR="001C1F65" w:rsidRPr="00A8076F">
        <w:rPr>
          <w:color w:val="000000"/>
          <w:szCs w:val="21"/>
        </w:rPr>
        <w:t>related literatures on the impact of spells out of work</w:t>
      </w:r>
      <w:r w:rsidR="001C1F65">
        <w:rPr>
          <w:color w:val="000000"/>
          <w:szCs w:val="21"/>
        </w:rPr>
        <w:t>,</w:t>
      </w:r>
      <w:r w:rsidR="001C1F65" w:rsidRPr="00A8076F">
        <w:rPr>
          <w:color w:val="000000"/>
          <w:szCs w:val="21"/>
        </w:rPr>
        <w:t xml:space="preserve"> both within the same generation</w:t>
      </w:r>
      <w:r w:rsidR="001C1F65">
        <w:rPr>
          <w:color w:val="000000"/>
          <w:szCs w:val="21"/>
        </w:rPr>
        <w:t xml:space="preserve"> and across generations (which has primarily focused </w:t>
      </w:r>
      <w:r w:rsidR="001C1F65" w:rsidRPr="00A8076F">
        <w:rPr>
          <w:color w:val="000000"/>
          <w:szCs w:val="21"/>
        </w:rPr>
        <w:t>on the impact of parental job displacement on the educational outcomes of the next generation</w:t>
      </w:r>
      <w:r w:rsidR="001C1F65">
        <w:rPr>
          <w:color w:val="000000"/>
          <w:szCs w:val="21"/>
        </w:rPr>
        <w:t>, e.g.</w:t>
      </w:r>
      <w:r w:rsidR="001C1F65" w:rsidRPr="00A8076F">
        <w:rPr>
          <w:color w:val="000000"/>
          <w:szCs w:val="21"/>
        </w:rPr>
        <w:t xml:space="preserve"> </w:t>
      </w:r>
      <w:proofErr w:type="spellStart"/>
      <w:r w:rsidR="001C1F65" w:rsidRPr="00A8076F">
        <w:rPr>
          <w:color w:val="000000"/>
          <w:szCs w:val="21"/>
        </w:rPr>
        <w:t>Oreopolus</w:t>
      </w:r>
      <w:proofErr w:type="spellEnd"/>
      <w:r w:rsidR="001C1F65" w:rsidRPr="00A8076F">
        <w:rPr>
          <w:color w:val="000000"/>
          <w:szCs w:val="21"/>
        </w:rPr>
        <w:t xml:space="preserve"> et. al.,</w:t>
      </w:r>
      <w:r w:rsidR="001C1F65">
        <w:rPr>
          <w:color w:val="000000"/>
          <w:szCs w:val="21"/>
        </w:rPr>
        <w:t xml:space="preserve"> 2008, Gregg et. al., 2012).</w:t>
      </w:r>
      <w:r w:rsidR="00073326">
        <w:rPr>
          <w:color w:val="000000"/>
          <w:szCs w:val="21"/>
        </w:rPr>
        <w:t xml:space="preserve"> Forthcoming work on intergenerational worklessness in the UK tries </w:t>
      </w:r>
      <w:r w:rsidR="00073326" w:rsidRPr="00A8076F">
        <w:rPr>
          <w:color w:val="000000"/>
          <w:szCs w:val="21"/>
        </w:rPr>
        <w:t xml:space="preserve">to identify whether this </w:t>
      </w:r>
      <w:r w:rsidR="002E7B81">
        <w:rPr>
          <w:color w:val="000000"/>
          <w:szCs w:val="21"/>
        </w:rPr>
        <w:t>relationship</w:t>
      </w:r>
      <w:r w:rsidR="00073326" w:rsidRPr="00A8076F">
        <w:rPr>
          <w:color w:val="000000"/>
          <w:szCs w:val="21"/>
        </w:rPr>
        <w:t xml:space="preserve"> is causal and consider</w:t>
      </w:r>
      <w:r w:rsidR="00A87B41">
        <w:rPr>
          <w:color w:val="000000"/>
          <w:szCs w:val="21"/>
        </w:rPr>
        <w:t>s</w:t>
      </w:r>
      <w:r w:rsidR="00073326" w:rsidRPr="00A8076F">
        <w:rPr>
          <w:color w:val="000000"/>
          <w:szCs w:val="21"/>
        </w:rPr>
        <w:t xml:space="preserve"> the potential drivers </w:t>
      </w:r>
      <w:r w:rsidR="002E7B81">
        <w:rPr>
          <w:color w:val="000000"/>
          <w:szCs w:val="21"/>
        </w:rPr>
        <w:t>of</w:t>
      </w:r>
      <w:r w:rsidR="00073326" w:rsidRPr="00A8076F">
        <w:rPr>
          <w:color w:val="000000"/>
          <w:szCs w:val="21"/>
        </w:rPr>
        <w:t xml:space="preserve"> this transmission across generations</w:t>
      </w:r>
      <w:r w:rsidR="00073326">
        <w:rPr>
          <w:color w:val="000000"/>
          <w:szCs w:val="21"/>
        </w:rPr>
        <w:t xml:space="preserve"> (Macmillan, 2013a, 2013b)</w:t>
      </w:r>
      <w:r w:rsidR="00073326" w:rsidRPr="00A8076F">
        <w:rPr>
          <w:color w:val="000000"/>
          <w:szCs w:val="21"/>
        </w:rPr>
        <w:t xml:space="preserve">. </w:t>
      </w:r>
      <w:r w:rsidR="002E7B81">
        <w:rPr>
          <w:color w:val="000000"/>
          <w:szCs w:val="21"/>
        </w:rPr>
        <w:t>This</w:t>
      </w:r>
      <w:r w:rsidR="00A87B41">
        <w:rPr>
          <w:color w:val="000000"/>
          <w:szCs w:val="21"/>
        </w:rPr>
        <w:t xml:space="preserve"> paper</w:t>
      </w:r>
      <w:r w:rsidR="00073326" w:rsidRPr="00A8076F">
        <w:rPr>
          <w:color w:val="000000"/>
          <w:szCs w:val="21"/>
        </w:rPr>
        <w:t xml:space="preserve"> starts at the beginning, focusing on the estimation of the simple </w:t>
      </w:r>
      <w:r w:rsidR="00A87B41">
        <w:rPr>
          <w:color w:val="000000"/>
          <w:szCs w:val="21"/>
        </w:rPr>
        <w:t xml:space="preserve">intergenerational relationship </w:t>
      </w:r>
      <w:r w:rsidR="00073326">
        <w:rPr>
          <w:color w:val="000000"/>
          <w:szCs w:val="21"/>
        </w:rPr>
        <w:t>and</w:t>
      </w:r>
      <w:r w:rsidR="002E7B81">
        <w:rPr>
          <w:color w:val="000000"/>
          <w:szCs w:val="21"/>
        </w:rPr>
        <w:t xml:space="preserve"> exploring</w:t>
      </w:r>
      <w:r w:rsidR="00073326">
        <w:rPr>
          <w:color w:val="000000"/>
          <w:szCs w:val="21"/>
        </w:rPr>
        <w:t xml:space="preserve"> the role that local labour markets play in this process</w:t>
      </w:r>
      <w:r w:rsidR="00073326" w:rsidRPr="00A8076F">
        <w:rPr>
          <w:color w:val="000000"/>
          <w:szCs w:val="21"/>
        </w:rPr>
        <w:t xml:space="preserve">. </w:t>
      </w:r>
      <w:r w:rsidR="001C1F65">
        <w:t>I use a persistent measure of worklessness</w:t>
      </w:r>
      <w:r w:rsidR="001C1F65" w:rsidRPr="00A8076F">
        <w:t xml:space="preserve">, particularly for the </w:t>
      </w:r>
      <w:r w:rsidR="001C1F65">
        <w:t>father</w:t>
      </w:r>
      <w:r w:rsidR="001C1F65" w:rsidRPr="00A8076F">
        <w:t xml:space="preserve">s’ generation, to capture </w:t>
      </w:r>
      <w:r w:rsidR="001C1F65">
        <w:t>the</w:t>
      </w:r>
      <w:r w:rsidR="001C1F65" w:rsidRPr="00A8076F">
        <w:t xml:space="preserve"> deep-rooted experience of </w:t>
      </w:r>
      <w:r w:rsidR="001C1F65">
        <w:t>long spells</w:t>
      </w:r>
      <w:r w:rsidR="001C1F65" w:rsidRPr="00A8076F">
        <w:t xml:space="preserve"> out of work rather than transitory shocks to employment. </w:t>
      </w:r>
      <w:r w:rsidR="001C1F65">
        <w:t xml:space="preserve">The aim is therefore to analyse the correlation between the labour market outcomes of </w:t>
      </w:r>
      <w:r w:rsidR="00B06802">
        <w:t>fathers and sons</w:t>
      </w:r>
      <w:r w:rsidR="001C1F65">
        <w:t xml:space="preserve"> for those families who experience the most sustained worklessness.</w:t>
      </w:r>
    </w:p>
    <w:p w:rsidR="006646DF" w:rsidRDefault="006646DF" w:rsidP="006646DF">
      <w:pPr>
        <w:spacing w:line="360" w:lineRule="auto"/>
        <w:jc w:val="both"/>
        <w:rPr>
          <w:rFonts w:eastAsiaTheme="minorEastAsia"/>
          <w:color w:val="000000"/>
          <w:szCs w:val="21"/>
          <w:lang w:eastAsia="zh-CN"/>
        </w:rPr>
      </w:pPr>
      <w:r>
        <w:rPr>
          <w:rFonts w:eastAsiaTheme="minorEastAsia"/>
          <w:color w:val="000000"/>
          <w:szCs w:val="21"/>
          <w:lang w:eastAsia="zh-CN"/>
        </w:rPr>
        <w:tab/>
        <w:t xml:space="preserve">The next section details the </w:t>
      </w:r>
      <w:r w:rsidR="0051768C">
        <w:rPr>
          <w:rFonts w:eastAsiaTheme="minorEastAsia"/>
          <w:color w:val="000000"/>
          <w:szCs w:val="21"/>
          <w:lang w:eastAsia="zh-CN"/>
        </w:rPr>
        <w:t>previous</w:t>
      </w:r>
      <w:r>
        <w:rPr>
          <w:rFonts w:eastAsiaTheme="minorEastAsia"/>
          <w:color w:val="000000"/>
          <w:szCs w:val="21"/>
          <w:lang w:eastAsia="zh-CN"/>
        </w:rPr>
        <w:t xml:space="preserve"> literature on intergenerational </w:t>
      </w:r>
      <w:r w:rsidR="00B06802">
        <w:rPr>
          <w:rFonts w:eastAsiaTheme="minorEastAsia"/>
          <w:color w:val="000000"/>
          <w:szCs w:val="21"/>
          <w:lang w:eastAsia="zh-CN"/>
        </w:rPr>
        <w:t xml:space="preserve">worklessness </w:t>
      </w:r>
      <w:r w:rsidR="00A827C5">
        <w:rPr>
          <w:rFonts w:eastAsiaTheme="minorEastAsia"/>
          <w:color w:val="000000"/>
          <w:szCs w:val="21"/>
          <w:lang w:eastAsia="zh-CN"/>
        </w:rPr>
        <w:t>while</w:t>
      </w:r>
      <w:r>
        <w:rPr>
          <w:rFonts w:eastAsiaTheme="minorEastAsia"/>
          <w:color w:val="000000"/>
          <w:szCs w:val="21"/>
          <w:lang w:eastAsia="zh-CN"/>
        </w:rPr>
        <w:t xml:space="preserve"> section three introduces the data and methodology. Section four presents</w:t>
      </w:r>
      <w:r w:rsidR="0051768C">
        <w:rPr>
          <w:rFonts w:eastAsiaTheme="minorEastAsia"/>
          <w:color w:val="000000"/>
          <w:szCs w:val="21"/>
          <w:lang w:eastAsia="zh-CN"/>
        </w:rPr>
        <w:t xml:space="preserve"> the</w:t>
      </w:r>
      <w:r>
        <w:rPr>
          <w:rFonts w:eastAsiaTheme="minorEastAsia"/>
          <w:color w:val="000000"/>
          <w:szCs w:val="21"/>
          <w:lang w:eastAsia="zh-CN"/>
        </w:rPr>
        <w:t xml:space="preserve"> results and I end with some brief conclusions. </w:t>
      </w:r>
    </w:p>
    <w:p w:rsidR="006646DF" w:rsidRDefault="006646DF" w:rsidP="006646DF">
      <w:pPr>
        <w:spacing w:line="360" w:lineRule="auto"/>
        <w:jc w:val="both"/>
        <w:rPr>
          <w:rFonts w:eastAsiaTheme="minorEastAsia"/>
          <w:color w:val="000000"/>
          <w:szCs w:val="21"/>
          <w:lang w:eastAsia="zh-CN"/>
        </w:rPr>
      </w:pPr>
    </w:p>
    <w:p w:rsidR="0051768C" w:rsidRDefault="0051768C" w:rsidP="00080DE1">
      <w:pPr>
        <w:pStyle w:val="ListParagraph"/>
        <w:numPr>
          <w:ilvl w:val="0"/>
          <w:numId w:val="2"/>
        </w:numPr>
        <w:spacing w:after="120" w:line="360" w:lineRule="auto"/>
        <w:jc w:val="both"/>
        <w:rPr>
          <w:rFonts w:eastAsiaTheme="minorEastAsia"/>
          <w:b/>
          <w:color w:val="000000"/>
          <w:szCs w:val="21"/>
          <w:lang w:eastAsia="zh-CN"/>
        </w:rPr>
      </w:pPr>
      <w:r>
        <w:rPr>
          <w:rFonts w:eastAsiaTheme="minorEastAsia"/>
          <w:b/>
          <w:color w:val="000000"/>
          <w:szCs w:val="21"/>
          <w:lang w:eastAsia="zh-CN"/>
        </w:rPr>
        <w:t>Related literature</w:t>
      </w:r>
    </w:p>
    <w:p w:rsidR="00F87C4E" w:rsidRDefault="0051768C" w:rsidP="00420E3D">
      <w:pPr>
        <w:spacing w:line="360" w:lineRule="auto"/>
        <w:jc w:val="both"/>
      </w:pPr>
      <w:r>
        <w:t xml:space="preserve">To date, there are </w:t>
      </w:r>
      <w:r w:rsidR="002C58A2">
        <w:t>only three studies that measure intergenerational worklessness</w:t>
      </w:r>
      <w:r>
        <w:t xml:space="preserve">, two from the UK and one from Norway. The two UK studies, by Johnson and Reed (1996) and O’Neill and </w:t>
      </w:r>
      <w:proofErr w:type="spellStart"/>
      <w:r>
        <w:t>Sweetman</w:t>
      </w:r>
      <w:proofErr w:type="spellEnd"/>
      <w:r>
        <w:t xml:space="preserve"> (1998) are from </w:t>
      </w:r>
      <w:r w:rsidR="00F87C4E">
        <w:t xml:space="preserve">well </w:t>
      </w:r>
      <w:r>
        <w:t xml:space="preserve">over a decade ago and use the only viable data that was </w:t>
      </w:r>
      <w:r w:rsidR="002C58A2">
        <w:t xml:space="preserve">available at the time for this </w:t>
      </w:r>
      <w:r>
        <w:t xml:space="preserve">research, the National Child Development Study (NCDS), a </w:t>
      </w:r>
      <w:r w:rsidR="002C58A2">
        <w:lastRenderedPageBreak/>
        <w:t>cohort born in 1958. The 1</w:t>
      </w:r>
      <w:r w:rsidR="002C58A2" w:rsidRPr="002C58A2">
        <w:rPr>
          <w:vertAlign w:val="superscript"/>
        </w:rPr>
        <w:t>st</w:t>
      </w:r>
      <w:r w:rsidR="002C58A2">
        <w:t xml:space="preserve"> generation of this cohort were observed in the late 1960s and early 1970s, a time when the UK labour market had a large manufacturing sector and was heavily unionised.</w:t>
      </w:r>
      <w:r>
        <w:t xml:space="preserve"> </w:t>
      </w:r>
      <w:r w:rsidR="002C58A2">
        <w:t>Since then the labour market has undergone a dramatic structural transformation with the virtual abandonment of mining and a large shift to service-based industries. It is difficult therefore to apply any of the finding</w:t>
      </w:r>
      <w:r w:rsidR="008432F6">
        <w:t>s</w:t>
      </w:r>
      <w:r w:rsidR="002C58A2">
        <w:t xml:space="preserve"> from </w:t>
      </w:r>
      <w:r w:rsidR="00420E3D">
        <w:t>these previous studies</w:t>
      </w:r>
      <w:r w:rsidR="002C58A2">
        <w:t xml:space="preserve"> to the current labour market context. </w:t>
      </w:r>
    </w:p>
    <w:p w:rsidR="00420E3D" w:rsidRPr="00420E3D" w:rsidRDefault="0051768C" w:rsidP="00F87C4E">
      <w:pPr>
        <w:spacing w:line="360" w:lineRule="auto"/>
        <w:ind w:firstLine="720"/>
        <w:jc w:val="both"/>
        <w:rPr>
          <w:rFonts w:eastAsiaTheme="minorEastAsia"/>
          <w:lang w:eastAsia="zh-CN"/>
        </w:rPr>
      </w:pPr>
      <w:r>
        <w:rPr>
          <w:color w:val="000000"/>
          <w:szCs w:val="21"/>
          <w:lang w:val="en-US"/>
        </w:rPr>
        <w:t xml:space="preserve">Johnson and Reed (1996) </w:t>
      </w:r>
      <w:r w:rsidR="008432F6">
        <w:rPr>
          <w:color w:val="000000"/>
          <w:szCs w:val="21"/>
          <w:lang w:val="en-US"/>
        </w:rPr>
        <w:t xml:space="preserve">found that </w:t>
      </w:r>
      <w:r>
        <w:rPr>
          <w:color w:val="000000"/>
          <w:szCs w:val="21"/>
          <w:lang w:val="en-US"/>
        </w:rPr>
        <w:t xml:space="preserve">sons with workless fathers are </w:t>
      </w:r>
      <w:r>
        <w:rPr>
          <w:rFonts w:eastAsiaTheme="minorEastAsia" w:hint="eastAsia"/>
          <w:color w:val="000000"/>
          <w:szCs w:val="21"/>
          <w:lang w:val="en-US" w:eastAsia="zh-CN"/>
        </w:rPr>
        <w:t>10 percentage points more (or twice as)</w:t>
      </w:r>
      <w:r>
        <w:rPr>
          <w:color w:val="000000"/>
          <w:szCs w:val="21"/>
          <w:lang w:val="en-US"/>
        </w:rPr>
        <w:t xml:space="preserve"> likely to </w:t>
      </w:r>
      <w:r>
        <w:rPr>
          <w:rFonts w:eastAsiaTheme="minorEastAsia" w:hint="eastAsia"/>
          <w:color w:val="000000"/>
          <w:szCs w:val="21"/>
          <w:lang w:val="en-US" w:eastAsia="zh-CN"/>
        </w:rPr>
        <w:t>spend a year or more workless from 23-33</w:t>
      </w:r>
      <w:r>
        <w:rPr>
          <w:color w:val="000000"/>
          <w:szCs w:val="21"/>
          <w:lang w:val="en-US"/>
        </w:rPr>
        <w:t xml:space="preserve"> than sons with employed fathe</w:t>
      </w:r>
      <w:r w:rsidR="00A827C5">
        <w:rPr>
          <w:color w:val="000000"/>
          <w:szCs w:val="21"/>
          <w:lang w:val="en-US"/>
        </w:rPr>
        <w:t>rs for a sample similar to that used here</w:t>
      </w:r>
      <w:r>
        <w:rPr>
          <w:color w:val="000000"/>
          <w:szCs w:val="21"/>
          <w:lang w:val="en-US"/>
        </w:rPr>
        <w:t xml:space="preserve"> for the NCDS</w:t>
      </w:r>
      <w:r>
        <w:t xml:space="preserve">. In O’Neill and </w:t>
      </w:r>
      <w:proofErr w:type="spellStart"/>
      <w:r>
        <w:t>Sweetman</w:t>
      </w:r>
      <w:proofErr w:type="spellEnd"/>
      <w:r>
        <w:t xml:space="preserve"> (1998) sons </w:t>
      </w:r>
      <w:r>
        <w:rPr>
          <w:rFonts w:eastAsiaTheme="minorEastAsia" w:hint="eastAsia"/>
          <w:lang w:eastAsia="zh-CN"/>
        </w:rPr>
        <w:t>are again twice as</w:t>
      </w:r>
      <w:r>
        <w:t xml:space="preserve"> likely to </w:t>
      </w:r>
      <w:r>
        <w:rPr>
          <w:rFonts w:eastAsiaTheme="minorEastAsia" w:hint="eastAsia"/>
          <w:lang w:eastAsia="zh-CN"/>
        </w:rPr>
        <w:t xml:space="preserve">experience any </w:t>
      </w:r>
      <w:r>
        <w:t>unemploy</w:t>
      </w:r>
      <w:r>
        <w:rPr>
          <w:rFonts w:eastAsiaTheme="minorEastAsia" w:hint="eastAsia"/>
          <w:lang w:eastAsia="zh-CN"/>
        </w:rPr>
        <w:t>ment</w:t>
      </w:r>
      <w:r>
        <w:t xml:space="preserve"> if they have a workless father </w:t>
      </w:r>
      <w:r>
        <w:rPr>
          <w:rFonts w:eastAsiaTheme="minorEastAsia" w:hint="eastAsia"/>
          <w:lang w:eastAsia="zh-CN"/>
        </w:rPr>
        <w:t xml:space="preserve">compared to an employed father. </w:t>
      </w:r>
      <w:r>
        <w:t xml:space="preserve">The only other survey that focuses on the intergenerational correlation in spells out of work is by </w:t>
      </w:r>
      <w:proofErr w:type="spellStart"/>
      <w:r>
        <w:t>Ekhaugen</w:t>
      </w:r>
      <w:proofErr w:type="spellEnd"/>
      <w:r>
        <w:t xml:space="preserve"> (2009) who uses Norwegian administrative data to consider the gap in the likelihood of experiencing unemployment spells in mid-20s between those children whose parents were unemployed and those children whose parents were employed.</w:t>
      </w:r>
      <w:r>
        <w:rPr>
          <w:color w:val="000000"/>
          <w:szCs w:val="21"/>
          <w:lang w:val="en-US"/>
        </w:rPr>
        <w:t xml:space="preserve"> In Norway, children with unemployed parents are 8-13</w:t>
      </w:r>
      <w:r>
        <w:rPr>
          <w:rFonts w:eastAsiaTheme="minorEastAsia" w:hint="eastAsia"/>
          <w:color w:val="000000"/>
          <w:szCs w:val="21"/>
          <w:lang w:val="en-US" w:eastAsia="zh-CN"/>
        </w:rPr>
        <w:t xml:space="preserve"> percentage points</w:t>
      </w:r>
      <w:r>
        <w:rPr>
          <w:color w:val="000000"/>
          <w:szCs w:val="21"/>
          <w:lang w:val="en-US"/>
        </w:rPr>
        <w:t xml:space="preserve"> more likely to experience unemployment themselves up to their mid-20s, giving an intergenerational correlation of around 0.10.</w:t>
      </w:r>
      <w:r w:rsidR="00E1308E">
        <w:rPr>
          <w:color w:val="000000"/>
          <w:szCs w:val="21"/>
          <w:lang w:val="en-US"/>
        </w:rPr>
        <w:t xml:space="preserve"> </w:t>
      </w:r>
      <w:proofErr w:type="spellStart"/>
      <w:r w:rsidR="00E1308E" w:rsidRPr="00A8076F">
        <w:t>Corak</w:t>
      </w:r>
      <w:proofErr w:type="spellEnd"/>
      <w:r w:rsidR="00E1308E" w:rsidRPr="00A8076F">
        <w:t xml:space="preserve">, </w:t>
      </w:r>
      <w:proofErr w:type="spellStart"/>
      <w:r w:rsidR="00E1308E" w:rsidRPr="00A8076F">
        <w:t>Gustafsson</w:t>
      </w:r>
      <w:proofErr w:type="spellEnd"/>
      <w:r w:rsidR="00E1308E" w:rsidRPr="00A8076F">
        <w:t xml:space="preserve"> and </w:t>
      </w:r>
      <w:proofErr w:type="spellStart"/>
      <w:r w:rsidR="00E1308E" w:rsidRPr="00A8076F">
        <w:t>Osterberg</w:t>
      </w:r>
      <w:proofErr w:type="spellEnd"/>
      <w:r w:rsidR="00E1308E" w:rsidRPr="00A8076F">
        <w:t xml:space="preserve"> (2000)</w:t>
      </w:r>
      <w:r w:rsidR="00E1308E">
        <w:t xml:space="preserve"> consider the related area of intergenerational unemployment insurance claims in Canada and Sweden across father-son pairs and find correlations in both countries of around 0.10</w:t>
      </w:r>
      <w:r w:rsidR="00E1308E">
        <w:rPr>
          <w:rStyle w:val="FootnoteReference"/>
        </w:rPr>
        <w:footnoteReference w:id="5"/>
      </w:r>
      <w:r w:rsidR="00E1308E">
        <w:t>.</w:t>
      </w:r>
    </w:p>
    <w:p w:rsidR="00A827C5" w:rsidRDefault="00420E3D" w:rsidP="00A827C5">
      <w:pPr>
        <w:spacing w:line="360" w:lineRule="auto"/>
        <w:jc w:val="both"/>
      </w:pPr>
      <w:r>
        <w:rPr>
          <w:color w:val="000000"/>
          <w:szCs w:val="21"/>
          <w:lang w:val="en-US"/>
        </w:rPr>
        <w:tab/>
      </w:r>
      <w:r w:rsidR="0051768C">
        <w:rPr>
          <w:color w:val="000000"/>
          <w:szCs w:val="21"/>
          <w:lang w:val="en-US"/>
        </w:rPr>
        <w:t xml:space="preserve"> </w:t>
      </w:r>
      <w:r>
        <w:rPr>
          <w:color w:val="000000"/>
          <w:szCs w:val="21"/>
          <w:lang w:val="en-US"/>
        </w:rPr>
        <w:t xml:space="preserve">The role of local </w:t>
      </w:r>
      <w:proofErr w:type="spellStart"/>
      <w:r>
        <w:rPr>
          <w:color w:val="000000"/>
          <w:szCs w:val="21"/>
          <w:lang w:val="en-US"/>
        </w:rPr>
        <w:t>labour</w:t>
      </w:r>
      <w:proofErr w:type="spellEnd"/>
      <w:r>
        <w:rPr>
          <w:color w:val="000000"/>
          <w:szCs w:val="21"/>
          <w:lang w:val="en-US"/>
        </w:rPr>
        <w:t xml:space="preserve"> markets in intergenerational </w:t>
      </w:r>
      <w:proofErr w:type="spellStart"/>
      <w:r>
        <w:rPr>
          <w:color w:val="000000"/>
          <w:szCs w:val="21"/>
          <w:lang w:val="en-US"/>
        </w:rPr>
        <w:t>worklessness</w:t>
      </w:r>
      <w:proofErr w:type="spellEnd"/>
      <w:r>
        <w:rPr>
          <w:color w:val="000000"/>
          <w:szCs w:val="21"/>
          <w:lang w:val="en-US"/>
        </w:rPr>
        <w:t xml:space="preserve"> has not yet been considered in any of the previous literature. </w:t>
      </w:r>
      <w:r w:rsidR="00040378">
        <w:rPr>
          <w:color w:val="000000"/>
          <w:szCs w:val="21"/>
          <w:lang w:val="en-US"/>
        </w:rPr>
        <w:t xml:space="preserve">An obvious </w:t>
      </w:r>
      <w:r w:rsidR="004516A0">
        <w:rPr>
          <w:color w:val="000000"/>
          <w:szCs w:val="21"/>
          <w:lang w:val="en-US"/>
        </w:rPr>
        <w:t xml:space="preserve">reason </w:t>
      </w:r>
      <w:r w:rsidR="00040378">
        <w:rPr>
          <w:color w:val="000000"/>
          <w:szCs w:val="21"/>
          <w:lang w:val="en-US"/>
        </w:rPr>
        <w:t xml:space="preserve">for an intergenerational </w:t>
      </w:r>
      <w:r w:rsidR="004516A0">
        <w:rPr>
          <w:color w:val="000000"/>
          <w:szCs w:val="21"/>
          <w:lang w:val="en-US"/>
        </w:rPr>
        <w:t>association</w:t>
      </w:r>
      <w:r w:rsidR="00040378">
        <w:rPr>
          <w:color w:val="000000"/>
          <w:szCs w:val="21"/>
          <w:lang w:val="en-US"/>
        </w:rPr>
        <w:t xml:space="preserve"> to arise is </w:t>
      </w:r>
      <w:r w:rsidR="004516A0">
        <w:rPr>
          <w:color w:val="000000"/>
          <w:szCs w:val="21"/>
          <w:lang w:val="en-US"/>
        </w:rPr>
        <w:t>that</w:t>
      </w:r>
      <w:r w:rsidR="00040378">
        <w:rPr>
          <w:color w:val="000000"/>
          <w:szCs w:val="21"/>
          <w:lang w:val="en-US"/>
        </w:rPr>
        <w:t xml:space="preserve"> fathers and sons </w:t>
      </w:r>
      <w:r w:rsidR="004516A0">
        <w:rPr>
          <w:color w:val="000000"/>
          <w:szCs w:val="21"/>
          <w:lang w:val="en-US"/>
        </w:rPr>
        <w:t xml:space="preserve">tend to work </w:t>
      </w:r>
      <w:r w:rsidR="00040378">
        <w:rPr>
          <w:color w:val="000000"/>
          <w:szCs w:val="21"/>
          <w:lang w:val="en-US"/>
        </w:rPr>
        <w:t xml:space="preserve">in the same local </w:t>
      </w:r>
      <w:proofErr w:type="spellStart"/>
      <w:r w:rsidR="00040378">
        <w:rPr>
          <w:color w:val="000000"/>
          <w:szCs w:val="21"/>
          <w:lang w:val="en-US"/>
        </w:rPr>
        <w:t>labour</w:t>
      </w:r>
      <w:proofErr w:type="spellEnd"/>
      <w:r w:rsidR="00040378">
        <w:rPr>
          <w:color w:val="000000"/>
          <w:szCs w:val="21"/>
          <w:lang w:val="en-US"/>
        </w:rPr>
        <w:t xml:space="preserve"> market. </w:t>
      </w:r>
      <w:r w:rsidR="00F87C4E">
        <w:rPr>
          <w:color w:val="000000"/>
          <w:szCs w:val="21"/>
          <w:lang w:val="en-US"/>
        </w:rPr>
        <w:t xml:space="preserve">Related work by </w:t>
      </w:r>
      <w:r w:rsidRPr="00A8076F">
        <w:t>Wilson (2009), Freeman</w:t>
      </w:r>
      <w:r>
        <w:t xml:space="preserve"> and Rodgers</w:t>
      </w:r>
      <w:r w:rsidRPr="00A8076F">
        <w:t xml:space="preserve"> (200</w:t>
      </w:r>
      <w:r>
        <w:t>0</w:t>
      </w:r>
      <w:r w:rsidRPr="00A8076F">
        <w:t>), List and</w:t>
      </w:r>
      <w:r w:rsidR="00F87C4E">
        <w:t xml:space="preserve"> </w:t>
      </w:r>
      <w:proofErr w:type="spellStart"/>
      <w:r w:rsidR="00F87C4E">
        <w:t>Rasul</w:t>
      </w:r>
      <w:proofErr w:type="spellEnd"/>
      <w:r w:rsidR="00F87C4E">
        <w:t xml:space="preserve"> (2010) and Li (2012) </w:t>
      </w:r>
      <w:r w:rsidR="00040378" w:rsidRPr="00A8076F">
        <w:t>illustrate</w:t>
      </w:r>
      <w:r w:rsidR="00F87C4E">
        <w:t>s</w:t>
      </w:r>
      <w:r w:rsidRPr="00A8076F">
        <w:t xml:space="preserve"> how employment experiences</w:t>
      </w:r>
      <w:r w:rsidR="00040378">
        <w:t xml:space="preserve"> of different groups vary across local labour market conditions</w:t>
      </w:r>
      <w:r w:rsidRPr="00A8076F">
        <w:t>.</w:t>
      </w:r>
      <w:r w:rsidR="00040378">
        <w:t xml:space="preserve"> </w:t>
      </w:r>
      <w:r w:rsidR="008432F6">
        <w:t>T</w:t>
      </w:r>
      <w:r w:rsidR="00040378">
        <w:t>hese studies show how</w:t>
      </w:r>
      <w:r w:rsidR="008432F6">
        <w:t xml:space="preserve">, across various strata of disadvantage including ethnicity, age and occupation, </w:t>
      </w:r>
      <w:r w:rsidR="00040378" w:rsidRPr="00A8076F">
        <w:t>those from the most disadvantaged groups</w:t>
      </w:r>
      <w:r w:rsidR="00040378">
        <w:t xml:space="preserve"> </w:t>
      </w:r>
      <w:r w:rsidR="00040378" w:rsidRPr="00A8076F">
        <w:t>are disproportionately affected by higher unemployment rates than those from other groups</w:t>
      </w:r>
      <w:r w:rsidR="00040378">
        <w:t xml:space="preserve">. This is the first research to apply this concept to intergenerational </w:t>
      </w:r>
      <w:r w:rsidR="00F87C4E">
        <w:t xml:space="preserve">analysis </w:t>
      </w:r>
      <w:r w:rsidR="00040378">
        <w:t xml:space="preserve">to assess whether the </w:t>
      </w:r>
      <w:r w:rsidR="00040378">
        <w:lastRenderedPageBreak/>
        <w:t xml:space="preserve">effect of disadvantage in this setting (having a workless father in childhood) leads to varied labour market responses across unemployment rates. </w:t>
      </w:r>
    </w:p>
    <w:p w:rsidR="0051768C" w:rsidRPr="0051768C" w:rsidRDefault="0051768C" w:rsidP="0051768C">
      <w:pPr>
        <w:spacing w:line="360" w:lineRule="auto"/>
        <w:jc w:val="both"/>
        <w:rPr>
          <w:rFonts w:eastAsiaTheme="minorEastAsia"/>
          <w:b/>
          <w:color w:val="000000"/>
          <w:szCs w:val="21"/>
          <w:lang w:eastAsia="zh-CN"/>
        </w:rPr>
      </w:pPr>
    </w:p>
    <w:p w:rsidR="00A827C5" w:rsidRDefault="00A827C5" w:rsidP="00080DE1">
      <w:pPr>
        <w:pStyle w:val="ListParagraph"/>
        <w:numPr>
          <w:ilvl w:val="0"/>
          <w:numId w:val="2"/>
        </w:numPr>
        <w:spacing w:after="120" w:line="360" w:lineRule="auto"/>
        <w:jc w:val="both"/>
        <w:rPr>
          <w:rFonts w:eastAsiaTheme="minorEastAsia"/>
          <w:b/>
          <w:color w:val="000000"/>
          <w:szCs w:val="21"/>
          <w:lang w:eastAsia="zh-CN"/>
        </w:rPr>
      </w:pPr>
      <w:r>
        <w:rPr>
          <w:rFonts w:eastAsiaTheme="minorEastAsia"/>
          <w:b/>
          <w:color w:val="000000"/>
          <w:szCs w:val="21"/>
          <w:lang w:eastAsia="zh-CN"/>
        </w:rPr>
        <w:t>Data and methodology</w:t>
      </w:r>
    </w:p>
    <w:p w:rsidR="007404F0" w:rsidRPr="007404F0" w:rsidRDefault="007404F0" w:rsidP="007404F0">
      <w:pPr>
        <w:pStyle w:val="ListParagraph"/>
        <w:numPr>
          <w:ilvl w:val="0"/>
          <w:numId w:val="5"/>
        </w:numPr>
        <w:spacing w:line="360" w:lineRule="auto"/>
        <w:jc w:val="both"/>
        <w:rPr>
          <w:rFonts w:eastAsiaTheme="minorEastAsia"/>
          <w:b/>
          <w:color w:val="000000"/>
          <w:szCs w:val="21"/>
          <w:lang w:eastAsia="zh-CN"/>
        </w:rPr>
      </w:pPr>
      <w:r>
        <w:rPr>
          <w:rFonts w:eastAsiaTheme="minorEastAsia"/>
          <w:b/>
          <w:color w:val="000000"/>
          <w:szCs w:val="21"/>
          <w:lang w:eastAsia="zh-CN"/>
        </w:rPr>
        <w:t>Intergenerational worklessness</w:t>
      </w:r>
    </w:p>
    <w:p w:rsidR="00A827C5" w:rsidRPr="00A8076F" w:rsidRDefault="00A827C5" w:rsidP="00A827C5">
      <w:pPr>
        <w:spacing w:line="360" w:lineRule="auto"/>
        <w:jc w:val="both"/>
      </w:pPr>
      <w:r w:rsidRPr="00A8076F">
        <w:t xml:space="preserve">In order to </w:t>
      </w:r>
      <w:r w:rsidR="007404F0">
        <w:t>estimate intergenerational worklessness,</w:t>
      </w:r>
      <w:r w:rsidRPr="00A8076F">
        <w:t xml:space="preserve"> </w:t>
      </w:r>
      <w:r w:rsidR="007404F0">
        <w:t xml:space="preserve">we would ideally </w:t>
      </w:r>
      <w:r w:rsidRPr="00A8076F">
        <w:t>measure the coefficient</w:t>
      </w:r>
      <w:r w:rsidR="001C1F65">
        <w:rPr>
          <w:rStyle w:val="FootnoteReference"/>
        </w:rPr>
        <w:footnoteReference w:id="6"/>
      </w:r>
      <w:r w:rsidRPr="00A8076F">
        <w:t xml:space="preserve"> beta from a reduced form </w:t>
      </w:r>
      <w:r>
        <w:t xml:space="preserve">ordinary least squares (OLS) </w:t>
      </w:r>
      <w:r w:rsidRPr="00A8076F">
        <w:t xml:space="preserve">regression of the son’s work history throughout their entire working adult life, </w:t>
      </w:r>
      <m:oMath>
        <m:sSubSup>
          <m:sSubSupPr>
            <m:ctrlPr>
              <w:rPr>
                <w:rFonts w:ascii="Cambria Math" w:hAnsi="Cambria Math"/>
                <w:i/>
              </w:rPr>
            </m:ctrlPr>
          </m:sSubSupPr>
          <m:e>
            <m:r>
              <w:rPr>
                <w:rFonts w:ascii="Cambria Math" w:hAnsi="Cambria Math"/>
              </w:rPr>
              <m:t>w</m:t>
            </m:r>
          </m:e>
          <m:sub>
            <m:r>
              <w:rPr>
                <w:rFonts w:ascii="Cambria Math" w:hAnsi="Cambria Math"/>
              </w:rPr>
              <m:t>i</m:t>
            </m:r>
          </m:sub>
          <m:sup>
            <m:sSup>
              <m:sSupPr>
                <m:ctrlPr>
                  <w:rPr>
                    <w:rFonts w:ascii="Cambria Math" w:hAnsi="Cambria Math"/>
                    <w:i/>
                  </w:rPr>
                </m:ctrlPr>
              </m:sSupPr>
              <m:e>
                <m:r>
                  <w:rPr>
                    <w:rFonts w:ascii="Cambria Math" w:hAnsi="Cambria Math"/>
                  </w:rPr>
                  <m:t>son</m:t>
                </m:r>
              </m:e>
              <m:sup>
                <m:r>
                  <w:rPr>
                    <w:rFonts w:ascii="Cambria Math" w:hAnsi="Cambria Math"/>
                  </w:rPr>
                  <m:t>*</m:t>
                </m:r>
              </m:sup>
            </m:sSup>
          </m:sup>
        </m:sSubSup>
      </m:oMath>
      <w:r w:rsidRPr="00A8076F">
        <w:t xml:space="preserve">, on their father’s work history throughout their entire working adult life, </w:t>
      </w:r>
      <m:oMath>
        <m:sSubSup>
          <m:sSubSupPr>
            <m:ctrlPr>
              <w:rPr>
                <w:rFonts w:ascii="Cambria Math" w:hAnsi="Cambria Math"/>
                <w:i/>
              </w:rPr>
            </m:ctrlPr>
          </m:sSubSupPr>
          <m:e>
            <m:r>
              <w:rPr>
                <w:rFonts w:ascii="Cambria Math" w:hAnsi="Cambria Math"/>
              </w:rPr>
              <m:t>w</m:t>
            </m:r>
          </m:e>
          <m:sub>
            <m:r>
              <w:rPr>
                <w:rFonts w:ascii="Cambria Math" w:hAnsi="Cambria Math"/>
              </w:rPr>
              <m:t>i</m:t>
            </m:r>
          </m:sub>
          <m:sup>
            <m:sSup>
              <m:sSupPr>
                <m:ctrlPr>
                  <w:rPr>
                    <w:rFonts w:ascii="Cambria Math" w:hAnsi="Cambria Math"/>
                    <w:i/>
                  </w:rPr>
                </m:ctrlPr>
              </m:sSupPr>
              <m:e>
                <m:r>
                  <w:rPr>
                    <w:rFonts w:ascii="Cambria Math" w:hAnsi="Cambria Math"/>
                  </w:rPr>
                  <m:t>father</m:t>
                </m:r>
              </m:e>
              <m:sup>
                <m:r>
                  <w:rPr>
                    <w:rFonts w:ascii="Cambria Math" w:hAnsi="Cambria Math"/>
                  </w:rPr>
                  <m:t>*</m:t>
                </m:r>
              </m:sup>
            </m:sSup>
          </m:sup>
        </m:sSubSup>
      </m:oMath>
      <w:r w:rsidRPr="00A8076F">
        <w:t>.</w:t>
      </w:r>
      <w:r w:rsidR="00182A5B">
        <w:t xml:space="preserve"> T</w:t>
      </w:r>
      <w:r w:rsidR="00182A5B" w:rsidRPr="00A8076F">
        <w:t xml:space="preserve">his </w:t>
      </w:r>
      <w:r w:rsidR="00182A5B">
        <w:t xml:space="preserve">analysis is </w:t>
      </w:r>
      <w:r w:rsidR="00182A5B" w:rsidRPr="00A8076F">
        <w:t xml:space="preserve">restricted to </w:t>
      </w:r>
      <w:r w:rsidR="00182A5B">
        <w:t>fathers and sons only to avoid the complication of modelling women’s participation decisions.</w:t>
      </w:r>
      <w:r w:rsidR="00182A5B">
        <w:tab/>
      </w:r>
    </w:p>
    <w:p w:rsidR="00A827C5" w:rsidRPr="00A8076F" w:rsidRDefault="00A827C5" w:rsidP="00A827C5">
      <w:pPr>
        <w:spacing w:line="360" w:lineRule="auto"/>
        <w:jc w:val="both"/>
      </w:pPr>
    </w:p>
    <w:p w:rsidR="00A827C5" w:rsidRPr="00A8076F" w:rsidRDefault="00365423" w:rsidP="00A827C5">
      <w:pPr>
        <w:spacing w:line="360" w:lineRule="auto"/>
        <w:jc w:val="both"/>
      </w:pPr>
      <m:oMath>
        <m:sSubSup>
          <m:sSubSupPr>
            <m:ctrlPr>
              <w:rPr>
                <w:rFonts w:ascii="Cambria Math" w:hAnsi="Cambria Math"/>
                <w:i/>
              </w:rPr>
            </m:ctrlPr>
          </m:sSubSupPr>
          <m:e>
            <m:r>
              <w:rPr>
                <w:rFonts w:ascii="Cambria Math" w:hAnsi="Cambria Math"/>
              </w:rPr>
              <m:t>w</m:t>
            </m:r>
          </m:e>
          <m:sub>
            <m:r>
              <w:rPr>
                <w:rFonts w:ascii="Cambria Math" w:hAnsi="Cambria Math"/>
              </w:rPr>
              <m:t>i</m:t>
            </m:r>
          </m:sub>
          <m:sup>
            <m:sSup>
              <m:sSupPr>
                <m:ctrlPr>
                  <w:rPr>
                    <w:rFonts w:ascii="Cambria Math" w:hAnsi="Cambria Math"/>
                    <w:i/>
                  </w:rPr>
                </m:ctrlPr>
              </m:sSupPr>
              <m:e>
                <m:r>
                  <w:rPr>
                    <w:rFonts w:ascii="Cambria Math" w:hAnsi="Cambria Math"/>
                  </w:rPr>
                  <m:t>son</m:t>
                </m:r>
              </m:e>
              <m:sup>
                <m:r>
                  <w:rPr>
                    <w:rFonts w:ascii="Cambria Math" w:hAnsi="Cambria Math"/>
                  </w:rPr>
                  <m:t>*</m:t>
                </m:r>
              </m:sup>
            </m:sSup>
          </m:sup>
        </m:sSubSup>
        <m:r>
          <w:rPr>
            <w:rFonts w:ascii="Cambria Math" w:hAnsi="Cambria Math"/>
          </w:rPr>
          <m:t>=α+β</m:t>
        </m:r>
        <m:sSubSup>
          <m:sSubSupPr>
            <m:ctrlPr>
              <w:rPr>
                <w:rFonts w:ascii="Cambria Math" w:hAnsi="Cambria Math"/>
                <w:i/>
              </w:rPr>
            </m:ctrlPr>
          </m:sSubSupPr>
          <m:e>
            <m:r>
              <w:rPr>
                <w:rFonts w:ascii="Cambria Math" w:hAnsi="Cambria Math"/>
              </w:rPr>
              <m:t>w</m:t>
            </m:r>
          </m:e>
          <m:sub>
            <m:r>
              <w:rPr>
                <w:rFonts w:ascii="Cambria Math" w:hAnsi="Cambria Math"/>
              </w:rPr>
              <m:t>i</m:t>
            </m:r>
          </m:sub>
          <m:sup>
            <m:sSup>
              <m:sSupPr>
                <m:ctrlPr>
                  <w:rPr>
                    <w:rFonts w:ascii="Cambria Math" w:hAnsi="Cambria Math"/>
                    <w:i/>
                  </w:rPr>
                </m:ctrlPr>
              </m:sSupPr>
              <m:e>
                <m:r>
                  <w:rPr>
                    <w:rFonts w:ascii="Cambria Math" w:hAnsi="Cambria Math"/>
                  </w:rPr>
                  <m:t>father</m:t>
                </m:r>
              </m:e>
              <m:sup>
                <m:r>
                  <w:rPr>
                    <w:rFonts w:ascii="Cambria Math" w:hAnsi="Cambria Math"/>
                  </w:rPr>
                  <m:t>*</m:t>
                </m:r>
              </m:sup>
            </m:sSup>
          </m:sup>
        </m:sSub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i1</m:t>
            </m:r>
          </m:sub>
        </m:sSub>
      </m:oMath>
      <w:r w:rsidR="00A827C5">
        <w:tab/>
      </w:r>
      <w:r w:rsidR="00A827C5">
        <w:tab/>
      </w:r>
      <w:r w:rsidR="00A827C5">
        <w:tab/>
      </w:r>
      <w:r w:rsidR="00A827C5">
        <w:tab/>
      </w:r>
      <w:r w:rsidR="00A827C5">
        <w:tab/>
      </w:r>
      <w:r w:rsidR="00A827C5">
        <w:tab/>
      </w:r>
      <w:r w:rsidR="00A827C5">
        <w:tab/>
      </w:r>
      <w:r w:rsidR="00A827C5">
        <w:tab/>
        <w:t>(</w:t>
      </w:r>
      <w:r w:rsidR="00A827C5" w:rsidRPr="00A8076F">
        <w:t>1)</w:t>
      </w:r>
    </w:p>
    <w:p w:rsidR="00A827C5" w:rsidRPr="00A8076F" w:rsidRDefault="00A827C5" w:rsidP="00A827C5">
      <w:pPr>
        <w:spacing w:line="360" w:lineRule="auto"/>
        <w:jc w:val="both"/>
      </w:pPr>
    </w:p>
    <w:p w:rsidR="00251D6B" w:rsidRPr="00A8076F" w:rsidRDefault="00251D6B" w:rsidP="00251D6B">
      <w:pPr>
        <w:spacing w:line="360" w:lineRule="auto"/>
        <w:jc w:val="both"/>
      </w:pPr>
      <w:r w:rsidRPr="00A8076F">
        <w:t xml:space="preserve">Three </w:t>
      </w:r>
      <w:r w:rsidR="00DC56C5">
        <w:t>main</w:t>
      </w:r>
      <w:r w:rsidRPr="00A8076F">
        <w:t xml:space="preserve"> data sources are used for this analysis, each with thei</w:t>
      </w:r>
      <w:r w:rsidR="00182A5B">
        <w:t xml:space="preserve">r own strengths and weaknesses. </w:t>
      </w:r>
      <w:r w:rsidRPr="00A8076F">
        <w:t xml:space="preserve">The two British birth cohort studies, the National Child Development Survey (NCDS) of all individuals born in </w:t>
      </w:r>
      <w:r>
        <w:t xml:space="preserve">Great Britain in </w:t>
      </w:r>
      <w:r w:rsidRPr="00A8076F">
        <w:t xml:space="preserve">one week in March, 1958, and the British Cohort Study (BCS) of all individuals born in </w:t>
      </w:r>
      <w:r>
        <w:t xml:space="preserve">Great Britain in </w:t>
      </w:r>
      <w:r w:rsidRPr="00A8076F">
        <w:t>one week in April 1970 are familiar datasets within the intergenerational mobility literature given their longitudinal nature. The British Household Panel Survey (BHPS) is beginning to be used in this context as the 2</w:t>
      </w:r>
      <w:r w:rsidRPr="00A8076F">
        <w:rPr>
          <w:vertAlign w:val="superscript"/>
        </w:rPr>
        <w:t>nd</w:t>
      </w:r>
      <w:r w:rsidRPr="00A8076F">
        <w:t xml:space="preserve"> generation age into adulthood</w:t>
      </w:r>
      <w:r>
        <w:t xml:space="preserve"> (Gregg and Macmillan, 2010)</w:t>
      </w:r>
      <w:r w:rsidRPr="00A8076F">
        <w:t xml:space="preserve">. </w:t>
      </w:r>
      <w:r w:rsidR="00D82A51">
        <w:t xml:space="preserve">Sons from the BCS and BHPS entered into the labour market from the late 1980s onwards; after the major structural reforms of the 1980s had taken place. These sources therefore provide </w:t>
      </w:r>
      <w:r w:rsidR="00366F56">
        <w:t xml:space="preserve">the most up-to-date </w:t>
      </w:r>
      <w:r w:rsidR="00D82A51">
        <w:t>estimates of intergenerational worklessness in the UK</w:t>
      </w:r>
      <w:r w:rsidR="00366F56">
        <w:t>, more representative of the current situation compared to previous estimates</w:t>
      </w:r>
      <w:r w:rsidR="00D82A51">
        <w:t xml:space="preserve">. </w:t>
      </w:r>
      <w:r w:rsidRPr="00A8076F">
        <w:t>The BHPS, unlike the cohort studies, is structured as a panel of households with all individuals within a survey household entering into the survey as they reach the age of 16. Individuals are then followed as they start their own households and new members entering into the new households also form part of the survey. The cohort studies, by contrast, follow the same individuals across their</w:t>
      </w:r>
      <w:r>
        <w:t xml:space="preserve"> lifetimes at various ages including </w:t>
      </w:r>
      <w:r w:rsidRPr="00A8076F">
        <w:t>questions directed to the parents of cohort members throughout their childhood.</w:t>
      </w:r>
      <w:r w:rsidR="00F87C4E">
        <w:t xml:space="preserve"> The sample available in the cohort studies is therefore far larger (ten times) than that available in the BHPS’s household data structure.</w:t>
      </w:r>
      <w:r w:rsidR="00182A5B">
        <w:t xml:space="preserve"> </w:t>
      </w:r>
    </w:p>
    <w:p w:rsidR="00251D6B" w:rsidRDefault="00A827C5" w:rsidP="00251D6B">
      <w:pPr>
        <w:spacing w:line="360" w:lineRule="auto"/>
        <w:ind w:firstLine="720"/>
        <w:jc w:val="both"/>
      </w:pPr>
      <w:r w:rsidRPr="00A8076F">
        <w:lastRenderedPageBreak/>
        <w:t>As in the earnings mobility literature</w:t>
      </w:r>
      <w:r w:rsidR="00840A56">
        <w:t>,</w:t>
      </w:r>
      <w:r w:rsidRPr="00A8076F">
        <w:t xml:space="preserve"> the aim</w:t>
      </w:r>
      <w:r w:rsidR="00251D6B">
        <w:t xml:space="preserve"> when estimating</w:t>
      </w:r>
      <w:r w:rsidR="00840A56">
        <w:t xml:space="preserve"> intergenerational worklessness</w:t>
      </w:r>
      <w:r w:rsidRPr="00A8076F">
        <w:t xml:space="preserve"> is to capture as close to a lifetime estimation of the intergenerational coefficient as is possible. </w:t>
      </w:r>
      <w:r>
        <w:t>However, in reality the data available has severe limitations</w:t>
      </w:r>
      <w:r w:rsidR="00251D6B">
        <w:t>.</w:t>
      </w:r>
      <w:r w:rsidR="00251D6B" w:rsidRPr="00A8076F">
        <w:t xml:space="preserve"> In the BHPS, continuous work histories are available</w:t>
      </w:r>
      <w:r w:rsidR="00840A56">
        <w:t xml:space="preserve"> </w:t>
      </w:r>
      <w:r w:rsidR="00251D6B" w:rsidRPr="00A8076F">
        <w:t>(</w:t>
      </w:r>
      <w:proofErr w:type="spellStart"/>
      <w:r w:rsidR="00251D6B" w:rsidRPr="00A8076F">
        <w:t>Halpin</w:t>
      </w:r>
      <w:proofErr w:type="spellEnd"/>
      <w:r w:rsidR="00251D6B" w:rsidRPr="00A8076F">
        <w:t xml:space="preserve">, 1997) from 1990 until 2005. </w:t>
      </w:r>
      <w:r w:rsidR="00251D6B">
        <w:t>I</w:t>
      </w:r>
      <w:r w:rsidR="00251D6B" w:rsidRPr="00A8076F">
        <w:t>nformation</w:t>
      </w:r>
      <w:r w:rsidR="00251D6B">
        <w:t xml:space="preserve"> on </w:t>
      </w:r>
      <w:r w:rsidR="00251D6B" w:rsidRPr="00A8076F">
        <w:t>the employment status</w:t>
      </w:r>
      <w:r w:rsidR="00251D6B">
        <w:t xml:space="preserve"> of the individual</w:t>
      </w:r>
      <w:r w:rsidR="00251D6B" w:rsidRPr="00A8076F">
        <w:t xml:space="preserve"> at the time of interview, throughout the </w:t>
      </w:r>
      <w:r w:rsidR="00251D6B">
        <w:t>previous</w:t>
      </w:r>
      <w:r w:rsidR="00251D6B" w:rsidRPr="00A8076F">
        <w:t xml:space="preserve"> year and retrospective data, limited here to 1975 onwards, are </w:t>
      </w:r>
      <w:r w:rsidR="00251D6B">
        <w:t xml:space="preserve">used </w:t>
      </w:r>
      <w:r w:rsidR="00251D6B" w:rsidRPr="00A8076F">
        <w:t xml:space="preserve">to </w:t>
      </w:r>
      <w:r w:rsidR="00251D6B">
        <w:t>create</w:t>
      </w:r>
      <w:r w:rsidR="00251D6B" w:rsidRPr="00A8076F">
        <w:t xml:space="preserve"> episodes</w:t>
      </w:r>
      <w:r w:rsidR="00251D6B">
        <w:t xml:space="preserve"> of work history</w:t>
      </w:r>
      <w:r w:rsidR="00251D6B" w:rsidRPr="00A8076F">
        <w:t xml:space="preserve"> throughout </w:t>
      </w:r>
      <w:r w:rsidR="00840A56">
        <w:t>the</w:t>
      </w:r>
      <w:r w:rsidR="00251D6B" w:rsidRPr="00A8076F">
        <w:t xml:space="preserve"> adult lives</w:t>
      </w:r>
      <w:r w:rsidR="00840A56">
        <w:t xml:space="preserve"> of both fathers and sons</w:t>
      </w:r>
      <w:r w:rsidR="00251D6B" w:rsidRPr="00A8076F">
        <w:t>.</w:t>
      </w:r>
      <w:r w:rsidR="00840A56">
        <w:t xml:space="preserve"> However given the panel structure of the data, the sons are young and work histories are only available for their early working lives.</w:t>
      </w:r>
      <w:r w:rsidR="00251D6B" w:rsidRPr="00A8076F">
        <w:t xml:space="preserve"> In the cohort studies, the employment status of the fathers is</w:t>
      </w:r>
      <w:r w:rsidR="00840A56">
        <w:t xml:space="preserve"> only</w:t>
      </w:r>
      <w:r w:rsidR="00251D6B" w:rsidRPr="00A8076F">
        <w:t xml:space="preserve"> observed at two discrete points in time, when the cohort member (son) is age 11 (1969) and 16 (1974) in the NCDS and 10 (1980) and 16 (1986) in the BCS. For the 2</w:t>
      </w:r>
      <w:r w:rsidR="00251D6B" w:rsidRPr="00A8076F">
        <w:rPr>
          <w:vertAlign w:val="superscript"/>
        </w:rPr>
        <w:t>nd</w:t>
      </w:r>
      <w:r w:rsidR="00251D6B" w:rsidRPr="00A8076F">
        <w:t xml:space="preserve"> generation, the cohort studies provide monthly work history data from 16-42 in the NCDS and 16-29 in the BCS (Galindo-</w:t>
      </w:r>
      <w:proofErr w:type="spellStart"/>
      <w:r w:rsidR="00251D6B" w:rsidRPr="00A8076F">
        <w:t>Rueda</w:t>
      </w:r>
      <w:proofErr w:type="spellEnd"/>
      <w:r w:rsidR="00251D6B" w:rsidRPr="00A8076F">
        <w:t xml:space="preserve">, 2002). </w:t>
      </w:r>
      <w:r w:rsidR="00251D6B">
        <w:t>W</w:t>
      </w:r>
      <w:r>
        <w:t xml:space="preserve">e are therefore restricted to estimating the </w:t>
      </w:r>
      <w:r w:rsidR="00F87C4E">
        <w:t>association between</w:t>
      </w:r>
      <w:r>
        <w:t xml:space="preserve"> </w:t>
      </w:r>
      <w:r w:rsidR="00251D6B">
        <w:t xml:space="preserve">fathers’ </w:t>
      </w:r>
      <w:r>
        <w:t xml:space="preserve">workless </w:t>
      </w:r>
      <w:r w:rsidR="00251D6B">
        <w:t>spells from s</w:t>
      </w:r>
      <w:r>
        <w:t>hort-windows of work history data</w:t>
      </w:r>
      <w:proofErr w:type="gramStart"/>
      <w:r w:rsidR="00251D6B">
        <w:t xml:space="preserve">, </w:t>
      </w:r>
      <m:oMath>
        <w:proofErr w:type="gramEnd"/>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father</m:t>
            </m:r>
          </m:sup>
        </m:sSubSup>
      </m:oMath>
      <w:r w:rsidR="00251D6B">
        <w:t>,</w:t>
      </w:r>
      <w:r w:rsidR="00F87C4E">
        <w:t xml:space="preserve"> and</w:t>
      </w:r>
      <w:r>
        <w:t xml:space="preserve"> the </w:t>
      </w:r>
      <w:r w:rsidR="00251D6B">
        <w:t>sons</w:t>
      </w:r>
      <w:r>
        <w:t>’</w:t>
      </w:r>
      <w:r w:rsidR="00251D6B">
        <w:t xml:space="preserve"> workless experience </w:t>
      </w:r>
      <w:r w:rsidR="00F87C4E">
        <w:t xml:space="preserve">also </w:t>
      </w:r>
      <w:r w:rsidR="00251D6B">
        <w:t>from</w:t>
      </w:r>
      <w:r>
        <w:t xml:space="preserve"> short-windows of data</w:t>
      </w:r>
      <w:r w:rsidR="00251D6B">
        <w:t xml:space="preserve">, </w:t>
      </w: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son</m:t>
            </m:r>
          </m:sup>
        </m:sSubSup>
      </m:oMath>
      <w:r>
        <w:t xml:space="preserve">. </w:t>
      </w:r>
    </w:p>
    <w:p w:rsidR="00251D6B" w:rsidRDefault="00251D6B" w:rsidP="00A827C5">
      <w:pPr>
        <w:spacing w:line="360" w:lineRule="auto"/>
        <w:jc w:val="both"/>
      </w:pPr>
    </w:p>
    <w:p w:rsidR="00251D6B" w:rsidRPr="00A8076F" w:rsidRDefault="00365423" w:rsidP="00251D6B">
      <w:pPr>
        <w:spacing w:line="360" w:lineRule="auto"/>
        <w:jc w:val="both"/>
      </w:p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son</m:t>
            </m:r>
          </m:sup>
        </m:sSubSup>
        <m:r>
          <w:rPr>
            <w:rFonts w:ascii="Cambria Math" w:hAnsi="Cambria Math"/>
          </w:rPr>
          <m:t>=α+β</m:t>
        </m:r>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father</m:t>
            </m:r>
          </m:sup>
        </m:sSub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i2</m:t>
            </m:r>
          </m:sub>
        </m:sSub>
      </m:oMath>
      <w:r w:rsidR="00251D6B">
        <w:tab/>
      </w:r>
      <w:r w:rsidR="00251D6B">
        <w:tab/>
      </w:r>
      <w:r w:rsidR="00251D6B">
        <w:tab/>
      </w:r>
      <w:r w:rsidR="00251D6B">
        <w:tab/>
      </w:r>
      <w:r w:rsidR="00251D6B">
        <w:tab/>
      </w:r>
      <w:r w:rsidR="00251D6B">
        <w:tab/>
      </w:r>
      <w:r w:rsidR="00251D6B">
        <w:tab/>
      </w:r>
      <w:r w:rsidR="00251D6B">
        <w:tab/>
      </w:r>
      <w:r w:rsidR="00251D6B">
        <w:tab/>
        <w:t>(2</w:t>
      </w:r>
      <w:r w:rsidR="00251D6B" w:rsidRPr="00A8076F">
        <w:t>)</w:t>
      </w:r>
    </w:p>
    <w:p w:rsidR="00251D6B" w:rsidRDefault="00251D6B" w:rsidP="00A827C5">
      <w:pPr>
        <w:spacing w:line="360" w:lineRule="auto"/>
        <w:jc w:val="both"/>
      </w:pPr>
    </w:p>
    <w:p w:rsidR="00C40C04" w:rsidRDefault="00A827C5" w:rsidP="00251D6B">
      <w:pPr>
        <w:spacing w:line="360" w:lineRule="auto"/>
        <w:jc w:val="both"/>
      </w:pPr>
      <w:r>
        <w:t>This introduces two types of measurement error into the estimation</w:t>
      </w:r>
      <w:r w:rsidR="00251D6B">
        <w:t>,</w:t>
      </w:r>
      <w:r>
        <w:t xml:space="preserve"> previously explored in the intergenerational </w:t>
      </w:r>
      <w:r w:rsidR="008E3CBB">
        <w:t xml:space="preserve">income </w:t>
      </w:r>
      <w:r>
        <w:t xml:space="preserve">mobility literature: measurement error and life-cycle bias. </w:t>
      </w:r>
      <w:r w:rsidR="00AD3CA4">
        <w:t>M</w:t>
      </w:r>
      <w:r w:rsidR="00840A56">
        <w:t xml:space="preserve">easurement error </w:t>
      </w:r>
      <w:r w:rsidR="00182A5B">
        <w:t>arises from the fact that point-in-time observations are likely to measure lifetime work experiences with error</w:t>
      </w:r>
      <w:r w:rsidR="00EF27BB">
        <w:t xml:space="preserve"> (as discussed in Page, 2004)</w:t>
      </w:r>
      <w:r w:rsidR="00182A5B">
        <w:t xml:space="preserve">. This </w:t>
      </w:r>
      <w:r w:rsidR="00840A56">
        <w:t xml:space="preserve">may be particularly problematic in the cohort studies with only two measures of fathers’ employment status. </w:t>
      </w:r>
      <w:r w:rsidR="00182A5B">
        <w:t xml:space="preserve">As the period of observation increases, the extent of this error will decline as we move towards more complete lifetime work experiences. </w:t>
      </w:r>
      <w:r w:rsidR="00840A56">
        <w:t xml:space="preserve">To quantify the potential scale of measurement error, </w:t>
      </w:r>
      <w:r w:rsidR="00B9767B">
        <w:t>estimates of intergenerational worklessness using a longer-window measure</w:t>
      </w:r>
      <w:r w:rsidR="00DC56C5" w:rsidRPr="00A8076F">
        <w:t xml:space="preserve"> of employment status</w:t>
      </w:r>
      <w:r w:rsidR="00B9767B">
        <w:t>,</w:t>
      </w:r>
      <w:r w:rsidR="00DC56C5" w:rsidRPr="00A8076F">
        <w:t xml:space="preserve"> available for </w:t>
      </w:r>
      <w:r w:rsidR="00DC56C5">
        <w:t>fathers in the BHPS</w:t>
      </w:r>
      <w:r w:rsidR="00DC56C5" w:rsidRPr="00A8076F">
        <w:rPr>
          <w:rStyle w:val="FootnoteReference"/>
        </w:rPr>
        <w:footnoteReference w:id="7"/>
      </w:r>
      <w:r w:rsidR="00B9767B">
        <w:t>, can be compared</w:t>
      </w:r>
      <w:r w:rsidR="00DC56C5">
        <w:t xml:space="preserve"> to</w:t>
      </w:r>
      <w:r w:rsidR="00B9767B">
        <w:t xml:space="preserve"> estimates using</w:t>
      </w:r>
      <w:r w:rsidR="00DC56C5">
        <w:t xml:space="preserve"> a short-windo</w:t>
      </w:r>
      <w:r w:rsidR="00DC56C5" w:rsidRPr="00A8076F">
        <w:t xml:space="preserve">w, </w:t>
      </w:r>
      <w:r w:rsidR="00912358">
        <w:t xml:space="preserve">which are </w:t>
      </w:r>
      <w:r w:rsidR="0012240C" w:rsidRPr="00A8076F">
        <w:t>constructed</w:t>
      </w:r>
      <w:r w:rsidR="00DC56C5" w:rsidRPr="00A8076F">
        <w:t xml:space="preserve"> to replicate those available in the NCDS</w:t>
      </w:r>
      <w:r w:rsidR="00B9767B">
        <w:t xml:space="preserve"> and BCS as closely as possible.</w:t>
      </w:r>
      <w:r w:rsidR="00DC56C5" w:rsidRPr="00A8076F">
        <w:t xml:space="preserve"> </w:t>
      </w:r>
    </w:p>
    <w:p w:rsidR="00A827C5" w:rsidRDefault="005E00E3" w:rsidP="00AC20D0">
      <w:pPr>
        <w:spacing w:line="360" w:lineRule="auto"/>
        <w:ind w:firstLine="720"/>
        <w:jc w:val="both"/>
      </w:pPr>
      <w:r>
        <w:t xml:space="preserve">Life-cycle bias arises from differential work experiences of those from workless families and those from employed families at different ages. </w:t>
      </w:r>
      <w:r w:rsidR="00C40C04">
        <w:t>I</w:t>
      </w:r>
      <w:r w:rsidR="00C40C04" w:rsidRPr="00A8076F">
        <w:t xml:space="preserve">n the intergenerational mobility </w:t>
      </w:r>
      <w:r w:rsidR="00C40C04" w:rsidRPr="00A8076F">
        <w:lastRenderedPageBreak/>
        <w:t>literature</w:t>
      </w:r>
      <w:r w:rsidR="00C40C04">
        <w:t>,</w:t>
      </w:r>
      <w:r w:rsidR="00C40C04" w:rsidRPr="00A8076F">
        <w:t xml:space="preserve"> </w:t>
      </w:r>
      <w:r w:rsidR="00C40C04">
        <w:t>life-cycle bias is modelled by</w:t>
      </w:r>
      <w:r w:rsidR="00C40C04" w:rsidRPr="00A8076F">
        <w:t xml:space="preserve"> analysing age-earnings profiles across time (</w:t>
      </w:r>
      <w:proofErr w:type="spellStart"/>
      <w:r w:rsidR="00E1308E">
        <w:t>Haider</w:t>
      </w:r>
      <w:proofErr w:type="spellEnd"/>
      <w:r w:rsidR="00E1308E">
        <w:t xml:space="preserve"> and </w:t>
      </w:r>
      <w:proofErr w:type="spellStart"/>
      <w:r w:rsidR="00E1308E">
        <w:t>Solon</w:t>
      </w:r>
      <w:proofErr w:type="spellEnd"/>
      <w:r w:rsidR="00E1308E">
        <w:t xml:space="preserve">, 2006, </w:t>
      </w:r>
      <w:proofErr w:type="spellStart"/>
      <w:r w:rsidR="00C40C04" w:rsidRPr="00A8076F">
        <w:t>Grawe</w:t>
      </w:r>
      <w:proofErr w:type="spellEnd"/>
      <w:r w:rsidR="00C40C04" w:rsidRPr="00A8076F">
        <w:t>, 2006). To assess the life-cycle trajectory of workless spells, a quasi-cohort analysis of workless experiences is considered from a nationally representative data source</w:t>
      </w:r>
      <w:r w:rsidR="00C40C04">
        <w:t>, the Labour Force Survey (LFS),</w:t>
      </w:r>
      <w:r w:rsidR="00C40C04" w:rsidRPr="00A8076F">
        <w:t xml:space="preserve"> from 1992 </w:t>
      </w:r>
      <w:r w:rsidR="00C40C04">
        <w:t>to</w:t>
      </w:r>
      <w:r w:rsidR="00C40C04" w:rsidRPr="00A8076F">
        <w:t xml:space="preserve"> 2010</w:t>
      </w:r>
      <w:r w:rsidR="00C40C04">
        <w:t xml:space="preserve">. </w:t>
      </w:r>
      <w:r w:rsidR="00C40C04" w:rsidRPr="00A8076F">
        <w:t>The workless status of the father is unavailable and so the population is divided by educational attainment as a proxy for workless and non-workless families</w:t>
      </w:r>
      <w:r w:rsidR="00E94118">
        <w:rPr>
          <w:rStyle w:val="FootnoteReference"/>
        </w:rPr>
        <w:footnoteReference w:id="8"/>
      </w:r>
      <w:r w:rsidR="00C40C04" w:rsidRPr="00A8076F">
        <w:t>.</w:t>
      </w:r>
      <w:r w:rsidR="00C40C04">
        <w:t xml:space="preserve"> The sample is split</w:t>
      </w:r>
      <w:r w:rsidR="00C40C04" w:rsidRPr="00A8076F">
        <w:t xml:space="preserve"> into low and high</w:t>
      </w:r>
      <w:r w:rsidR="00C40C04">
        <w:t>-</w:t>
      </w:r>
      <w:r w:rsidR="00C40C04" w:rsidRPr="00A8076F">
        <w:t xml:space="preserve">educated males by their highest qualification with low education defined as </w:t>
      </w:r>
      <w:r w:rsidR="00C40C04">
        <w:t>L</w:t>
      </w:r>
      <w:r w:rsidR="00C40C04" w:rsidRPr="00A8076F">
        <w:t>evel 2 (GCSEs or equivalent)</w:t>
      </w:r>
      <w:r w:rsidR="00C40C04" w:rsidRPr="00F97761">
        <w:rPr>
          <w:rStyle w:val="FootnoteReference"/>
        </w:rPr>
        <w:t xml:space="preserve"> </w:t>
      </w:r>
      <w:r w:rsidR="00C40C04">
        <w:rPr>
          <w:rStyle w:val="FootnoteReference"/>
        </w:rPr>
        <w:footnoteReference w:id="9"/>
      </w:r>
      <w:r w:rsidR="00C40C04" w:rsidRPr="00A8076F">
        <w:t xml:space="preserve"> or below and high education </w:t>
      </w:r>
      <w:r w:rsidR="00C40C04">
        <w:t xml:space="preserve">is defined </w:t>
      </w:r>
      <w:r w:rsidR="00C40C04" w:rsidRPr="00A8076F">
        <w:t xml:space="preserve">as </w:t>
      </w:r>
      <w:r w:rsidR="00C40C04">
        <w:t>L</w:t>
      </w:r>
      <w:r w:rsidR="00C40C04" w:rsidRPr="00A8076F">
        <w:t>evel 3 (A levels or equivalent)</w:t>
      </w:r>
      <w:r w:rsidR="00C40C04" w:rsidRPr="00F97761">
        <w:rPr>
          <w:rStyle w:val="FootnoteReference"/>
        </w:rPr>
        <w:t xml:space="preserve"> </w:t>
      </w:r>
      <w:r w:rsidR="00C40C04">
        <w:rPr>
          <w:rStyle w:val="FootnoteReference"/>
        </w:rPr>
        <w:footnoteReference w:id="10"/>
      </w:r>
      <w:r w:rsidR="00C40C04" w:rsidRPr="00A8076F">
        <w:t xml:space="preserve"> or above. </w:t>
      </w:r>
    </w:p>
    <w:p w:rsidR="00070A55" w:rsidRDefault="002D7E07" w:rsidP="00A33B20">
      <w:pPr>
        <w:spacing w:line="360" w:lineRule="auto"/>
        <w:ind w:firstLine="720"/>
        <w:jc w:val="both"/>
      </w:pPr>
      <w:r>
        <w:t>In all three data sources, worklessness is defined as any activity that is not</w:t>
      </w:r>
      <w:r w:rsidRPr="00A8076F">
        <w:t xml:space="preserve"> employment or education</w:t>
      </w:r>
      <w:r w:rsidR="0012240C">
        <w:rPr>
          <w:rStyle w:val="FootnoteReference"/>
        </w:rPr>
        <w:footnoteReference w:id="11"/>
      </w:r>
      <w:r>
        <w:t>.</w:t>
      </w:r>
      <w:r w:rsidRPr="00A8076F">
        <w:t xml:space="preserve"> </w:t>
      </w:r>
      <w:r w:rsidR="00070A55" w:rsidRPr="00A8076F">
        <w:t>In the initial analysis the window of sons</w:t>
      </w:r>
      <w:r w:rsidR="00070A55">
        <w:t>’</w:t>
      </w:r>
      <w:r w:rsidR="00070A55" w:rsidRPr="00A8076F">
        <w:t xml:space="preserve"> work histories is restricted </w:t>
      </w:r>
      <w:r w:rsidR="00070A55">
        <w:t>from leaving full time education</w:t>
      </w:r>
      <w:r w:rsidR="00070A55" w:rsidRPr="00A8076F">
        <w:t xml:space="preserve"> to</w:t>
      </w:r>
      <w:r w:rsidR="00070A55">
        <w:t xml:space="preserve"> age</w:t>
      </w:r>
      <w:r w:rsidR="00070A55" w:rsidRPr="00A8076F">
        <w:t xml:space="preserve"> 23 in all </w:t>
      </w:r>
      <w:r w:rsidR="00070A55">
        <w:t xml:space="preserve">three </w:t>
      </w:r>
      <w:r w:rsidR="00070A55" w:rsidRPr="00A8076F">
        <w:t>data sources for comparability with the BHPS</w:t>
      </w:r>
      <w:r w:rsidR="00070A55">
        <w:t>.</w:t>
      </w:r>
      <w:r w:rsidR="00070A55" w:rsidRPr="00A8076F">
        <w:t xml:space="preserve"> </w:t>
      </w:r>
      <w:r w:rsidR="00070A55">
        <w:t>Given concerns about life-cycle bias in early spells from the quasi-cohort analysis, these initial estimates are compared to those using only sons’ work histories from 23 to 29 in the older cohort studies</w:t>
      </w:r>
      <w:r w:rsidR="00070A55" w:rsidRPr="00A8076F">
        <w:t xml:space="preserve">. </w:t>
      </w:r>
      <w:r w:rsidR="00B9767B">
        <w:t xml:space="preserve">For fathers, two point-in-time measures of employment status are combined (observed when the son is 11/10/12 and 16 in the NCDS/BCS/BHPS) to define fathers as workless if they are not in work in both periods. </w:t>
      </w:r>
      <w:r w:rsidR="00B9767B" w:rsidRPr="00A8076F">
        <w:t>By combining two observations of employment status</w:t>
      </w:r>
      <w:r w:rsidR="00B9767B">
        <w:t>,</w:t>
      </w:r>
      <w:r w:rsidR="00B9767B" w:rsidRPr="00A8076F">
        <w:t xml:space="preserve"> the aim is to </w:t>
      </w:r>
      <w:r w:rsidR="0012240C">
        <w:t xml:space="preserve">measure a persistent form of worklessness in the fathers’ generation and </w:t>
      </w:r>
      <w:r w:rsidR="00B9767B" w:rsidRPr="00A8076F">
        <w:t xml:space="preserve">reduce </w:t>
      </w:r>
      <w:r w:rsidR="00B9767B">
        <w:t>any attenuation bias from measurement error</w:t>
      </w:r>
      <w:r w:rsidR="00B9767B">
        <w:rPr>
          <w:rStyle w:val="FootnoteReference"/>
        </w:rPr>
        <w:footnoteReference w:id="12"/>
      </w:r>
      <w:r w:rsidR="00B9767B" w:rsidRPr="00A8076F">
        <w:t>.</w:t>
      </w:r>
      <w:r w:rsidR="006C686C">
        <w:t xml:space="preserve"> Table 1 presents descriptive statistics </w:t>
      </w:r>
      <w:r w:rsidR="00A33B20">
        <w:t>for the main measures of worklessness used in the analysis</w:t>
      </w:r>
      <w:r w:rsidR="006C686C">
        <w:t xml:space="preserve">. 2% of fathers are defined as workless in the NCDS, with this proportion increasing to </w:t>
      </w:r>
      <w:r w:rsidR="008E3CBB">
        <w:t>5</w:t>
      </w:r>
      <w:r w:rsidR="006C686C">
        <w:t>% in the BCS and 1</w:t>
      </w:r>
      <w:r w:rsidR="008E0977">
        <w:t>5</w:t>
      </w:r>
      <w:r w:rsidR="006C686C">
        <w:t>% in the BHPS.</w:t>
      </w:r>
      <w:r w:rsidR="00B9767B" w:rsidRPr="00A8076F">
        <w:t xml:space="preserve"> </w:t>
      </w:r>
    </w:p>
    <w:p w:rsidR="006C686C" w:rsidRDefault="002D7E07" w:rsidP="00A33B20">
      <w:pPr>
        <w:spacing w:line="360" w:lineRule="auto"/>
        <w:ind w:firstLine="720"/>
        <w:jc w:val="both"/>
      </w:pPr>
      <w:r>
        <w:t xml:space="preserve">I consider the </w:t>
      </w:r>
      <w:r w:rsidR="00F87C4E">
        <w:t xml:space="preserve">association between fathers’ worklessness and </w:t>
      </w:r>
      <w:r>
        <w:t>three different measures of worklessness for sons:</w:t>
      </w:r>
      <w:r w:rsidRPr="00A8076F">
        <w:t xml:space="preserve"> the propo</w:t>
      </w:r>
      <w:r>
        <w:t xml:space="preserve">rtion of time spent out of work, </w:t>
      </w:r>
      <w:r w:rsidRPr="00A8076F">
        <w:t xml:space="preserve">whether the son has spent a year or more in </w:t>
      </w:r>
      <w:r>
        <w:t>concurrent spells out of work and whether the son</w:t>
      </w:r>
      <w:r w:rsidRPr="00A8076F">
        <w:t xml:space="preserve"> </w:t>
      </w:r>
      <w:r w:rsidR="008E0977">
        <w:t xml:space="preserve">is </w:t>
      </w:r>
      <w:r w:rsidR="00A33B20">
        <w:t>not in employment or training</w:t>
      </w:r>
      <w:r w:rsidR="008E0977">
        <w:t xml:space="preserve"> (NET</w:t>
      </w:r>
      <w:r w:rsidR="00A33B20">
        <w:t>) across the period</w:t>
      </w:r>
      <w:r w:rsidRPr="00A8076F">
        <w:t xml:space="preserve">. </w:t>
      </w:r>
      <w:r w:rsidR="006C686C">
        <w:t xml:space="preserve">Sons spent an average of </w:t>
      </w:r>
      <w:r w:rsidR="008E0977">
        <w:t>8</w:t>
      </w:r>
      <w:r w:rsidR="006C686C">
        <w:t xml:space="preserve">% </w:t>
      </w:r>
      <w:r w:rsidR="008E0977">
        <w:t xml:space="preserve">and 7% </w:t>
      </w:r>
      <w:r w:rsidR="006C686C">
        <w:t xml:space="preserve">of their time </w:t>
      </w:r>
      <w:r w:rsidR="0012240C">
        <w:t xml:space="preserve">from leaving full time education to age </w:t>
      </w:r>
      <w:r w:rsidR="00A33B20">
        <w:t xml:space="preserve">23 </w:t>
      </w:r>
      <w:r w:rsidR="006C686C">
        <w:t>workless in the NCDS and BCS cohorts</w:t>
      </w:r>
      <w:r w:rsidR="008E0977">
        <w:t xml:space="preserve"> respectively and 11</w:t>
      </w:r>
      <w:r w:rsidR="006C686C">
        <w:t xml:space="preserve">% in the BHPS. </w:t>
      </w:r>
      <w:r w:rsidRPr="00A8076F">
        <w:t xml:space="preserve">The durational measures aim to </w:t>
      </w:r>
      <w:r>
        <w:t>consider</w:t>
      </w:r>
      <w:r w:rsidRPr="00A8076F">
        <w:t xml:space="preserve"> any non-linearity across the </w:t>
      </w:r>
      <w:r w:rsidRPr="00A8076F">
        <w:lastRenderedPageBreak/>
        <w:t xml:space="preserve">workless distribution by looking at the more extreme cases of </w:t>
      </w:r>
      <w:r>
        <w:t>worklessness</w:t>
      </w:r>
      <w:r w:rsidRPr="00A8076F">
        <w:t xml:space="preserve">. </w:t>
      </w:r>
      <w:r w:rsidR="006C686C">
        <w:t xml:space="preserve">6% of the NCDS sample spent a year or more workless from </w:t>
      </w:r>
      <w:r w:rsidR="0012240C">
        <w:t xml:space="preserve">leaving full time education to age </w:t>
      </w:r>
      <w:r w:rsidR="006C686C">
        <w:t xml:space="preserve">23 with this proportion increasing to </w:t>
      </w:r>
      <w:r w:rsidR="008E0977">
        <w:t>9% in the BCS and 21</w:t>
      </w:r>
      <w:r w:rsidR="006C686C">
        <w:t>% in the BHPS. In all three cohorts, less than 2% of th</w:t>
      </w:r>
      <w:r w:rsidR="00A33B20">
        <w:t xml:space="preserve">e </w:t>
      </w:r>
      <w:r w:rsidR="008E0977">
        <w:t>samples of sons were</w:t>
      </w:r>
      <w:r w:rsidR="00A33B20">
        <w:t xml:space="preserve"> not </w:t>
      </w:r>
      <w:r w:rsidR="008E0977">
        <w:t xml:space="preserve">in any employment or training from leaving full time education until age </w:t>
      </w:r>
      <w:r w:rsidR="00887AE5">
        <w:t>23</w:t>
      </w:r>
      <w:r w:rsidR="006C686C">
        <w:t xml:space="preserve">. </w:t>
      </w:r>
    </w:p>
    <w:p w:rsidR="00AC20D0" w:rsidRDefault="002D7E07" w:rsidP="00AC20D0">
      <w:pPr>
        <w:spacing w:line="360" w:lineRule="auto"/>
        <w:ind w:firstLine="720"/>
        <w:jc w:val="both"/>
      </w:pPr>
      <w:r>
        <w:t>In the cohort studies, I restrict the sample</w:t>
      </w:r>
      <w:r w:rsidRPr="00A8076F">
        <w:t xml:space="preserve"> to sons and fathers with work history information available for</w:t>
      </w:r>
      <w:r w:rsidR="002D7A21">
        <w:t xml:space="preserve"> at least two years after leaving full time education in</w:t>
      </w:r>
      <w:r w:rsidRPr="00A8076F">
        <w:t xml:space="preserve"> the 2</w:t>
      </w:r>
      <w:r w:rsidRPr="00A8076F">
        <w:rPr>
          <w:vertAlign w:val="superscript"/>
        </w:rPr>
        <w:t>nd</w:t>
      </w:r>
      <w:r w:rsidRPr="00A8076F">
        <w:t xml:space="preserve"> generation and at least one employment status observed for the 1</w:t>
      </w:r>
      <w:r w:rsidRPr="00A8076F">
        <w:rPr>
          <w:vertAlign w:val="superscript"/>
        </w:rPr>
        <w:t>st</w:t>
      </w:r>
      <w:r w:rsidRPr="00A8076F">
        <w:t xml:space="preserve"> generation.</w:t>
      </w:r>
      <w:r w:rsidRPr="00AC20D0">
        <w:t xml:space="preserve"> </w:t>
      </w:r>
      <w:r>
        <w:t xml:space="preserve">Issues of attrition in the cohort studies are explored in the </w:t>
      </w:r>
      <w:r w:rsidR="00070A55">
        <w:t>A</w:t>
      </w:r>
      <w:r>
        <w:t>ppendix.</w:t>
      </w:r>
      <w:r w:rsidR="00B9767B">
        <w:t xml:space="preserve"> </w:t>
      </w:r>
      <w:r w:rsidR="00AC20D0">
        <w:t>I place various sample</w:t>
      </w:r>
      <w:r w:rsidR="00AC20D0" w:rsidRPr="00A8076F">
        <w:t xml:space="preserve"> restriction</w:t>
      </w:r>
      <w:r w:rsidR="00AC20D0">
        <w:t>s</w:t>
      </w:r>
      <w:r w:rsidR="00AC20D0" w:rsidRPr="00A8076F">
        <w:t xml:space="preserve"> on the BHPS data to minimise biases and maximise comparability across data sources. The first restriction is that both generations must be observed within the data for over two years. The second restriction </w:t>
      </w:r>
      <w:r w:rsidR="00AC20D0">
        <w:t>I place</w:t>
      </w:r>
      <w:r w:rsidR="00AC20D0" w:rsidRPr="00A8076F">
        <w:t xml:space="preserve"> on the data is that the 1</w:t>
      </w:r>
      <w:r w:rsidR="00AC20D0" w:rsidRPr="00A8076F">
        <w:rPr>
          <w:vertAlign w:val="superscript"/>
        </w:rPr>
        <w:t>st</w:t>
      </w:r>
      <w:r w:rsidR="00AC20D0" w:rsidRPr="00A8076F">
        <w:t xml:space="preserve"> generation must be observed before the 2</w:t>
      </w:r>
      <w:r w:rsidR="00AC20D0" w:rsidRPr="00A8076F">
        <w:rPr>
          <w:vertAlign w:val="superscript"/>
        </w:rPr>
        <w:t>nd</w:t>
      </w:r>
      <w:r w:rsidR="00AC20D0" w:rsidRPr="00A8076F">
        <w:t xml:space="preserve"> generation turn 18. This is to ensure that</w:t>
      </w:r>
      <w:r w:rsidR="0012240C">
        <w:t xml:space="preserve"> at least some of</w:t>
      </w:r>
      <w:r w:rsidR="00AC20D0" w:rsidRPr="00A8076F">
        <w:t xml:space="preserve"> the 1</w:t>
      </w:r>
      <w:r w:rsidR="00AC20D0" w:rsidRPr="00A8076F">
        <w:rPr>
          <w:vertAlign w:val="superscript"/>
        </w:rPr>
        <w:t>st</w:t>
      </w:r>
      <w:r w:rsidR="00AC20D0" w:rsidRPr="00A8076F">
        <w:t xml:space="preserve"> generation</w:t>
      </w:r>
      <w:r w:rsidR="00AC20D0">
        <w:t>’s observed</w:t>
      </w:r>
      <w:r w:rsidR="00AC20D0" w:rsidRPr="00A8076F">
        <w:t xml:space="preserve"> work history occurs during childhood</w:t>
      </w:r>
      <w:r w:rsidR="009B3476">
        <w:t xml:space="preserve"> (for comparability with the cohort studies measures in Table 2)</w:t>
      </w:r>
      <w:r w:rsidR="00AC20D0" w:rsidRPr="00A8076F">
        <w:t>. The third</w:t>
      </w:r>
      <w:r w:rsidR="00AC20D0">
        <w:t xml:space="preserve"> restriction I place on the data</w:t>
      </w:r>
      <w:r w:rsidR="00AC20D0" w:rsidRPr="00A8076F">
        <w:t xml:space="preserve"> is that the 2</w:t>
      </w:r>
      <w:r w:rsidR="00AC20D0" w:rsidRPr="00A8076F">
        <w:rPr>
          <w:vertAlign w:val="superscript"/>
        </w:rPr>
        <w:t>nd</w:t>
      </w:r>
      <w:r w:rsidR="00AC20D0" w:rsidRPr="00A8076F">
        <w:t xml:space="preserve"> generation must be born before 1982. This is to ensure that the entire 2</w:t>
      </w:r>
      <w:r w:rsidR="00AC20D0" w:rsidRPr="00A8076F">
        <w:rPr>
          <w:vertAlign w:val="superscript"/>
        </w:rPr>
        <w:t>nd</w:t>
      </w:r>
      <w:r w:rsidR="00AC20D0" w:rsidRPr="00A8076F">
        <w:t xml:space="preserve"> generation sample has a chance to reach age 23 in the latest wave of data so that those entering </w:t>
      </w:r>
      <w:r w:rsidR="00AC20D0">
        <w:t xml:space="preserve">into </w:t>
      </w:r>
      <w:r w:rsidR="00AC20D0" w:rsidRPr="00A8076F">
        <w:t xml:space="preserve">higher education </w:t>
      </w:r>
      <w:r w:rsidR="00AC20D0">
        <w:t xml:space="preserve">have the chance to </w:t>
      </w:r>
      <w:r w:rsidR="00AC20D0" w:rsidRPr="00A8076F">
        <w:t>be observed for two years after leaving full time education</w:t>
      </w:r>
      <w:r w:rsidR="00AC20D0">
        <w:rPr>
          <w:rStyle w:val="FootnoteReference"/>
        </w:rPr>
        <w:footnoteReference w:id="13"/>
      </w:r>
      <w:r w:rsidR="00AC20D0" w:rsidRPr="00A8076F">
        <w:t xml:space="preserve">. </w:t>
      </w:r>
    </w:p>
    <w:p w:rsidR="007404F0" w:rsidRDefault="007404F0" w:rsidP="007404F0">
      <w:pPr>
        <w:spacing w:line="360" w:lineRule="auto"/>
        <w:jc w:val="both"/>
      </w:pPr>
    </w:p>
    <w:p w:rsidR="007404F0" w:rsidRPr="007404F0" w:rsidRDefault="007404F0" w:rsidP="007404F0">
      <w:pPr>
        <w:spacing w:line="360" w:lineRule="auto"/>
        <w:jc w:val="both"/>
        <w:rPr>
          <w:b/>
        </w:rPr>
      </w:pPr>
      <w:r>
        <w:rPr>
          <w:b/>
        </w:rPr>
        <w:tab/>
        <w:t>b. The role of local labour market conditions</w:t>
      </w:r>
    </w:p>
    <w:p w:rsidR="00366F56" w:rsidRDefault="001E67FA" w:rsidP="00366F56">
      <w:pPr>
        <w:spacing w:line="360" w:lineRule="auto"/>
        <w:jc w:val="both"/>
      </w:pPr>
      <w:r>
        <w:t xml:space="preserve">To explore the role of local labour market conditions in </w:t>
      </w:r>
      <w:r w:rsidR="00FB71EC">
        <w:t>intergenerational worklessness</w:t>
      </w:r>
      <w:r w:rsidR="00366F56">
        <w:t xml:space="preserve"> for the first time in this literature</w:t>
      </w:r>
      <w:r w:rsidR="00FB71EC">
        <w:t>, u</w:t>
      </w:r>
      <w:r w:rsidRPr="00A8076F">
        <w:t>nemployment rates were matched into the BCS data</w:t>
      </w:r>
      <w:r w:rsidR="003C3639">
        <w:rPr>
          <w:rStyle w:val="FootnoteReference"/>
        </w:rPr>
        <w:footnoteReference w:id="14"/>
      </w:r>
      <w:r>
        <w:t>,</w:t>
      </w:r>
      <w:r w:rsidRPr="00A8076F">
        <w:t xml:space="preserve"> </w:t>
      </w:r>
      <w:r>
        <w:t xml:space="preserve">to </w:t>
      </w:r>
      <w:r w:rsidR="00A40B9F">
        <w:t xml:space="preserve">the </w:t>
      </w:r>
      <w:r w:rsidR="003C3639">
        <w:t>local education authority (</w:t>
      </w:r>
      <w:r>
        <w:t>LEA</w:t>
      </w:r>
      <w:r w:rsidR="003C3639">
        <w:t>)</w:t>
      </w:r>
      <w:r w:rsidR="003C3639">
        <w:rPr>
          <w:rStyle w:val="FootnoteReference"/>
        </w:rPr>
        <w:footnoteReference w:id="15"/>
      </w:r>
      <w:r>
        <w:t xml:space="preserve"> of residence </w:t>
      </w:r>
      <w:r w:rsidRPr="00A8076F">
        <w:t>when the son is age 16 in 1986</w:t>
      </w:r>
      <w:r>
        <w:t xml:space="preserve">, </w:t>
      </w:r>
      <w:r w:rsidRPr="00A8076F">
        <w:t xml:space="preserve">using information on the </w:t>
      </w:r>
      <w:r>
        <w:t>International Labour Organisation (</w:t>
      </w:r>
      <w:r w:rsidRPr="00A8076F">
        <w:t>ILO</w:t>
      </w:r>
      <w:r>
        <w:t>)</w:t>
      </w:r>
      <w:r w:rsidRPr="00A8076F">
        <w:t xml:space="preserve"> </w:t>
      </w:r>
      <w:r w:rsidR="00A40B9F" w:rsidRPr="00A8076F">
        <w:t>county</w:t>
      </w:r>
      <w:r w:rsidR="003C3639">
        <w:t>-</w:t>
      </w:r>
      <w:r w:rsidR="00A40B9F" w:rsidRPr="00A8076F">
        <w:t>level</w:t>
      </w:r>
      <w:r w:rsidR="003C3639">
        <w:rPr>
          <w:rStyle w:val="FootnoteReference"/>
        </w:rPr>
        <w:footnoteReference w:id="16"/>
      </w:r>
      <w:r w:rsidR="00A40B9F" w:rsidRPr="00A8076F">
        <w:t xml:space="preserve"> </w:t>
      </w:r>
      <w:r w:rsidRPr="00A8076F">
        <w:t>unemployment rate from the Employment Gazette from 1986 to 1998. Each individual was assigned an annual unemployment rate for the</w:t>
      </w:r>
      <w:r>
        <w:t>ir</w:t>
      </w:r>
      <w:r w:rsidRPr="00A8076F">
        <w:t xml:space="preserve"> county</w:t>
      </w:r>
      <w:r>
        <w:t>, based</w:t>
      </w:r>
      <w:r w:rsidR="00AD63C6">
        <w:t xml:space="preserve"> on</w:t>
      </w:r>
      <w:r>
        <w:t xml:space="preserve"> their LEA of residence </w:t>
      </w:r>
      <w:r w:rsidR="003C3639">
        <w:t xml:space="preserve">at one point in time </w:t>
      </w:r>
      <w:r>
        <w:t>in 1986</w:t>
      </w:r>
      <w:r w:rsidRPr="00A8076F">
        <w:t xml:space="preserve">. </w:t>
      </w:r>
      <w:r>
        <w:t>The implications of having no information o</w:t>
      </w:r>
      <w:r w:rsidR="003C3639">
        <w:t xml:space="preserve">n the LEA </w:t>
      </w:r>
      <w:r>
        <w:t xml:space="preserve">of residence after 1986 </w:t>
      </w:r>
      <w:r>
        <w:lastRenderedPageBreak/>
        <w:t xml:space="preserve">are discussed in the </w:t>
      </w:r>
      <w:r w:rsidR="00A40B9F">
        <w:t xml:space="preserve">appendix. </w:t>
      </w:r>
      <w:r w:rsidR="007A196A">
        <w:t>The focus of this analysis shifts to person-time observations to utilise the time variation introduced by the annual unemployment data.</w:t>
      </w:r>
    </w:p>
    <w:p w:rsidR="001E67FA" w:rsidRPr="00A8076F" w:rsidRDefault="003C3639" w:rsidP="00366F56">
      <w:pPr>
        <w:spacing w:line="360" w:lineRule="auto"/>
        <w:ind w:firstLine="709"/>
        <w:jc w:val="both"/>
      </w:pPr>
      <w:r>
        <w:t>To begin by exploring the extent to which</w:t>
      </w:r>
      <w:r w:rsidR="00366F56">
        <w:t xml:space="preserve"> </w:t>
      </w:r>
      <w:r w:rsidR="00C82E60">
        <w:t>any association between fathers’ and sons’ workless spells is purely a product of the (lack of) availability of work in the local area</w:t>
      </w:r>
      <w:r w:rsidR="00366F56">
        <w:t xml:space="preserve">,  </w:t>
      </w:r>
      <w:r w:rsidR="007A196A">
        <w:t xml:space="preserve"> </w:t>
      </w:r>
      <w:r w:rsidR="007A196A" w:rsidRPr="00A8076F">
        <w:t>within-</w:t>
      </w:r>
      <w:r w:rsidR="007A196A">
        <w:t xml:space="preserve">LEA and </w:t>
      </w:r>
      <w:r w:rsidR="007A196A" w:rsidRPr="00A8076F">
        <w:t>within-</w:t>
      </w:r>
      <w:r w:rsidR="007A196A">
        <w:t>county</w:t>
      </w:r>
      <w:r w:rsidR="007A196A" w:rsidRPr="00A8076F">
        <w:t xml:space="preserve"> </w:t>
      </w:r>
      <w:r w:rsidR="007A196A">
        <w:t xml:space="preserve">fixed effects </w:t>
      </w:r>
      <w:r w:rsidR="007A196A" w:rsidRPr="00A8076F">
        <w:t>model</w:t>
      </w:r>
      <w:r w:rsidR="007A196A">
        <w:t>s</w:t>
      </w:r>
      <w:r w:rsidR="007A196A" w:rsidRPr="00A8076F">
        <w:t xml:space="preserve"> </w:t>
      </w:r>
      <w:r w:rsidR="007A196A">
        <w:t>are</w:t>
      </w:r>
      <w:r w:rsidR="007A196A" w:rsidRPr="00A8076F">
        <w:t xml:space="preserve"> </w:t>
      </w:r>
      <w:r w:rsidR="007A196A">
        <w:t>estimated with an LEA/county level</w:t>
      </w:r>
      <w:r w:rsidR="007A196A" w:rsidRPr="00A8076F">
        <w:t xml:space="preserve"> fixed effect, </w:t>
      </w:r>
      <m:oMath>
        <m:sSub>
          <m:sSubPr>
            <m:ctrlPr>
              <w:rPr>
                <w:rFonts w:ascii="Cambria Math" w:hAnsi="Cambria Math"/>
                <w:i/>
              </w:rPr>
            </m:ctrlPr>
          </m:sSubPr>
          <m:e>
            <m:r>
              <w:rPr>
                <w:rFonts w:ascii="Cambria Math" w:hAnsi="Cambria Math"/>
              </w:rPr>
              <m:t>δ</m:t>
            </m:r>
          </m:e>
          <m:sub>
            <m:r>
              <w:rPr>
                <w:rFonts w:ascii="Cambria Math" w:hAnsi="Cambria Math"/>
              </w:rPr>
              <m:t>r</m:t>
            </m:r>
          </m:sub>
        </m:sSub>
      </m:oMath>
      <w:r w:rsidR="007A196A" w:rsidRPr="00A8076F">
        <w:t>,</w:t>
      </w:r>
      <w:r w:rsidR="007A196A">
        <w:t xml:space="preserve"> (equation 3)</w:t>
      </w:r>
      <w:r w:rsidR="007A196A" w:rsidRPr="00A8076F">
        <w:t xml:space="preserve">. </w:t>
      </w:r>
      <w:r w:rsidR="00366F56">
        <w:t>These models estimate intergenerational worklessness within local labour markets</w:t>
      </w:r>
      <w:r w:rsidR="00AD63C6">
        <w:t>, controlling for any variation between local labour markets</w:t>
      </w:r>
      <w:r w:rsidR="00366F56">
        <w:t>. If the intergene</w:t>
      </w:r>
      <w:r w:rsidR="00070A55">
        <w:t xml:space="preserve">rational association arises </w:t>
      </w:r>
      <w:r w:rsidR="007A196A">
        <w:t xml:space="preserve">only </w:t>
      </w:r>
      <w:r w:rsidR="00070A55">
        <w:t>because</w:t>
      </w:r>
      <w:r w:rsidR="00366F56">
        <w:t xml:space="preserve"> fathers and sons experie</w:t>
      </w:r>
      <w:r w:rsidR="00070A55">
        <w:t>nce</w:t>
      </w:r>
      <w:r w:rsidR="00366F56">
        <w:t xml:space="preserve"> the same local labour markets, </w:t>
      </w:r>
      <w:r w:rsidR="00AD63C6">
        <w:t xml:space="preserve">there would be no intergenerational relationship once differences across local labour markets are accounted for. </w:t>
      </w:r>
      <w:r w:rsidR="00C82E60">
        <w:t>The level of analysis (LEA/county)</w:t>
      </w:r>
      <w:r w:rsidR="00C82E60">
        <w:rPr>
          <w:rStyle w:val="FootnoteReference"/>
        </w:rPr>
        <w:footnoteReference w:id="17"/>
      </w:r>
      <w:r w:rsidR="00C82E60">
        <w:t xml:space="preserve"> is aggregated enough </w:t>
      </w:r>
      <w:r w:rsidR="009B3476">
        <w:t xml:space="preserve">for the local labour market </w:t>
      </w:r>
      <w:r w:rsidR="00C82E60">
        <w:t xml:space="preserve">to be considered exogenous </w:t>
      </w:r>
      <w:r w:rsidR="009B3476">
        <w:t>to</w:t>
      </w:r>
      <w:r w:rsidR="00C82E60">
        <w:t xml:space="preserve"> the family circumstances, therefore only measuring the availability of work. </w:t>
      </w:r>
      <w:r w:rsidR="00797FD0">
        <w:t>Given concerns over life-cycle bias for early observations of sons’ worklessness, t</w:t>
      </w:r>
      <w:r w:rsidR="007D0783">
        <w:t>he dependent variable is defined as the proportion of time that the son spent workless each</w:t>
      </w:r>
      <w:r w:rsidR="00FB71EC">
        <w:t xml:space="preserve"> year from </w:t>
      </w:r>
      <w:r w:rsidR="00797FD0">
        <w:t>age 23 through to age 29</w:t>
      </w:r>
      <w:r w:rsidR="007D0783">
        <w:t xml:space="preserve">. </w:t>
      </w:r>
      <w:r w:rsidR="007A196A" w:rsidRPr="00A8076F">
        <w:t>Age controls</w:t>
      </w:r>
      <w:r w:rsidR="007A196A">
        <w:t xml:space="preserve"> for the father and son</w:t>
      </w:r>
      <w:proofErr w:type="gramStart"/>
      <w:r w:rsidR="007A196A" w:rsidRPr="00A8076F">
        <w:t xml:space="preserve">, </w:t>
      </w:r>
      <m:oMath>
        <w:proofErr w:type="gramEnd"/>
        <m:sSub>
          <m:sSubPr>
            <m:ctrlPr>
              <w:rPr>
                <w:rFonts w:ascii="Cambria Math" w:hAnsi="Cambria Math"/>
                <w:i/>
              </w:rPr>
            </m:ctrlPr>
          </m:sSubPr>
          <m:e>
            <m:r>
              <m:rPr>
                <m:sty m:val="bi"/>
              </m:rPr>
              <w:rPr>
                <w:rFonts w:ascii="Cambria Math" w:hAnsi="Cambria Math"/>
              </w:rPr>
              <m:t>A</m:t>
            </m:r>
          </m:e>
          <m:sub>
            <m:r>
              <w:rPr>
                <w:rFonts w:ascii="Cambria Math" w:hAnsi="Cambria Math"/>
              </w:rPr>
              <m:t>irt</m:t>
            </m:r>
          </m:sub>
        </m:sSub>
      </m:oMath>
      <w:r w:rsidR="007A196A" w:rsidRPr="00A8076F">
        <w:t xml:space="preserve">, are included to </w:t>
      </w:r>
      <w:r w:rsidR="007A196A">
        <w:t>control for any remaining</w:t>
      </w:r>
      <w:r w:rsidR="007A196A" w:rsidRPr="00A8076F">
        <w:t xml:space="preserve"> life-cycle bias</w:t>
      </w:r>
      <w:r w:rsidR="007A196A">
        <w:t xml:space="preserve"> (including an interaction between sons’ worklessness and sons’ age as used in Lee and </w:t>
      </w:r>
      <w:proofErr w:type="spellStart"/>
      <w:r w:rsidR="007A196A">
        <w:t>Solon</w:t>
      </w:r>
      <w:proofErr w:type="spellEnd"/>
      <w:r w:rsidR="007A196A">
        <w:t>, 2009)</w:t>
      </w:r>
      <w:r w:rsidR="007A196A" w:rsidRPr="00A8076F">
        <w:t>.</w:t>
      </w:r>
    </w:p>
    <w:p w:rsidR="001E67FA" w:rsidRPr="00A8076F" w:rsidRDefault="001E67FA" w:rsidP="001E67FA">
      <w:pPr>
        <w:spacing w:line="360" w:lineRule="auto"/>
        <w:jc w:val="both"/>
      </w:pPr>
    </w:p>
    <w:p w:rsidR="001E67FA" w:rsidRPr="00A8076F" w:rsidRDefault="00365423" w:rsidP="001E67FA">
      <w:pPr>
        <w:spacing w:line="360" w:lineRule="auto"/>
        <w:ind w:left="709" w:hanging="709"/>
        <w:jc w:val="both"/>
      </w:pPr>
      <m:oMath>
        <m:sSubSup>
          <m:sSubSupPr>
            <m:ctrlPr>
              <w:rPr>
                <w:rFonts w:ascii="Cambria Math" w:hAnsi="Cambria Math"/>
                <w:i/>
              </w:rPr>
            </m:ctrlPr>
          </m:sSubSupPr>
          <m:e>
            <m:r>
              <w:rPr>
                <w:rFonts w:ascii="Cambria Math" w:hAnsi="Cambria Math"/>
              </w:rPr>
              <m:t>w</m:t>
            </m:r>
          </m:e>
          <m:sub>
            <m:r>
              <w:rPr>
                <w:rFonts w:ascii="Cambria Math" w:hAnsi="Cambria Math"/>
              </w:rPr>
              <m:t>irt</m:t>
            </m:r>
          </m:sub>
          <m:sup>
            <m:r>
              <w:rPr>
                <w:rFonts w:ascii="Cambria Math" w:hAnsi="Cambria Math"/>
              </w:rPr>
              <m:t>son</m:t>
            </m:r>
          </m:sup>
        </m:sSubSup>
        <m:r>
          <w:rPr>
            <w:rFonts w:ascii="Cambria Math" w:hAnsi="Cambria Math"/>
          </w:rPr>
          <m:t>=α+β</m:t>
        </m:r>
        <m:sSubSup>
          <m:sSubSupPr>
            <m:ctrlPr>
              <w:rPr>
                <w:rFonts w:ascii="Cambria Math" w:hAnsi="Cambria Math"/>
                <w:i/>
              </w:rPr>
            </m:ctrlPr>
          </m:sSubSupPr>
          <m:e>
            <m:r>
              <w:rPr>
                <w:rFonts w:ascii="Cambria Math" w:hAnsi="Cambria Math"/>
              </w:rPr>
              <m:t>w</m:t>
            </m:r>
          </m:e>
          <m:sub>
            <m:r>
              <w:rPr>
                <w:rFonts w:ascii="Cambria Math" w:hAnsi="Cambria Math"/>
              </w:rPr>
              <m:t>ir</m:t>
            </m:r>
          </m:sub>
          <m:sup>
            <m:r>
              <w:rPr>
                <w:rFonts w:ascii="Cambria Math" w:hAnsi="Cambria Math"/>
              </w:rPr>
              <m:t>father</m:t>
            </m:r>
          </m:sup>
        </m:sSubSup>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r</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irt</m:t>
            </m:r>
          </m:sub>
        </m:sSub>
        <m:r>
          <w:rPr>
            <w:rFonts w:ascii="Cambria Math" w:hAnsi="Cambria Math"/>
          </w:rPr>
          <m:t>γ+</m:t>
        </m:r>
        <m:sSub>
          <m:sSubPr>
            <m:ctrlPr>
              <w:rPr>
                <w:rFonts w:ascii="Cambria Math" w:hAnsi="Cambria Math"/>
                <w:i/>
              </w:rPr>
            </m:ctrlPr>
          </m:sSubPr>
          <m:e>
            <m:r>
              <w:rPr>
                <w:rFonts w:ascii="Cambria Math" w:hAnsi="Cambria Math"/>
              </w:rPr>
              <m:t>e</m:t>
            </m:r>
          </m:e>
          <m:sub>
            <m:r>
              <w:rPr>
                <w:rFonts w:ascii="Cambria Math" w:hAnsi="Cambria Math"/>
              </w:rPr>
              <m:t>irt1</m:t>
            </m:r>
          </m:sub>
        </m:sSub>
      </m:oMath>
      <w:r w:rsidR="00A40B9F">
        <w:tab/>
      </w:r>
      <w:r w:rsidR="00A40B9F">
        <w:tab/>
      </w:r>
      <w:r w:rsidR="00A40B9F">
        <w:tab/>
      </w:r>
      <w:r w:rsidR="00A40B9F">
        <w:tab/>
      </w:r>
      <w:r w:rsidR="00A40B9F">
        <w:tab/>
      </w:r>
      <w:r w:rsidR="00A40B9F">
        <w:tab/>
      </w:r>
      <w:r w:rsidR="00A40B9F">
        <w:tab/>
      </w:r>
      <w:r w:rsidR="00A40B9F" w:rsidRPr="00A8076F">
        <w:t>(</w:t>
      </w:r>
      <w:r w:rsidR="00A40B9F">
        <w:t>3)</w:t>
      </w:r>
      <w:r w:rsidR="00A40B9F">
        <w:tab/>
        <w:t xml:space="preserve">   </w:t>
      </w:r>
    </w:p>
    <w:p w:rsidR="00A40B9F" w:rsidRDefault="001E67FA" w:rsidP="001E67FA">
      <w:pPr>
        <w:spacing w:line="360" w:lineRule="auto"/>
        <w:jc w:val="both"/>
      </w:pPr>
      <w:r w:rsidRPr="00A8076F">
        <w:t xml:space="preserve">Any </w:t>
      </w:r>
      <w:r w:rsidR="00A40B9F">
        <w:t>decline</w:t>
      </w:r>
      <w:r w:rsidRPr="00A8076F">
        <w:t xml:space="preserve"> in the </w:t>
      </w:r>
      <w:r>
        <w:t xml:space="preserve">estimated </w:t>
      </w:r>
      <w:r w:rsidR="00AD63C6">
        <w:t xml:space="preserve">parameter </w:t>
      </w:r>
      <m:oMath>
        <m:r>
          <w:rPr>
            <w:rFonts w:ascii="Cambria Math" w:hAnsi="Cambria Math"/>
          </w:rPr>
          <m:t>β</m:t>
        </m:r>
      </m:oMath>
      <w:r w:rsidRPr="00A8076F">
        <w:t xml:space="preserve"> </w:t>
      </w:r>
      <w:r w:rsidR="003C3639">
        <w:t xml:space="preserve">in equation (3) </w:t>
      </w:r>
      <w:r w:rsidR="00AD63C6">
        <w:t xml:space="preserve">from the baseline estimate </w:t>
      </w:r>
      <w:r w:rsidR="00A40B9F">
        <w:t xml:space="preserve">indicates the extent </w:t>
      </w:r>
      <w:r w:rsidR="007A196A">
        <w:t>that the intergenerational association arises because</w:t>
      </w:r>
      <w:r w:rsidRPr="00A8076F">
        <w:t xml:space="preserve"> fathers and sons </w:t>
      </w:r>
      <w:r w:rsidR="009B3476">
        <w:t>work in</w:t>
      </w:r>
      <w:r w:rsidR="007A196A">
        <w:t xml:space="preserve"> </w:t>
      </w:r>
      <w:r w:rsidR="00A40B9F">
        <w:t>the same local labour ma</w:t>
      </w:r>
      <w:r w:rsidR="00E94118">
        <w:t>rkets</w:t>
      </w:r>
      <w:r w:rsidR="00A40B9F">
        <w:t xml:space="preserve">. </w:t>
      </w:r>
    </w:p>
    <w:p w:rsidR="001E67FA" w:rsidRPr="00A8076F" w:rsidRDefault="00A40B9F" w:rsidP="00A40B9F">
      <w:pPr>
        <w:spacing w:line="360" w:lineRule="auto"/>
        <w:ind w:firstLine="709"/>
        <w:jc w:val="both"/>
      </w:pPr>
      <w:r>
        <w:t xml:space="preserve">The second </w:t>
      </w:r>
      <w:r w:rsidR="00F23BE3">
        <w:t>part of this analysis</w:t>
      </w:r>
      <w:r>
        <w:t xml:space="preserve"> consider</w:t>
      </w:r>
      <w:r w:rsidR="00F23BE3">
        <w:t>s</w:t>
      </w:r>
      <w:r w:rsidR="001E67FA" w:rsidRPr="00A8076F">
        <w:t xml:space="preserve"> </w:t>
      </w:r>
      <w:r w:rsidR="00F23BE3">
        <w:t>the extent to which</w:t>
      </w:r>
      <w:r w:rsidR="001E67FA" w:rsidRPr="00A8076F">
        <w:t xml:space="preserve"> </w:t>
      </w:r>
      <w:r w:rsidR="00F23BE3">
        <w:t>intergenerational worklessness</w:t>
      </w:r>
      <w:r w:rsidR="00E94118" w:rsidRPr="00A8076F">
        <w:t xml:space="preserve"> </w:t>
      </w:r>
      <w:r w:rsidRPr="0048659C">
        <w:t xml:space="preserve">varies </w:t>
      </w:r>
      <w:r>
        <w:t xml:space="preserve">by </w:t>
      </w:r>
      <w:r w:rsidR="00E94118" w:rsidRPr="00A8076F">
        <w:t>lo</w:t>
      </w:r>
      <w:r w:rsidR="00E94118">
        <w:t>cal labour market conditions.</w:t>
      </w:r>
      <w:r w:rsidR="009B3476">
        <w:t xml:space="preserve"> </w:t>
      </w:r>
      <w:r w:rsidR="006C583E">
        <w:t xml:space="preserve">I begin by modelling the effect of local labour market unemployment on the intergenerational association. This is very similar to the within-county fixed effects model in equation (3), replacing </w:t>
      </w:r>
      <m:oMath>
        <m:sSub>
          <m:sSubPr>
            <m:ctrlPr>
              <w:rPr>
                <w:rFonts w:ascii="Cambria Math" w:hAnsi="Cambria Math"/>
                <w:i/>
              </w:rPr>
            </m:ctrlPr>
          </m:sSubPr>
          <m:e>
            <m:r>
              <w:rPr>
                <w:rFonts w:ascii="Cambria Math" w:hAnsi="Cambria Math"/>
              </w:rPr>
              <m:t>δ</m:t>
            </m:r>
          </m:e>
          <m:sub>
            <m:r>
              <w:rPr>
                <w:rFonts w:ascii="Cambria Math" w:hAnsi="Cambria Math"/>
              </w:rPr>
              <m:t>r</m:t>
            </m:r>
          </m:sub>
        </m:sSub>
      </m:oMath>
      <w:r w:rsidR="006C583E">
        <w:t xml:space="preserve"> </w:t>
      </w:r>
      <w:proofErr w:type="gramStart"/>
      <w:r w:rsidR="006C583E">
        <w:t xml:space="preserve">with </w:t>
      </w:r>
      <m:oMath>
        <w:proofErr w:type="gramEnd"/>
        <m:sSub>
          <m:sSubPr>
            <m:ctrlPr>
              <w:rPr>
                <w:rFonts w:ascii="Cambria Math" w:hAnsi="Cambria Math"/>
                <w:i/>
              </w:rPr>
            </m:ctrlPr>
          </m:sSubPr>
          <m:e>
            <m:r>
              <w:rPr>
                <w:rFonts w:ascii="Cambria Math" w:hAnsi="Cambria Math"/>
              </w:rPr>
              <m:t>u</m:t>
            </m:r>
          </m:e>
          <m:sub>
            <m:r>
              <w:rPr>
                <w:rFonts w:ascii="Cambria Math" w:hAnsi="Cambria Math"/>
              </w:rPr>
              <m:t>rt</m:t>
            </m:r>
          </m:sub>
        </m:sSub>
      </m:oMath>
      <w:r w:rsidR="006C583E">
        <w:t>, the county level unemployment rate. I then include</w:t>
      </w:r>
      <w:r w:rsidR="001E67FA">
        <w:t xml:space="preserve"> </w:t>
      </w:r>
      <w:r w:rsidR="001E67FA" w:rsidRPr="00A8076F">
        <w:t>an interaction between the county level unemployment rate and the 1</w:t>
      </w:r>
      <w:r w:rsidR="001E67FA" w:rsidRPr="00A8076F">
        <w:rPr>
          <w:vertAlign w:val="superscript"/>
        </w:rPr>
        <w:t>st</w:t>
      </w:r>
      <w:r w:rsidR="001E67FA" w:rsidRPr="00A8076F">
        <w:t xml:space="preserve"> generation workless experience</w:t>
      </w:r>
      <w:proofErr w:type="gramStart"/>
      <w:r w:rsidR="001E67FA" w:rsidRPr="00A8076F">
        <w:t xml:space="preserve">, </w:t>
      </w:r>
      <m:oMath>
        <w:proofErr w:type="gramEnd"/>
        <m:sSub>
          <m:sSubPr>
            <m:ctrlPr>
              <w:rPr>
                <w:rFonts w:ascii="Cambria Math" w:hAnsi="Cambria Math"/>
                <w:i/>
              </w:rPr>
            </m:ctrlPr>
          </m:sSubPr>
          <m:e>
            <m:r>
              <w:rPr>
                <w:rFonts w:ascii="Cambria Math" w:hAnsi="Cambria Math"/>
              </w:rPr>
              <m:t>u</m:t>
            </m:r>
          </m:e>
          <m:sub>
            <m:r>
              <w:rPr>
                <w:rFonts w:ascii="Cambria Math" w:hAnsi="Cambria Math"/>
              </w:rPr>
              <m:t>rt</m:t>
            </m:r>
          </m:sub>
        </m:sSub>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f</m:t>
            </m:r>
          </m:sup>
        </m:sSubSup>
      </m:oMath>
      <w:r w:rsidR="006C583E">
        <w:t>,</w:t>
      </w:r>
      <w:r w:rsidR="001E67FA" w:rsidRPr="00A8076F">
        <w:t xml:space="preserve"> to </w:t>
      </w:r>
      <w:r w:rsidR="001E67FA">
        <w:t xml:space="preserve">assess </w:t>
      </w:r>
      <w:r w:rsidR="006C583E">
        <w:t xml:space="preserve">whether having a workless father has a </w:t>
      </w:r>
      <w:r w:rsidR="006C583E" w:rsidRPr="007A196A">
        <w:t xml:space="preserve">differential impact </w:t>
      </w:r>
      <w:r w:rsidR="006C583E">
        <w:t>across</w:t>
      </w:r>
      <w:r w:rsidR="006C583E" w:rsidRPr="007A196A">
        <w:t xml:space="preserve"> different local labour markets</w:t>
      </w:r>
      <w:r w:rsidR="006C583E">
        <w:t>.</w:t>
      </w:r>
    </w:p>
    <w:p w:rsidR="001E67FA" w:rsidRPr="00A8076F" w:rsidRDefault="001E67FA" w:rsidP="001E67FA">
      <w:pPr>
        <w:spacing w:line="360" w:lineRule="auto"/>
        <w:jc w:val="both"/>
      </w:pPr>
    </w:p>
    <w:p w:rsidR="001E67FA" w:rsidRPr="00A8076F" w:rsidRDefault="00365423" w:rsidP="001E67FA">
      <w:pPr>
        <w:spacing w:line="360" w:lineRule="auto"/>
        <w:ind w:left="709" w:hanging="709"/>
        <w:jc w:val="both"/>
      </w:pPr>
      <m:oMath>
        <m:sSubSup>
          <m:sSubSupPr>
            <m:ctrlPr>
              <w:rPr>
                <w:rFonts w:ascii="Cambria Math" w:hAnsi="Cambria Math"/>
                <w:i/>
              </w:rPr>
            </m:ctrlPr>
          </m:sSubSupPr>
          <m:e>
            <m:r>
              <w:rPr>
                <w:rFonts w:ascii="Cambria Math" w:hAnsi="Cambria Math"/>
              </w:rPr>
              <m:t>w</m:t>
            </m:r>
          </m:e>
          <m:sub>
            <m:r>
              <w:rPr>
                <w:rFonts w:ascii="Cambria Math" w:hAnsi="Cambria Math"/>
              </w:rPr>
              <m:t>irt</m:t>
            </m:r>
          </m:sub>
          <m:sup>
            <m:r>
              <w:rPr>
                <w:rFonts w:ascii="Cambria Math" w:hAnsi="Cambria Math"/>
              </w:rPr>
              <m:t>son</m:t>
            </m:r>
          </m:sup>
        </m:sSubSup>
        <m:r>
          <w:rPr>
            <w:rFonts w:ascii="Cambria Math" w:hAnsi="Cambria Math"/>
          </w:rPr>
          <m:t>=α+β</m:t>
        </m:r>
        <m:sSubSup>
          <m:sSubSupPr>
            <m:ctrlPr>
              <w:rPr>
                <w:rFonts w:ascii="Cambria Math" w:hAnsi="Cambria Math"/>
                <w:i/>
              </w:rPr>
            </m:ctrlPr>
          </m:sSubSupPr>
          <m:e>
            <m:r>
              <w:rPr>
                <w:rFonts w:ascii="Cambria Math" w:hAnsi="Cambria Math"/>
              </w:rPr>
              <m:t>w</m:t>
            </m:r>
          </m:e>
          <m:sub>
            <m:r>
              <w:rPr>
                <w:rFonts w:ascii="Cambria Math" w:hAnsi="Cambria Math"/>
              </w:rPr>
              <m:t>ir</m:t>
            </m:r>
          </m:sub>
          <m:sup>
            <m:r>
              <w:rPr>
                <w:rFonts w:ascii="Cambria Math" w:hAnsi="Cambria Math"/>
              </w:rPr>
              <m:t>father</m:t>
            </m:r>
          </m:sup>
        </m:sSubSup>
        <m:r>
          <w:rPr>
            <w:rFonts w:ascii="Cambria Math" w:hAnsi="Cambria Math"/>
          </w:rPr>
          <m:t>+θ</m:t>
        </m:r>
        <m:sSubSup>
          <m:sSubSupPr>
            <m:ctrlPr>
              <w:rPr>
                <w:rFonts w:ascii="Cambria Math" w:hAnsi="Cambria Math"/>
                <w:i/>
              </w:rPr>
            </m:ctrlPr>
          </m:sSubSupPr>
          <m:e>
            <m:r>
              <w:rPr>
                <w:rFonts w:ascii="Cambria Math" w:hAnsi="Cambria Math"/>
              </w:rPr>
              <m:t>w</m:t>
            </m:r>
          </m:e>
          <m:sub>
            <m:r>
              <w:rPr>
                <w:rFonts w:ascii="Cambria Math" w:hAnsi="Cambria Math"/>
              </w:rPr>
              <m:t>ir</m:t>
            </m:r>
          </m:sub>
          <m:sup>
            <m:r>
              <w:rPr>
                <w:rFonts w:ascii="Cambria Math" w:hAnsi="Cambria Math"/>
              </w:rPr>
              <m:t>f</m:t>
            </m:r>
          </m:sup>
        </m:sSub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rt</m:t>
            </m:r>
          </m:sub>
        </m:sSub>
        <m:r>
          <w:rPr>
            <w:rFonts w:ascii="Cambria Math" w:hAnsi="Cambria Math"/>
          </w:rPr>
          <m:t>+τ</m:t>
        </m:r>
        <m:sSub>
          <m:sSubPr>
            <m:ctrlPr>
              <w:rPr>
                <w:rFonts w:ascii="Cambria Math" w:hAnsi="Cambria Math"/>
                <w:i/>
              </w:rPr>
            </m:ctrlPr>
          </m:sSubPr>
          <m:e>
            <m:r>
              <w:rPr>
                <w:rFonts w:ascii="Cambria Math" w:hAnsi="Cambria Math"/>
              </w:rPr>
              <m:t>u</m:t>
            </m:r>
          </m:e>
          <m:sub>
            <m:r>
              <w:rPr>
                <w:rFonts w:ascii="Cambria Math" w:hAnsi="Cambria Math"/>
              </w:rPr>
              <m:t>rt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irt</m:t>
            </m:r>
          </m:sub>
        </m:sSub>
        <m:r>
          <w:rPr>
            <w:rFonts w:ascii="Cambria Math" w:hAnsi="Cambria Math"/>
          </w:rPr>
          <m:t>γ+</m:t>
        </m:r>
        <m:sSub>
          <m:sSubPr>
            <m:ctrlPr>
              <w:rPr>
                <w:rFonts w:ascii="Cambria Math" w:hAnsi="Cambria Math"/>
                <w:i/>
              </w:rPr>
            </m:ctrlPr>
          </m:sSubPr>
          <m:e>
            <m:r>
              <w:rPr>
                <w:rFonts w:ascii="Cambria Math" w:hAnsi="Cambria Math"/>
              </w:rPr>
              <m:t>e</m:t>
            </m:r>
          </m:e>
          <m:sub>
            <m:r>
              <w:rPr>
                <w:rFonts w:ascii="Cambria Math" w:hAnsi="Cambria Math"/>
              </w:rPr>
              <m:t>irt2</m:t>
            </m:r>
          </m:sub>
        </m:sSub>
      </m:oMath>
      <w:r w:rsidR="001E67FA" w:rsidRPr="00A8076F">
        <w:tab/>
      </w:r>
      <w:r w:rsidR="001E67FA" w:rsidRPr="00A8076F">
        <w:tab/>
        <w:t xml:space="preserve"> </w:t>
      </w:r>
      <w:r w:rsidR="001E67FA" w:rsidRPr="00A8076F">
        <w:tab/>
        <w:t xml:space="preserve">        </w:t>
      </w:r>
      <w:r w:rsidR="00A40B9F">
        <w:tab/>
      </w:r>
      <w:r w:rsidR="00A40B9F">
        <w:tab/>
      </w:r>
      <w:r w:rsidR="001E67FA" w:rsidRPr="00A8076F">
        <w:t>(</w:t>
      </w:r>
      <w:r w:rsidR="00A40B9F">
        <w:t>4)</w:t>
      </w:r>
    </w:p>
    <w:p w:rsidR="001E67FA" w:rsidRPr="00A8076F" w:rsidRDefault="001E67FA" w:rsidP="001E67FA">
      <w:pPr>
        <w:spacing w:line="360" w:lineRule="auto"/>
        <w:jc w:val="both"/>
      </w:pPr>
    </w:p>
    <w:p w:rsidR="001E67FA" w:rsidRPr="00A8076F" w:rsidRDefault="006C583E" w:rsidP="001E67FA">
      <w:pPr>
        <w:spacing w:line="360" w:lineRule="auto"/>
        <w:jc w:val="both"/>
      </w:pPr>
      <w:r>
        <w:t xml:space="preserve">While </w:t>
      </w:r>
      <m:oMath>
        <m:acc>
          <m:accPr>
            <m:ctrlPr>
              <w:rPr>
                <w:rFonts w:ascii="Cambria Math" w:hAnsi="Cambria Math"/>
                <w:i/>
              </w:rPr>
            </m:ctrlPr>
          </m:accPr>
          <m:e>
            <m:r>
              <w:rPr>
                <w:rFonts w:ascii="Cambria Math" w:hAnsi="Cambria Math"/>
              </w:rPr>
              <m:t>τ</m:t>
            </m:r>
          </m:e>
        </m:acc>
      </m:oMath>
      <w:r>
        <w:t xml:space="preserve"> estimates the association between county-level unemployment and sons’ worklessness, the coefficient </w:t>
      </w:r>
      <m:oMath>
        <m:acc>
          <m:accPr>
            <m:ctrlPr>
              <w:rPr>
                <w:rFonts w:ascii="Cambria Math" w:hAnsi="Cambria Math"/>
                <w:i/>
              </w:rPr>
            </m:ctrlPr>
          </m:accPr>
          <m:e>
            <m:r>
              <w:rPr>
                <w:rFonts w:ascii="Cambria Math" w:hAnsi="Cambria Math"/>
              </w:rPr>
              <m:t>θ</m:t>
            </m:r>
          </m:e>
        </m:acc>
      </m:oMath>
      <w:r w:rsidR="00A40B9F">
        <w:t xml:space="preserve"> estimates the </w:t>
      </w:r>
      <w:r w:rsidR="00A40B9F" w:rsidRPr="00A06C6D">
        <w:t xml:space="preserve">additional </w:t>
      </w:r>
      <w:r w:rsidRPr="00A06C6D">
        <w:t>penalty</w:t>
      </w:r>
      <w:r>
        <w:t xml:space="preserve"> </w:t>
      </w:r>
      <w:r w:rsidR="00A06C6D">
        <w:t xml:space="preserve">of county-level unemployment </w:t>
      </w:r>
      <w:r>
        <w:t>for</w:t>
      </w:r>
      <w:r w:rsidR="00A40B9F">
        <w:t xml:space="preserve"> sons </w:t>
      </w:r>
      <w:r w:rsidR="001E67FA" w:rsidRPr="00A8076F">
        <w:t xml:space="preserve">with workless fathers. </w:t>
      </w:r>
      <w:r w:rsidR="009B3476">
        <w:t xml:space="preserve">If this interaction is significant, this suggests that there is a combined effect of a lack of work in the local labour market and the disadvantage of having a workless father. </w:t>
      </w:r>
      <w:r w:rsidR="00A06C6D">
        <w:t>F</w:t>
      </w:r>
      <w:r w:rsidR="001E67FA" w:rsidRPr="00A8076F">
        <w:t xml:space="preserve">rom this we can derive information about the size of the intergenerational </w:t>
      </w:r>
      <w:r w:rsidR="00A06C6D">
        <w:t>association</w:t>
      </w:r>
      <w:r w:rsidR="001E67FA" w:rsidRPr="00A8076F">
        <w:t xml:space="preserve"> </w:t>
      </w:r>
      <w:r w:rsidR="00A06C6D">
        <w:t xml:space="preserve">across levels of </w:t>
      </w:r>
      <w:r w:rsidR="001E67FA" w:rsidRPr="00A8076F">
        <w:t>unemployment</w:t>
      </w:r>
      <w:r w:rsidR="00797FD0">
        <w:rPr>
          <w:rStyle w:val="FootnoteReference"/>
        </w:rPr>
        <w:footnoteReference w:id="18"/>
      </w:r>
      <w:r w:rsidR="001E67FA" w:rsidRPr="00A8076F">
        <w:t xml:space="preserve">. </w:t>
      </w:r>
      <w:r w:rsidR="00A06C6D">
        <w:t>W</w:t>
      </w:r>
      <w:r w:rsidR="001E67FA" w:rsidRPr="00A8076F">
        <w:t>ithin-county</w:t>
      </w:r>
      <w:r w:rsidR="001E67FA">
        <w:t xml:space="preserve"> unemployment rates range from 2</w:t>
      </w:r>
      <w:r w:rsidR="001E67FA" w:rsidRPr="00A8076F">
        <w:t xml:space="preserve">% to </w:t>
      </w:r>
      <w:r w:rsidR="00797FD0">
        <w:t>16</w:t>
      </w:r>
      <w:r w:rsidR="001E67FA" w:rsidRPr="00A8076F">
        <w:t>% across time</w:t>
      </w:r>
      <w:r w:rsidR="00A06C6D">
        <w:t xml:space="preserve"> within the sample of interest. Equation </w:t>
      </w:r>
      <w:r w:rsidR="001E67FA" w:rsidRPr="00A8076F">
        <w:t>(</w:t>
      </w:r>
      <w:r w:rsidR="00A40B9F">
        <w:t>4</w:t>
      </w:r>
      <w:r w:rsidR="001E67FA" w:rsidRPr="00A8076F">
        <w:t xml:space="preserve">) can </w:t>
      </w:r>
      <w:r w:rsidR="00A06C6D">
        <w:t xml:space="preserve">therefore </w:t>
      </w:r>
      <w:r w:rsidR="001E67FA" w:rsidRPr="00A8076F">
        <w:t xml:space="preserve">be estimated </w:t>
      </w:r>
      <w:r w:rsidR="00A06C6D">
        <w:t>for these</w:t>
      </w:r>
      <w:r w:rsidR="001E67FA" w:rsidRPr="00A8076F">
        <w:t xml:space="preserve"> values,</w:t>
      </w:r>
      <m:oMath>
        <m:r>
          <w:rPr>
            <w:rFonts w:ascii="Cambria Math" w:hAnsi="Cambria Math"/>
          </w:rPr>
          <m:t>u=[2, 3, 4….16]</m:t>
        </m:r>
      </m:oMath>
      <w:proofErr w:type="gramStart"/>
      <w:r w:rsidR="001E67FA" w:rsidRPr="00A8076F">
        <w:t>,</w:t>
      </w:r>
      <w:proofErr w:type="gramEnd"/>
      <w:r w:rsidR="001E67FA" w:rsidRPr="00A8076F">
        <w:t xml:space="preserve"> resulting in a range of estimates of the intergenerational coefficients,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φ</m:t>
                </m:r>
              </m:e>
            </m:acc>
          </m:e>
          <m:sub>
            <m:r>
              <w:rPr>
                <w:rFonts w:ascii="Cambria Math" w:hAnsi="Cambria Math"/>
              </w:rPr>
              <m:t>k</m:t>
            </m:r>
          </m:sub>
        </m:sSub>
        <m:r>
          <w:rPr>
            <w:rFonts w:ascii="Cambria Math" w:hAnsi="Cambria Math"/>
          </w:rPr>
          <m:t>-</m:t>
        </m:r>
        <m:acc>
          <m:accPr>
            <m:ctrlPr>
              <w:rPr>
                <w:rFonts w:ascii="Cambria Math" w:hAnsi="Cambria Math"/>
                <w:i/>
              </w:rPr>
            </m:ctrlPr>
          </m:accPr>
          <m:e>
            <m:r>
              <w:rPr>
                <w:rFonts w:ascii="Cambria Math" w:hAnsi="Cambria Math"/>
              </w:rPr>
              <m:t>θ</m:t>
            </m:r>
          </m:e>
        </m:acc>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m:t>
            </m:r>
          </m:sub>
        </m:sSub>
        <m:r>
          <w:rPr>
            <w:rFonts w:ascii="Cambria Math" w:hAnsi="Cambria Math"/>
          </w:rPr>
          <m:t>)  for k=2…16.</m:t>
        </m:r>
      </m:oMath>
      <w:r w:rsidR="001E67FA" w:rsidRPr="00A8076F">
        <w:t xml:space="preserve"> </w:t>
      </w:r>
    </w:p>
    <w:p w:rsidR="001E67FA" w:rsidRPr="00A8076F" w:rsidRDefault="001E67FA" w:rsidP="001E67FA">
      <w:pPr>
        <w:spacing w:line="360" w:lineRule="auto"/>
        <w:jc w:val="both"/>
      </w:pPr>
      <w:r w:rsidRPr="00A8076F">
        <w:t xml:space="preserve"> </w:t>
      </w:r>
    </w:p>
    <w:p w:rsidR="001E67FA" w:rsidRPr="00A8076F" w:rsidRDefault="00365423" w:rsidP="001E67FA">
      <w:pPr>
        <w:spacing w:line="360" w:lineRule="auto"/>
        <w:ind w:left="709" w:hanging="709"/>
        <w:jc w:val="both"/>
      </w:pPr>
      <m:oMath>
        <m:sSubSup>
          <m:sSubSupPr>
            <m:ctrlPr>
              <w:rPr>
                <w:rFonts w:ascii="Cambria Math" w:hAnsi="Cambria Math"/>
                <w:i/>
              </w:rPr>
            </m:ctrlPr>
          </m:sSubSupPr>
          <m:e>
            <m:r>
              <w:rPr>
                <w:rFonts w:ascii="Cambria Math" w:hAnsi="Cambria Math"/>
              </w:rPr>
              <m:t>w</m:t>
            </m:r>
          </m:e>
          <m:sub>
            <m:r>
              <w:rPr>
                <w:rFonts w:ascii="Cambria Math" w:hAnsi="Cambria Math"/>
              </w:rPr>
              <m:t>irt</m:t>
            </m:r>
          </m:sub>
          <m:sup>
            <m:r>
              <w:rPr>
                <w:rFonts w:ascii="Cambria Math" w:hAnsi="Cambria Math"/>
              </w:rPr>
              <m:t>son</m:t>
            </m:r>
          </m:sup>
        </m:sSubSup>
        <m:r>
          <w:rPr>
            <w:rFonts w:ascii="Cambria Math" w:hAnsi="Cambria Math"/>
          </w:rPr>
          <m:t>=α+</m:t>
        </m:r>
        <m:sSub>
          <m:sSubPr>
            <m:ctrlPr>
              <w:rPr>
                <w:rFonts w:ascii="Cambria Math" w:hAnsi="Cambria Math"/>
                <w:i/>
              </w:rPr>
            </m:ctrlPr>
          </m:sSubPr>
          <m:e>
            <m:r>
              <w:rPr>
                <w:rFonts w:ascii="Cambria Math" w:hAnsi="Cambria Math"/>
              </w:rPr>
              <m:t>φ</m:t>
            </m:r>
          </m:e>
          <m:sub>
            <m:r>
              <w:rPr>
                <w:rFonts w:ascii="Cambria Math" w:hAnsi="Cambria Math"/>
              </w:rPr>
              <m:t>k</m:t>
            </m:r>
          </m:sub>
        </m:sSub>
        <m:sSubSup>
          <m:sSubSupPr>
            <m:ctrlPr>
              <w:rPr>
                <w:rFonts w:ascii="Cambria Math" w:hAnsi="Cambria Math"/>
                <w:i/>
              </w:rPr>
            </m:ctrlPr>
          </m:sSubSupPr>
          <m:e>
            <m:r>
              <w:rPr>
                <w:rFonts w:ascii="Cambria Math" w:hAnsi="Cambria Math"/>
              </w:rPr>
              <m:t>w</m:t>
            </m:r>
          </m:e>
          <m:sub>
            <m:r>
              <w:rPr>
                <w:rFonts w:ascii="Cambria Math" w:hAnsi="Cambria Math"/>
              </w:rPr>
              <m:t>ir</m:t>
            </m:r>
          </m:sub>
          <m:sup>
            <m:r>
              <w:rPr>
                <w:rFonts w:ascii="Cambria Math" w:hAnsi="Cambria Math"/>
              </w:rPr>
              <m:t>father</m:t>
            </m:r>
          </m:sup>
        </m:sSubSup>
        <m:r>
          <w:rPr>
            <w:rFonts w:ascii="Cambria Math" w:hAnsi="Cambria Math"/>
          </w:rPr>
          <m:t>+θ</m:t>
        </m:r>
        <m:sSubSup>
          <m:sSubSupPr>
            <m:ctrlPr>
              <w:rPr>
                <w:rFonts w:ascii="Cambria Math" w:hAnsi="Cambria Math"/>
                <w:i/>
              </w:rPr>
            </m:ctrlPr>
          </m:sSubSupPr>
          <m:e>
            <m:r>
              <w:rPr>
                <w:rFonts w:ascii="Cambria Math" w:hAnsi="Cambria Math"/>
              </w:rPr>
              <m:t>w</m:t>
            </m:r>
          </m:e>
          <m:sub>
            <m:r>
              <w:rPr>
                <w:rFonts w:ascii="Cambria Math" w:hAnsi="Cambria Math"/>
              </w:rPr>
              <m:t>ir</m:t>
            </m:r>
          </m:sub>
          <m:sup>
            <m:r>
              <w:rPr>
                <w:rFonts w:ascii="Cambria Math" w:hAnsi="Cambria Math"/>
              </w:rPr>
              <m:t>f</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rt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m:t>
                </m:r>
              </m:sub>
            </m:sSub>
          </m:e>
        </m:d>
        <m:r>
          <w:rPr>
            <w:rFonts w:ascii="Cambria Math" w:hAnsi="Cambria Math"/>
          </w:rPr>
          <m:t>+τ</m:t>
        </m:r>
        <m:sSub>
          <m:sSubPr>
            <m:ctrlPr>
              <w:rPr>
                <w:rFonts w:ascii="Cambria Math" w:hAnsi="Cambria Math"/>
                <w:i/>
              </w:rPr>
            </m:ctrlPr>
          </m:sSubPr>
          <m:e>
            <m:r>
              <w:rPr>
                <w:rFonts w:ascii="Cambria Math" w:hAnsi="Cambria Math"/>
              </w:rPr>
              <m:t>u</m:t>
            </m:r>
          </m:e>
          <m:sub>
            <m:r>
              <w:rPr>
                <w:rFonts w:ascii="Cambria Math" w:hAnsi="Cambria Math"/>
              </w:rPr>
              <m:t>rt</m:t>
            </m:r>
          </m:sub>
        </m:sSub>
        <m:r>
          <w:rPr>
            <w:rFonts w:ascii="Cambria Math" w:hAnsi="Cambria Math"/>
          </w:rPr>
          <m:t>+</m:t>
        </m:r>
        <m:sSub>
          <m:sSubPr>
            <m:ctrlPr>
              <w:rPr>
                <w:rFonts w:ascii="Cambria Math" w:hAnsi="Cambria Math"/>
                <w:i/>
              </w:rPr>
            </m:ctrlPr>
          </m:sSubPr>
          <m:e>
            <m:r>
              <m:rPr>
                <m:sty m:val="bi"/>
              </m:rPr>
              <w:rPr>
                <w:rFonts w:ascii="Cambria Math" w:hAnsi="Cambria Math"/>
              </w:rPr>
              <m:t>A</m:t>
            </m:r>
          </m:e>
          <m:sub>
            <m:r>
              <w:rPr>
                <w:rFonts w:ascii="Cambria Math" w:hAnsi="Cambria Math"/>
              </w:rPr>
              <m:t>irt</m:t>
            </m:r>
          </m:sub>
        </m:sSub>
        <m:r>
          <w:rPr>
            <w:rFonts w:ascii="Cambria Math" w:hAnsi="Cambria Math"/>
          </w:rPr>
          <m:t>γ+</m:t>
        </m:r>
        <m:sSub>
          <m:sSubPr>
            <m:ctrlPr>
              <w:rPr>
                <w:rFonts w:ascii="Cambria Math" w:hAnsi="Cambria Math"/>
                <w:i/>
              </w:rPr>
            </m:ctrlPr>
          </m:sSubPr>
          <m:e>
            <m:r>
              <w:rPr>
                <w:rFonts w:ascii="Cambria Math" w:hAnsi="Cambria Math"/>
              </w:rPr>
              <m:t>e</m:t>
            </m:r>
          </m:e>
          <m:sub>
            <m:r>
              <w:rPr>
                <w:rFonts w:ascii="Cambria Math" w:hAnsi="Cambria Math"/>
              </w:rPr>
              <m:t>irt3</m:t>
            </m:r>
          </m:sub>
        </m:sSub>
      </m:oMath>
      <w:r w:rsidR="001E67FA" w:rsidRPr="00A8076F">
        <w:tab/>
        <w:t xml:space="preserve">  </w:t>
      </w:r>
      <w:r w:rsidR="00A40B9F">
        <w:tab/>
      </w:r>
      <w:r w:rsidR="001E67FA" w:rsidRPr="00A8076F">
        <w:t xml:space="preserve">   </w:t>
      </w:r>
      <w:r w:rsidR="00A40B9F">
        <w:t xml:space="preserve">         </w:t>
      </w:r>
      <w:r w:rsidR="001E67FA" w:rsidRPr="00A8076F">
        <w:t xml:space="preserve"> (</w:t>
      </w:r>
      <w:r w:rsidR="00A40B9F">
        <w:t>5</w:t>
      </w:r>
      <w:r w:rsidR="001E67FA" w:rsidRPr="00A8076F">
        <w:t>)</w:t>
      </w:r>
    </w:p>
    <w:p w:rsidR="0053407C" w:rsidRDefault="0053407C" w:rsidP="0053407C">
      <w:pPr>
        <w:pStyle w:val="ListParagraph"/>
        <w:spacing w:line="360" w:lineRule="auto"/>
        <w:jc w:val="both"/>
        <w:rPr>
          <w:b/>
        </w:rPr>
      </w:pPr>
    </w:p>
    <w:p w:rsidR="00251D6B" w:rsidRDefault="0053407C" w:rsidP="00080DE1">
      <w:pPr>
        <w:pStyle w:val="ListParagraph"/>
        <w:numPr>
          <w:ilvl w:val="0"/>
          <w:numId w:val="2"/>
        </w:numPr>
        <w:spacing w:after="120" w:line="360" w:lineRule="auto"/>
        <w:jc w:val="both"/>
        <w:rPr>
          <w:b/>
        </w:rPr>
      </w:pPr>
      <w:r>
        <w:rPr>
          <w:b/>
        </w:rPr>
        <w:t>Results</w:t>
      </w:r>
    </w:p>
    <w:p w:rsidR="007404F0" w:rsidRPr="007404F0" w:rsidRDefault="007404F0" w:rsidP="007404F0">
      <w:pPr>
        <w:pStyle w:val="ListParagraph"/>
        <w:numPr>
          <w:ilvl w:val="0"/>
          <w:numId w:val="4"/>
        </w:numPr>
        <w:spacing w:line="360" w:lineRule="auto"/>
        <w:jc w:val="both"/>
        <w:rPr>
          <w:b/>
        </w:rPr>
      </w:pPr>
      <w:r w:rsidRPr="007404F0">
        <w:rPr>
          <w:b/>
        </w:rPr>
        <w:t>Intergenerational worklessness</w:t>
      </w:r>
    </w:p>
    <w:p w:rsidR="00A06C6D" w:rsidRDefault="0053407C" w:rsidP="00A06C6D">
      <w:pPr>
        <w:spacing w:line="360" w:lineRule="auto"/>
        <w:jc w:val="both"/>
      </w:pPr>
      <w:r>
        <w:t>Table 2</w:t>
      </w:r>
      <w:r w:rsidRPr="00A8076F">
        <w:t xml:space="preserve"> presents </w:t>
      </w:r>
      <w:r w:rsidR="00A06C6D">
        <w:t xml:space="preserve">estimates of the association between having a workless father in childhood and spells out of work from leaving full time education until age 23 </w:t>
      </w:r>
      <w:r>
        <w:t>from</w:t>
      </w:r>
      <w:r w:rsidR="00A06C6D">
        <w:t xml:space="preserve"> </w:t>
      </w:r>
      <w:r w:rsidR="009B3476">
        <w:t xml:space="preserve">an </w:t>
      </w:r>
      <w:r w:rsidR="00A06C6D">
        <w:t>OLS regression of</w:t>
      </w:r>
      <w:r>
        <w:t xml:space="preserve"> equation (2)</w:t>
      </w:r>
      <w:r w:rsidR="00F23BE3">
        <w:t xml:space="preserve"> for three </w:t>
      </w:r>
      <w:r w:rsidR="00A06C6D">
        <w:t xml:space="preserve">UK </w:t>
      </w:r>
      <w:r w:rsidR="00F23BE3">
        <w:t>data sources</w:t>
      </w:r>
      <w:r>
        <w:t xml:space="preserve">. </w:t>
      </w:r>
      <w:r w:rsidRPr="00A8076F">
        <w:t>On average</w:t>
      </w:r>
      <w:r>
        <w:t xml:space="preserve">, </w:t>
      </w:r>
      <w:r w:rsidRPr="00A8076F">
        <w:t>son</w:t>
      </w:r>
      <w:r>
        <w:t>s</w:t>
      </w:r>
      <w:r w:rsidRPr="00A8076F">
        <w:t xml:space="preserve"> with a workless father </w:t>
      </w:r>
      <w:r>
        <w:t xml:space="preserve">at 11 and 16 </w:t>
      </w:r>
      <w:r w:rsidRPr="00A8076F">
        <w:t xml:space="preserve">spend </w:t>
      </w:r>
      <w:r w:rsidR="004147A5">
        <w:t>6.7</w:t>
      </w:r>
      <w:r>
        <w:t>%</w:t>
      </w:r>
      <w:r w:rsidRPr="00A8076F">
        <w:t xml:space="preserve"> more time out of work </w:t>
      </w:r>
      <w:r w:rsidR="00A06C6D">
        <w:t>over this period</w:t>
      </w:r>
      <w:r>
        <w:t xml:space="preserve"> than sons with fathers in employment at 11 and/or 16 </w:t>
      </w:r>
      <w:r w:rsidRPr="00A8076F">
        <w:t>in the NCDS</w:t>
      </w:r>
      <w:r>
        <w:t>.</w:t>
      </w:r>
      <w:r w:rsidRPr="00A8076F">
        <w:t xml:space="preserve"> </w:t>
      </w:r>
      <w:r>
        <w:t>In the BCS and BHPS cohorts, this differential experience by fathers</w:t>
      </w:r>
      <w:r w:rsidR="007404F0">
        <w:t>’</w:t>
      </w:r>
      <w:r>
        <w:t xml:space="preserve"> worklessness increases to </w:t>
      </w:r>
      <w:r w:rsidR="004147A5">
        <w:t>11.2</w:t>
      </w:r>
      <w:r>
        <w:t>%</w:t>
      </w:r>
      <w:r w:rsidR="004147A5">
        <w:t xml:space="preserve"> and 10.2%</w:t>
      </w:r>
      <w:r w:rsidRPr="00A8076F">
        <w:t xml:space="preserve"> more time out of work</w:t>
      </w:r>
      <w:r>
        <w:t xml:space="preserve"> </w:t>
      </w:r>
      <w:r w:rsidR="00A06C6D">
        <w:t xml:space="preserve">respectively </w:t>
      </w:r>
      <w:r>
        <w:t xml:space="preserve">from </w:t>
      </w:r>
      <w:r w:rsidR="004147A5">
        <w:t xml:space="preserve">leaving full time education to age </w:t>
      </w:r>
      <w:r>
        <w:t>23</w:t>
      </w:r>
      <w:r w:rsidRPr="00A8076F">
        <w:t>.</w:t>
      </w:r>
      <w:r w:rsidR="00C2714C">
        <w:t xml:space="preserve"> </w:t>
      </w:r>
    </w:p>
    <w:p w:rsidR="0053407C" w:rsidRDefault="00C2714C" w:rsidP="00A06C6D">
      <w:pPr>
        <w:spacing w:line="360" w:lineRule="auto"/>
        <w:ind w:firstLine="720"/>
        <w:jc w:val="both"/>
      </w:pPr>
      <w:r>
        <w:t xml:space="preserve">The second and third rows of Table 2 estimate intergenerational worklessness for </w:t>
      </w:r>
      <w:r w:rsidR="00114AC2" w:rsidRPr="00A8076F">
        <w:t>duration</w:t>
      </w:r>
      <w:r w:rsidR="00114AC2">
        <w:t>-</w:t>
      </w:r>
      <w:r w:rsidR="00114AC2" w:rsidRPr="00A8076F">
        <w:t>based measure of worklessness in the 2</w:t>
      </w:r>
      <w:r w:rsidR="00114AC2" w:rsidRPr="00A8076F">
        <w:rPr>
          <w:vertAlign w:val="superscript"/>
        </w:rPr>
        <w:t>nd</w:t>
      </w:r>
      <w:r w:rsidR="00114AC2" w:rsidRPr="00A8076F">
        <w:t xml:space="preserve"> generation</w:t>
      </w:r>
      <w:r>
        <w:t>. These</w:t>
      </w:r>
      <w:r w:rsidR="00114AC2">
        <w:t xml:space="preserve"> e</w:t>
      </w:r>
      <w:r>
        <w:t>stimates are from</w:t>
      </w:r>
      <w:r w:rsidR="00114AC2">
        <w:t xml:space="preserve"> linear probability models as the dependent variables are binary</w:t>
      </w:r>
      <w:r w:rsidR="00114AC2">
        <w:rPr>
          <w:rStyle w:val="FootnoteReference"/>
        </w:rPr>
        <w:footnoteReference w:id="19"/>
      </w:r>
      <w:r>
        <w:t>.</w:t>
      </w:r>
      <w:r w:rsidR="00114AC2" w:rsidRPr="00A8076F">
        <w:t xml:space="preserve"> </w:t>
      </w:r>
      <w:r>
        <w:t>S</w:t>
      </w:r>
      <w:r w:rsidR="00114AC2" w:rsidRPr="00A8076F">
        <w:t xml:space="preserve">ons with workless fathers are </w:t>
      </w:r>
      <w:r w:rsidR="00114AC2">
        <w:t xml:space="preserve">15 to </w:t>
      </w:r>
      <w:r w:rsidR="00114AC2" w:rsidRPr="00A8076F">
        <w:t>1</w:t>
      </w:r>
      <w:r w:rsidR="004147A5">
        <w:t>7</w:t>
      </w:r>
      <w:r w:rsidR="00114AC2">
        <w:t>%</w:t>
      </w:r>
      <w:r w:rsidR="00114AC2" w:rsidRPr="00A8076F">
        <w:t xml:space="preserve"> more likely to spend a year or more out of work than sons with employed fathers</w:t>
      </w:r>
      <w:r w:rsidR="00114AC2">
        <w:t xml:space="preserve"> from </w:t>
      </w:r>
      <w:r w:rsidR="004147A5">
        <w:t>leaving full time education t</w:t>
      </w:r>
      <w:r w:rsidR="00114AC2">
        <w:t>o</w:t>
      </w:r>
      <w:r w:rsidR="004147A5">
        <w:t xml:space="preserve"> age</w:t>
      </w:r>
      <w:r w:rsidR="00114AC2">
        <w:t xml:space="preserve"> 23</w:t>
      </w:r>
      <w:r w:rsidR="00114AC2" w:rsidRPr="00A8076F">
        <w:t xml:space="preserve">. </w:t>
      </w:r>
      <w:r w:rsidR="00114AC2">
        <w:t xml:space="preserve">However, there is very little incidence of </w:t>
      </w:r>
      <w:r w:rsidR="004147A5">
        <w:t>never working</w:t>
      </w:r>
      <w:r w:rsidR="00A33B20">
        <w:t xml:space="preserve"> (or </w:t>
      </w:r>
      <w:r w:rsidR="004147A5">
        <w:t>always being NET</w:t>
      </w:r>
      <w:r w:rsidR="00A33B20">
        <w:t>)</w:t>
      </w:r>
      <w:r w:rsidR="00114AC2" w:rsidRPr="00A8076F">
        <w:t>. For th</w:t>
      </w:r>
      <w:r w:rsidR="00434EE3">
        <w:t xml:space="preserve">e BCS </w:t>
      </w:r>
      <w:r w:rsidR="00114AC2" w:rsidRPr="00A8076F">
        <w:t>cohort if the father is workless</w:t>
      </w:r>
      <w:r w:rsidR="002E2179">
        <w:t>,</w:t>
      </w:r>
      <w:r w:rsidR="00114AC2" w:rsidRPr="00A8076F">
        <w:t xml:space="preserve"> the son is </w:t>
      </w:r>
      <w:r w:rsidR="004147A5">
        <w:t>4.3</w:t>
      </w:r>
      <w:r w:rsidR="00114AC2">
        <w:t>%</w:t>
      </w:r>
      <w:r w:rsidR="00114AC2" w:rsidRPr="00A8076F">
        <w:t xml:space="preserve"> more likely to </w:t>
      </w:r>
      <w:r w:rsidR="00A33B20">
        <w:t>be NET continuously from</w:t>
      </w:r>
      <w:r w:rsidR="004147A5">
        <w:t xml:space="preserve"> leaving full time education to age </w:t>
      </w:r>
      <w:r w:rsidR="00114AC2">
        <w:t xml:space="preserve">23 </w:t>
      </w:r>
      <w:r w:rsidR="00114AC2" w:rsidRPr="00A8076F">
        <w:t xml:space="preserve">than his counterpart with an employed father. </w:t>
      </w:r>
      <w:r w:rsidR="00434EE3">
        <w:t xml:space="preserve">In the BHPS, this relationship is negative with sons with workless fathers 1% less likely to never work from leaving full time education to age 23. </w:t>
      </w:r>
      <w:r w:rsidR="0053407C" w:rsidRPr="00A8076F">
        <w:lastRenderedPageBreak/>
        <w:t xml:space="preserve">Looking across all three measures of </w:t>
      </w:r>
      <w:r w:rsidR="007404F0">
        <w:t>sons’</w:t>
      </w:r>
      <w:r w:rsidR="0053407C" w:rsidRPr="00A8076F">
        <w:t xml:space="preserve"> worklessness, the coefficients in the BCS, born only a few years before the average year of birth for the BHPS cohort</w:t>
      </w:r>
      <w:r w:rsidR="0053407C">
        <w:t>,</w:t>
      </w:r>
      <w:r w:rsidR="0053407C" w:rsidRPr="00A8076F">
        <w:t xml:space="preserve"> are similar for the first two measures of sons’ workless experiences</w:t>
      </w:r>
      <w:r w:rsidR="00342EDA">
        <w:rPr>
          <w:rStyle w:val="FootnoteReference"/>
        </w:rPr>
        <w:footnoteReference w:id="20"/>
      </w:r>
      <w:r w:rsidR="0053407C" w:rsidRPr="00A8076F">
        <w:t>. This is reassuring and suggests some degree of comparability in the data sources despite the obvious differences including smaller sample sizes in the BHPS.</w:t>
      </w:r>
      <w:r w:rsidR="0012240C">
        <w:t xml:space="preserve"> </w:t>
      </w:r>
    </w:p>
    <w:p w:rsidR="00A6094C" w:rsidRPr="0053407C" w:rsidRDefault="00A6094C" w:rsidP="00A6094C">
      <w:pPr>
        <w:spacing w:line="360" w:lineRule="auto"/>
        <w:ind w:firstLine="720"/>
        <w:jc w:val="both"/>
      </w:pPr>
      <w:r w:rsidRPr="00A8076F">
        <w:t xml:space="preserve">To assess the impact of </w:t>
      </w:r>
      <w:r>
        <w:t>measurement error</w:t>
      </w:r>
      <w:r w:rsidRPr="00596170">
        <w:t xml:space="preserve"> </w:t>
      </w:r>
      <w:r>
        <w:t>on these estimates, driven by only observing short windows of data, I</w:t>
      </w:r>
      <w:r w:rsidRPr="00A8076F">
        <w:t xml:space="preserve"> </w:t>
      </w:r>
      <w:r>
        <w:t>compare estimates from a</w:t>
      </w:r>
      <w:r w:rsidRPr="00A8076F">
        <w:t xml:space="preserve"> longer</w:t>
      </w:r>
      <w:r>
        <w:t>-</w:t>
      </w:r>
      <w:r w:rsidRPr="00A8076F">
        <w:t xml:space="preserve">window of work history data available in the BHPS </w:t>
      </w:r>
      <w:r>
        <w:t>to the estimates from Table 2</w:t>
      </w:r>
      <w:r w:rsidRPr="00A8076F">
        <w:t>.</w:t>
      </w:r>
      <w:r>
        <w:t xml:space="preserve"> Table3</w:t>
      </w:r>
      <w:r w:rsidRPr="00A8076F">
        <w:t xml:space="preserve"> illustrates the estimate of </w:t>
      </w:r>
      <m:oMath>
        <m:acc>
          <m:accPr>
            <m:ctrlPr>
              <w:rPr>
                <w:rFonts w:ascii="Cambria Math" w:hAnsi="Cambria Math"/>
                <w:i/>
              </w:rPr>
            </m:ctrlPr>
          </m:accPr>
          <m:e>
            <m:r>
              <w:rPr>
                <w:rFonts w:ascii="Cambria Math" w:hAnsi="Cambria Math"/>
              </w:rPr>
              <m:t>β</m:t>
            </m:r>
          </m:e>
        </m:acc>
      </m:oMath>
      <w:r w:rsidRPr="00A8076F">
        <w:t xml:space="preserve"> from the BHPS using all observed information for </w:t>
      </w:r>
      <w:r>
        <w:t>fathers (typically from when the son is age 8-25)</w:t>
      </w:r>
      <w:r w:rsidR="00064642">
        <w:t xml:space="preserve"> to move </w:t>
      </w:r>
      <w:r w:rsidR="002E2179">
        <w:t>c</w:t>
      </w:r>
      <w:r w:rsidR="00064642">
        <w:t>loser to estimating equation (1) rather than (2)</w:t>
      </w:r>
      <w:r w:rsidR="002E2179">
        <w:rPr>
          <w:rStyle w:val="FootnoteReference"/>
        </w:rPr>
        <w:footnoteReference w:id="21"/>
      </w:r>
      <w:r w:rsidRPr="00A8076F">
        <w:t xml:space="preserve">. The </w:t>
      </w:r>
      <w:r>
        <w:t>estimated coefficients from using a longer-</w:t>
      </w:r>
      <w:r w:rsidR="002E2179">
        <w:t xml:space="preserve">window of work history data are </w:t>
      </w:r>
      <w:r>
        <w:t>similar to those estimated</w:t>
      </w:r>
      <w:r w:rsidRPr="00A8076F">
        <w:t xml:space="preserve"> using the </w:t>
      </w:r>
      <w:r>
        <w:t>short-window of work history data. This i</w:t>
      </w:r>
      <w:r w:rsidR="00B26C2A">
        <w:t xml:space="preserve">s driven by the fact that only </w:t>
      </w:r>
      <w:r w:rsidR="00D227FD">
        <w:t>2</w:t>
      </w:r>
      <w:r>
        <w:t>% of fathers are incorrectly defined as workless when observed at 12 and 16 when they are observed in employment</w:t>
      </w:r>
      <w:r w:rsidR="00D227FD">
        <w:t xml:space="preserve"> for the majority</w:t>
      </w:r>
      <w:r>
        <w:t xml:space="preserve"> </w:t>
      </w:r>
      <w:r w:rsidR="00D227FD">
        <w:t>of</w:t>
      </w:r>
      <w:r>
        <w:t xml:space="preserve"> the longer-window</w:t>
      </w:r>
      <w:r w:rsidR="00D227FD">
        <w:t>. Only 1% of fathers are incorrectly defined as employed at 12/16 when observed as workless for the majority of the longer-window</w:t>
      </w:r>
      <w:r>
        <w:t>.</w:t>
      </w:r>
      <w:r w:rsidR="002E2179">
        <w:t xml:space="preserve"> </w:t>
      </w:r>
      <w:r>
        <w:t xml:space="preserve">This suggests that short-window measures of worklessness that combine information at two points-in-time are good proxies for longer-window measures of worklessness. </w:t>
      </w:r>
    </w:p>
    <w:p w:rsidR="001C1E13" w:rsidRPr="00A8076F" w:rsidRDefault="001C1E13" w:rsidP="001C1E13">
      <w:pPr>
        <w:spacing w:line="360" w:lineRule="auto"/>
        <w:ind w:firstLine="720"/>
        <w:jc w:val="both"/>
      </w:pPr>
      <w:r>
        <w:t>To explore the potential role of life-cycle bias, Figure 1</w:t>
      </w:r>
      <w:r w:rsidRPr="00A8076F">
        <w:t xml:space="preserve"> plots the life-cycle trajectories of workless spells for quasi-cohorts of males of working age from the </w:t>
      </w:r>
      <w:r>
        <w:t>Labour Force Survey (</w:t>
      </w:r>
      <w:r w:rsidRPr="00A8076F">
        <w:t>LFS</w:t>
      </w:r>
      <w:r>
        <w:t>)</w:t>
      </w:r>
      <w:r w:rsidRPr="00A8076F">
        <w:t xml:space="preserve"> for periods from 1992 until 2010 across low</w:t>
      </w:r>
      <w:r w:rsidR="002E2179">
        <w:t>-</w:t>
      </w:r>
      <w:r w:rsidRPr="00A8076F">
        <w:t>educated and high</w:t>
      </w:r>
      <w:r w:rsidR="002E2179">
        <w:t>-</w:t>
      </w:r>
      <w:r w:rsidRPr="00A8076F">
        <w:t xml:space="preserve">educated groups. </w:t>
      </w:r>
      <w:r>
        <w:t xml:space="preserve">A </w:t>
      </w:r>
      <w:r w:rsidR="00952E01">
        <w:t xml:space="preserve">small </w:t>
      </w:r>
      <w:r w:rsidRPr="00A8076F">
        <w:t>difference in workless rates</w:t>
      </w:r>
      <w:r>
        <w:t xml:space="preserve"> exists on entry to the labour market at age 18</w:t>
      </w:r>
      <w:r w:rsidRPr="00A8076F">
        <w:t xml:space="preserve"> acr</w:t>
      </w:r>
      <w:r w:rsidR="00952E01">
        <w:t xml:space="preserve">oss the two education groups with </w:t>
      </w:r>
      <w:r w:rsidR="002E2179">
        <w:t>worklessness</w:t>
      </w:r>
      <w:r w:rsidR="00952E01">
        <w:t xml:space="preserve"> increasing at a faster rate</w:t>
      </w:r>
      <w:r w:rsidRPr="00A8076F">
        <w:t xml:space="preserve"> for low</w:t>
      </w:r>
      <w:r w:rsidR="002E2179">
        <w:t>-</w:t>
      </w:r>
      <w:r w:rsidRPr="00A8076F">
        <w:t>educated males in their late teens, parti</w:t>
      </w:r>
      <w:r w:rsidR="00952E01">
        <w:t>cularly in recessionary periods.</w:t>
      </w:r>
      <w:r w:rsidRPr="00A8076F">
        <w:t xml:space="preserve"> </w:t>
      </w:r>
      <w:r w:rsidR="00952E01">
        <w:t>T</w:t>
      </w:r>
      <w:r w:rsidRPr="00A8076F">
        <w:t>he gap</w:t>
      </w:r>
      <w:r w:rsidR="00952E01">
        <w:t xml:space="preserve"> between the two groups then settles</w:t>
      </w:r>
      <w:r w:rsidRPr="00A8076F">
        <w:t xml:space="preserve"> at a steady rate from their early to mid-20s. At the end of peoples’ careers high</w:t>
      </w:r>
      <w:r w:rsidR="002E2179">
        <w:t>-</w:t>
      </w:r>
      <w:r w:rsidRPr="00A8076F">
        <w:t>educated males catch up with the workless rates of low</w:t>
      </w:r>
      <w:r w:rsidR="002E2179">
        <w:t>-</w:t>
      </w:r>
      <w:r w:rsidRPr="00A8076F">
        <w:t>educated males, likely through early retirement.</w:t>
      </w:r>
      <w:r>
        <w:t xml:space="preserve"> </w:t>
      </w:r>
      <w:r w:rsidRPr="00A8076F">
        <w:t xml:space="preserve">This suggests that life-cycle bias may affect estimates of intergenerational </w:t>
      </w:r>
      <w:r w:rsidR="002E2179">
        <w:t>worklessness</w:t>
      </w:r>
      <w:r w:rsidRPr="00A8076F">
        <w:t xml:space="preserve"> focus</w:t>
      </w:r>
      <w:r w:rsidR="002E2179">
        <w:t>ed</w:t>
      </w:r>
      <w:r w:rsidRPr="00A8076F">
        <w:t xml:space="preserve"> on the earl</w:t>
      </w:r>
      <w:r w:rsidR="002E2179">
        <w:t>y or late stages of individuals’ careers.</w:t>
      </w:r>
    </w:p>
    <w:p w:rsidR="003D5BDD" w:rsidRDefault="001C1E13" w:rsidP="00A6094C">
      <w:pPr>
        <w:spacing w:line="360" w:lineRule="auto"/>
        <w:jc w:val="both"/>
      </w:pPr>
      <w:r>
        <w:lastRenderedPageBreak/>
        <w:tab/>
      </w:r>
      <w:r w:rsidRPr="00A8076F">
        <w:t xml:space="preserve">These life-cycle trajectories in workless spells across educational attainment suggest that </w:t>
      </w:r>
      <w:r>
        <w:t>the results from Table 2</w:t>
      </w:r>
      <w:r w:rsidRPr="00A8076F">
        <w:t xml:space="preserve"> may suffer from life-cycle bias as they </w:t>
      </w:r>
      <w:r>
        <w:t>focus on early labour market experiences</w:t>
      </w:r>
      <w:r w:rsidR="00434EE3">
        <w:t xml:space="preserve"> </w:t>
      </w:r>
      <w:r w:rsidR="002E2179">
        <w:t xml:space="preserve">from </w:t>
      </w:r>
      <w:r w:rsidR="00434EE3">
        <w:t xml:space="preserve">when the son leaves full time education to age </w:t>
      </w:r>
      <w:r w:rsidRPr="00A8076F">
        <w:t>23.</w:t>
      </w:r>
      <w:r>
        <w:t xml:space="preserve"> </w:t>
      </w:r>
      <w:r w:rsidR="00A6094C">
        <w:t>Table 4</w:t>
      </w:r>
      <w:r w:rsidRPr="00A8076F">
        <w:t xml:space="preserve"> presents </w:t>
      </w:r>
      <w:r w:rsidR="002E2179">
        <w:t>new estimates of intergenerational worklessness</w:t>
      </w:r>
      <w:r w:rsidRPr="00A8076F">
        <w:t xml:space="preserve"> for the two older cohort studies</w:t>
      </w:r>
      <w:r w:rsidR="00952E01">
        <w:rPr>
          <w:rStyle w:val="FootnoteReference"/>
        </w:rPr>
        <w:footnoteReference w:id="22"/>
      </w:r>
      <w:r w:rsidRPr="00A8076F">
        <w:t xml:space="preserve"> comparing the estimates from </w:t>
      </w:r>
      <w:r w:rsidR="002E2179">
        <w:t>Table 2</w:t>
      </w:r>
      <w:r w:rsidRPr="00A8076F">
        <w:t xml:space="preserve"> to estimates </w:t>
      </w:r>
      <w:r w:rsidR="002E2179">
        <w:t>using</w:t>
      </w:r>
      <w:r w:rsidRPr="00A8076F">
        <w:t xml:space="preserve"> sons’ worklessness from </w:t>
      </w:r>
      <w:r w:rsidR="00434EE3">
        <w:t>age 23 to</w:t>
      </w:r>
      <w:r w:rsidRPr="00A8076F">
        <w:t xml:space="preserve"> 29. In the NCDS</w:t>
      </w:r>
      <w:r w:rsidR="00FF66AF">
        <w:t xml:space="preserve"> the</w:t>
      </w:r>
      <w:r w:rsidR="00A6094C">
        <w:t xml:space="preserve"> intergenerational </w:t>
      </w:r>
      <w:r w:rsidR="00FF66AF">
        <w:t>associations</w:t>
      </w:r>
      <w:r w:rsidR="00A6094C">
        <w:t xml:space="preserve"> are </w:t>
      </w:r>
      <w:r w:rsidR="00A6094C" w:rsidRPr="00A8076F">
        <w:t xml:space="preserve">similar </w:t>
      </w:r>
      <w:r w:rsidR="00A6094C">
        <w:t xml:space="preserve">for each measure of worklessness </w:t>
      </w:r>
      <w:r w:rsidR="00797FD0">
        <w:t>for the earlier and later observed period of work history of the son</w:t>
      </w:r>
      <w:r w:rsidR="004A57B1">
        <w:t xml:space="preserve">. </w:t>
      </w:r>
      <w:r w:rsidR="00952E01">
        <w:t>I</w:t>
      </w:r>
      <w:r w:rsidR="004A2134">
        <w:t xml:space="preserve">n the BCS </w:t>
      </w:r>
      <w:r w:rsidR="002E2179" w:rsidRPr="00A8076F">
        <w:t>there is evidence of downw</w:t>
      </w:r>
      <w:r w:rsidR="004A2134">
        <w:t xml:space="preserve">ard bias in early estimates of </w:t>
      </w:r>
      <w:r w:rsidR="002E2179" w:rsidRPr="00A8076F">
        <w:t>intergenerational</w:t>
      </w:r>
      <w:r w:rsidR="002E2179">
        <w:t xml:space="preserve"> </w:t>
      </w:r>
      <w:r w:rsidR="004A2134">
        <w:t>worklessness</w:t>
      </w:r>
      <w:r w:rsidR="002E2179">
        <w:t>. T</w:t>
      </w:r>
      <w:r w:rsidR="004A57B1">
        <w:t>he estimated</w:t>
      </w:r>
      <w:r w:rsidRPr="00A8076F">
        <w:t xml:space="preserve"> </w:t>
      </w:r>
      <w:r w:rsidR="003D5BDD">
        <w:t>coefficients increase across all measures of sons’ worklessness</w:t>
      </w:r>
      <w:r w:rsidR="00952E01">
        <w:t xml:space="preserve"> when </w:t>
      </w:r>
      <w:r w:rsidR="004A2134">
        <w:t>using</w:t>
      </w:r>
      <w:r w:rsidR="00952E01">
        <w:t xml:space="preserve"> the </w:t>
      </w:r>
      <w:r w:rsidR="002E2179">
        <w:t>later measures of sons’ work histories</w:t>
      </w:r>
      <w:r w:rsidR="003D5BDD">
        <w:t>. For this reason the next section will only focus on the period from age 23-29.</w:t>
      </w:r>
    </w:p>
    <w:p w:rsidR="001C1E13" w:rsidRDefault="001C1E13" w:rsidP="007A381B">
      <w:pPr>
        <w:spacing w:line="360" w:lineRule="auto"/>
        <w:ind w:firstLine="720"/>
        <w:jc w:val="both"/>
      </w:pPr>
      <w:r>
        <w:t xml:space="preserve">Note that </w:t>
      </w:r>
      <w:r w:rsidR="004A2134">
        <w:t xml:space="preserve">when life-cycle bias is accounted for, </w:t>
      </w:r>
      <w:r>
        <w:t xml:space="preserve">the difference in intergenerational worklessness </w:t>
      </w:r>
      <w:r w:rsidR="006E5EC7">
        <w:t xml:space="preserve">across time </w:t>
      </w:r>
      <w:r>
        <w:t>becomes more pronounced</w:t>
      </w:r>
      <w:r w:rsidR="004A2134">
        <w:t>.</w:t>
      </w:r>
      <w:r>
        <w:t xml:space="preserve"> </w:t>
      </w:r>
      <w:r w:rsidR="004A2134">
        <w:t>Sons with workless fathers in t</w:t>
      </w:r>
      <w:r>
        <w:t xml:space="preserve">he BCS </w:t>
      </w:r>
      <w:r w:rsidR="004A2134">
        <w:t>face and additional</w:t>
      </w:r>
      <w:r>
        <w:t xml:space="preserve"> </w:t>
      </w:r>
      <w:r w:rsidR="004A57B1">
        <w:t>9.2</w:t>
      </w:r>
      <w:r w:rsidR="006E5EC7">
        <w:t xml:space="preserve"> percentage points</w:t>
      </w:r>
      <w:r w:rsidR="00BC6B73">
        <w:t xml:space="preserve"> (statistically significantly)</w:t>
      </w:r>
      <w:r w:rsidR="006E5EC7">
        <w:t xml:space="preserve"> </w:t>
      </w:r>
      <w:r w:rsidR="004A2134">
        <w:t xml:space="preserve">penalty compared to sons with workless fathers in </w:t>
      </w:r>
      <w:r w:rsidR="006E5EC7">
        <w:t xml:space="preserve">the </w:t>
      </w:r>
      <w:r w:rsidR="004A2134">
        <w:t>NCDS,</w:t>
      </w:r>
      <w:r w:rsidR="00415DFB">
        <w:t xml:space="preserve"> </w:t>
      </w:r>
      <w:r w:rsidR="00415DFB" w:rsidRPr="00A8076F">
        <w:t>as has been seen in the intergenerational mobility literature</w:t>
      </w:r>
      <w:r w:rsidR="00415DFB">
        <w:t xml:space="preserve"> (</w:t>
      </w:r>
      <w:proofErr w:type="spellStart"/>
      <w:r w:rsidR="00415DFB">
        <w:t>Blanden</w:t>
      </w:r>
      <w:proofErr w:type="spellEnd"/>
      <w:r w:rsidR="00415DFB">
        <w:t xml:space="preserve"> et. al., 2005)</w:t>
      </w:r>
      <w:r w:rsidR="007A381B">
        <w:rPr>
          <w:rStyle w:val="FootnoteReference"/>
        </w:rPr>
        <w:footnoteReference w:id="23"/>
      </w:r>
      <w:r w:rsidR="0028684A">
        <w:t>.</w:t>
      </w:r>
      <w:r w:rsidR="0028684A" w:rsidRPr="0028684A">
        <w:t xml:space="preserve"> </w:t>
      </w:r>
      <w:r w:rsidR="003D5BDD">
        <w:t xml:space="preserve">Similarly, for spending a year or more out of work the estimated coefficient is 12.8 percentage points higher in the BCS compared to the NCDS. </w:t>
      </w:r>
      <w:r w:rsidR="0028684A" w:rsidRPr="00A8076F">
        <w:t>Worklessness is therefore another domain in which family background has become an increasing predictor of later life chances for the younger BCS cohort in the UK</w:t>
      </w:r>
      <w:r w:rsidR="0028684A">
        <w:t xml:space="preserve"> once potential biases have been accounted for</w:t>
      </w:r>
      <w:r w:rsidR="0028684A" w:rsidRPr="00A8076F">
        <w:t>.</w:t>
      </w:r>
    </w:p>
    <w:p w:rsidR="007404F0" w:rsidRDefault="007404F0" w:rsidP="007404F0">
      <w:pPr>
        <w:spacing w:line="360" w:lineRule="auto"/>
        <w:jc w:val="both"/>
      </w:pPr>
    </w:p>
    <w:p w:rsidR="00823AD4" w:rsidRPr="00030F0B" w:rsidRDefault="007404F0" w:rsidP="00030F0B">
      <w:pPr>
        <w:pStyle w:val="ListParagraph"/>
        <w:numPr>
          <w:ilvl w:val="0"/>
          <w:numId w:val="4"/>
        </w:numPr>
        <w:spacing w:after="200" w:line="276" w:lineRule="auto"/>
        <w:jc w:val="both"/>
        <w:rPr>
          <w:rFonts w:eastAsiaTheme="minorEastAsia"/>
          <w:b/>
          <w:color w:val="000000"/>
          <w:szCs w:val="21"/>
          <w:lang w:eastAsia="zh-CN"/>
        </w:rPr>
      </w:pPr>
      <w:r w:rsidRPr="00030F0B">
        <w:rPr>
          <w:b/>
        </w:rPr>
        <w:t>The role of local labour market conditions</w:t>
      </w:r>
    </w:p>
    <w:p w:rsidR="002101E9" w:rsidRDefault="00A6094C" w:rsidP="00823AD4">
      <w:pPr>
        <w:spacing w:line="360" w:lineRule="auto"/>
        <w:jc w:val="both"/>
      </w:pPr>
      <w:r>
        <w:t>Table 5</w:t>
      </w:r>
      <w:r w:rsidR="00823AD4" w:rsidRPr="00A8076F">
        <w:t xml:space="preserve"> </w:t>
      </w:r>
      <w:r w:rsidR="00823AD4">
        <w:t>presents estimates of intergenerational worklessness, exploring the role of local labour market conditions</w:t>
      </w:r>
      <w:r w:rsidR="00823AD4" w:rsidRPr="00A8076F">
        <w:t xml:space="preserve">. The </w:t>
      </w:r>
      <w:r w:rsidR="00823AD4">
        <w:t>first</w:t>
      </w:r>
      <w:r w:rsidR="00823AD4" w:rsidRPr="00A8076F">
        <w:t xml:space="preserve"> row presents the </w:t>
      </w:r>
      <w:r w:rsidR="00823AD4">
        <w:t>estimate of intergenerational worklessness from an OLS model</w:t>
      </w:r>
      <w:r w:rsidR="00525C12">
        <w:t>,</w:t>
      </w:r>
      <w:r w:rsidR="00823AD4">
        <w:t xml:space="preserve"> as in </w:t>
      </w:r>
      <w:r w:rsidR="005927F0">
        <w:t>Table 4</w:t>
      </w:r>
      <w:r w:rsidR="00525C12">
        <w:t>,</w:t>
      </w:r>
      <w:r w:rsidR="00823AD4">
        <w:t xml:space="preserve"> for a restricted sample of</w:t>
      </w:r>
      <w:r w:rsidR="00823AD4" w:rsidRPr="00A8076F">
        <w:t xml:space="preserve"> individuals for whom LEA information and county level unemployment data is available</w:t>
      </w:r>
      <w:r w:rsidR="005927F0">
        <w:t>. T</w:t>
      </w:r>
      <w:r w:rsidR="00823AD4" w:rsidRPr="00A8076F">
        <w:t xml:space="preserve">he intergenerational coefficient </w:t>
      </w:r>
      <w:r w:rsidR="005927F0">
        <w:t>is</w:t>
      </w:r>
      <w:r w:rsidR="00823AD4" w:rsidRPr="00A8076F">
        <w:t xml:space="preserve"> 1.</w:t>
      </w:r>
      <w:r w:rsidR="003D5BDD">
        <w:t>9</w:t>
      </w:r>
      <w:r w:rsidR="00823AD4">
        <w:t xml:space="preserve"> percentage points</w:t>
      </w:r>
      <w:r w:rsidR="003D5BDD">
        <w:t xml:space="preserve"> </w:t>
      </w:r>
      <w:r w:rsidR="005927F0">
        <w:t xml:space="preserve">smaller for this sample </w:t>
      </w:r>
      <w:r w:rsidR="003D5BDD">
        <w:t xml:space="preserve">(from the first row, last column of </w:t>
      </w:r>
      <w:r>
        <w:t>Table 4</w:t>
      </w:r>
      <w:r w:rsidR="003D5BDD">
        <w:t>)</w:t>
      </w:r>
      <w:r w:rsidR="005927F0">
        <w:t xml:space="preserve"> indicating that i</w:t>
      </w:r>
      <w:r w:rsidR="005927F0" w:rsidRPr="00A8076F">
        <w:t xml:space="preserve">ndividuals with </w:t>
      </w:r>
      <w:r w:rsidR="005927F0">
        <w:t xml:space="preserve">area </w:t>
      </w:r>
      <w:r w:rsidR="005927F0" w:rsidRPr="00A8076F">
        <w:t>information</w:t>
      </w:r>
      <w:r w:rsidR="005927F0">
        <w:t xml:space="preserve"> available</w:t>
      </w:r>
      <w:r w:rsidR="005927F0" w:rsidRPr="00A8076F">
        <w:t xml:space="preserve"> are slightly more advantaged in terms of the impact of fathers</w:t>
      </w:r>
      <w:r w:rsidR="005927F0">
        <w:t>’</w:t>
      </w:r>
      <w:r w:rsidR="005927F0" w:rsidRPr="00A8076F">
        <w:t xml:space="preserve"> workless spells on the</w:t>
      </w:r>
      <w:r w:rsidR="005927F0">
        <w:t>ir own work experiences</w:t>
      </w:r>
      <w:r w:rsidR="00823AD4" w:rsidRPr="00A8076F">
        <w:t xml:space="preserve">. This </w:t>
      </w:r>
      <w:r w:rsidR="00525C12">
        <w:t xml:space="preserve">estimate is the baseline comparison </w:t>
      </w:r>
      <w:r w:rsidR="005927F0">
        <w:t>f</w:t>
      </w:r>
      <w:r w:rsidR="00525C12">
        <w:t>o</w:t>
      </w:r>
      <w:r w:rsidR="005927F0">
        <w:t>r</w:t>
      </w:r>
      <w:r w:rsidR="00525C12">
        <w:t xml:space="preserve"> the </w:t>
      </w:r>
      <w:r w:rsidR="005927F0">
        <w:t>following models</w:t>
      </w:r>
      <w:r w:rsidR="00525C12">
        <w:t xml:space="preserve">. </w:t>
      </w:r>
    </w:p>
    <w:p w:rsidR="00823AD4" w:rsidRDefault="005927F0" w:rsidP="002101E9">
      <w:pPr>
        <w:spacing w:line="360" w:lineRule="auto"/>
        <w:ind w:firstLine="720"/>
        <w:jc w:val="both"/>
      </w:pPr>
      <w:r>
        <w:lastRenderedPageBreak/>
        <w:t>C</w:t>
      </w:r>
      <w:r w:rsidR="00525C12">
        <w:t xml:space="preserve">ontrolling for any differences between </w:t>
      </w:r>
      <w:r w:rsidR="002101E9">
        <w:t xml:space="preserve">local </w:t>
      </w:r>
      <w:r w:rsidR="00525C12">
        <w:t>labour markets across</w:t>
      </w:r>
      <w:r w:rsidR="002101E9">
        <w:t xml:space="preserve"> LEA/</w:t>
      </w:r>
      <w:r w:rsidR="00525C12">
        <w:t>counties</w:t>
      </w:r>
      <w:r>
        <w:t>,</w:t>
      </w:r>
      <w:r w:rsidRPr="005927F0">
        <w:t xml:space="preserve"> </w:t>
      </w:r>
      <w:r>
        <w:t>with within-LEA and within-county fixed effects models (equation 3),</w:t>
      </w:r>
      <w:r w:rsidR="00823AD4" w:rsidRPr="00A8076F">
        <w:t xml:space="preserve"> does </w:t>
      </w:r>
      <w:r w:rsidR="001C62A5">
        <w:t>very</w:t>
      </w:r>
      <w:r w:rsidR="00823AD4" w:rsidRPr="00A8076F">
        <w:t xml:space="preserve"> little to the point estimate </w:t>
      </w:r>
      <w:r w:rsidR="00525C12">
        <w:t>of intergenerational worklessness</w:t>
      </w:r>
      <w:r w:rsidR="00823AD4" w:rsidRPr="00A8076F">
        <w:t xml:space="preserve">. The </w:t>
      </w:r>
      <w:r w:rsidR="002101E9">
        <w:t xml:space="preserve">estimated </w:t>
      </w:r>
      <w:r w:rsidR="00823AD4" w:rsidRPr="00A8076F">
        <w:t>co</w:t>
      </w:r>
      <w:r w:rsidR="00525C12">
        <w:t>efficient</w:t>
      </w:r>
      <w:r w:rsidR="00823AD4" w:rsidRPr="00A8076F">
        <w:t xml:space="preserve"> falls by </w:t>
      </w:r>
      <w:r w:rsidR="00066C51">
        <w:t>0.</w:t>
      </w:r>
      <w:r w:rsidR="00A13937">
        <w:t>6</w:t>
      </w:r>
      <w:r w:rsidR="00066C51">
        <w:t xml:space="preserve"> percentage points for the within-LEA model and </w:t>
      </w:r>
      <w:r w:rsidR="00823AD4">
        <w:t>0</w:t>
      </w:r>
      <w:r w:rsidR="00823AD4" w:rsidRPr="00A8076F">
        <w:t>.</w:t>
      </w:r>
      <w:r w:rsidR="00A13937">
        <w:t>9</w:t>
      </w:r>
      <w:r w:rsidR="00823AD4">
        <w:t xml:space="preserve"> percentage points</w:t>
      </w:r>
      <w:r w:rsidR="00066C51">
        <w:t xml:space="preserve"> for the within-county model</w:t>
      </w:r>
      <w:r w:rsidR="009507D0">
        <w:rPr>
          <w:rStyle w:val="FootnoteReference"/>
        </w:rPr>
        <w:footnoteReference w:id="24"/>
      </w:r>
      <w:r w:rsidR="00823AD4" w:rsidRPr="00A8076F">
        <w:t xml:space="preserve">. This suggests that </w:t>
      </w:r>
      <w:r w:rsidR="00FF66AF">
        <w:t xml:space="preserve">the </w:t>
      </w:r>
      <w:r w:rsidR="00B84CCB">
        <w:t xml:space="preserve">majority of the estimated association in workless spells across generations </w:t>
      </w:r>
      <w:r w:rsidR="00603E71">
        <w:t>does not arise because</w:t>
      </w:r>
      <w:r w:rsidR="00B84CCB">
        <w:t xml:space="preserve"> some fathers and sons live in </w:t>
      </w:r>
      <w:r w:rsidR="00FF66AF">
        <w:t xml:space="preserve">weaker labour markets, such as </w:t>
      </w:r>
      <w:r w:rsidR="00B84CCB">
        <w:t>Liverpool</w:t>
      </w:r>
      <w:r w:rsidR="00FF66AF">
        <w:t>,</w:t>
      </w:r>
      <w:r w:rsidR="00B84CCB">
        <w:t xml:space="preserve"> </w:t>
      </w:r>
      <w:r w:rsidR="00FF66AF">
        <w:t>and some</w:t>
      </w:r>
      <w:r w:rsidR="00B84CCB">
        <w:t xml:space="preserve"> fa</w:t>
      </w:r>
      <w:r w:rsidR="00FF66AF">
        <w:t>thers and sons live in stronger labour markets such as Kent.</w:t>
      </w:r>
    </w:p>
    <w:p w:rsidR="00823AD4" w:rsidRDefault="00823AD4" w:rsidP="00823AD4">
      <w:pPr>
        <w:spacing w:line="360" w:lineRule="auto"/>
        <w:jc w:val="both"/>
      </w:pPr>
      <w:r>
        <w:tab/>
      </w:r>
      <w:r w:rsidRPr="00A8076F">
        <w:t xml:space="preserve">The </w:t>
      </w:r>
      <w:r w:rsidR="00066C51">
        <w:t xml:space="preserve">fourth row of Table 5 shows the estimate of intergenerational worklessness if the county level unemployment rate is included in the model without an interaction. </w:t>
      </w:r>
      <w:r w:rsidR="00603E71">
        <w:t>The estimated association is</w:t>
      </w:r>
      <w:r w:rsidR="00066C51">
        <w:t xml:space="preserve"> very similar</w:t>
      </w:r>
      <w:r w:rsidR="00603E71">
        <w:t xml:space="preserve"> </w:t>
      </w:r>
      <w:r w:rsidR="00066C51">
        <w:t>to the fixed effects model</w:t>
      </w:r>
      <w:r w:rsidR="00A13937">
        <w:t>s</w:t>
      </w:r>
      <w:r w:rsidR="00066C51">
        <w:t xml:space="preserve">. The </w:t>
      </w:r>
      <w:r>
        <w:t>final row</w:t>
      </w:r>
      <w:r w:rsidRPr="00A8076F">
        <w:t xml:space="preserve"> of</w:t>
      </w:r>
      <w:r>
        <w:t xml:space="preserve"> Table </w:t>
      </w:r>
      <w:r w:rsidR="00525C12">
        <w:t>5</w:t>
      </w:r>
      <w:r w:rsidRPr="00A8076F">
        <w:t xml:space="preserve"> presents the results from the i</w:t>
      </w:r>
      <w:r>
        <w:t>nteraction model in equation (</w:t>
      </w:r>
      <w:r w:rsidR="00525C12">
        <w:t xml:space="preserve">4). The estimated intergenerational coefficient </w:t>
      </w:r>
      <w:r w:rsidRPr="00A8076F">
        <w:t xml:space="preserve">decreases by </w:t>
      </w:r>
      <w:r w:rsidR="00A13937">
        <w:t>1.5</w:t>
      </w:r>
      <w:r w:rsidR="00066C51">
        <w:t xml:space="preserve"> </w:t>
      </w:r>
      <w:r>
        <w:t>percentage point</w:t>
      </w:r>
      <w:r w:rsidR="00525C12">
        <w:t>s</w:t>
      </w:r>
      <w:r w:rsidRPr="00A8076F">
        <w:t xml:space="preserve"> from the model with no interaction</w:t>
      </w:r>
      <w:r w:rsidR="00603E71">
        <w:t xml:space="preserve"> and t</w:t>
      </w:r>
      <w:r w:rsidRPr="00A8076F">
        <w:t xml:space="preserve">he estimated interaction effect is striking. </w:t>
      </w:r>
      <w:r w:rsidR="00603E71">
        <w:t>An increase in unemployment rates has little e</w:t>
      </w:r>
      <w:r w:rsidRPr="00A8076F">
        <w:t>ffect</w:t>
      </w:r>
      <w:r w:rsidR="00603E71">
        <w:t xml:space="preserve"> on</w:t>
      </w:r>
      <w:r w:rsidRPr="00A8076F">
        <w:t xml:space="preserve"> the </w:t>
      </w:r>
      <w:r w:rsidR="00603E71">
        <w:t xml:space="preserve">estimated </w:t>
      </w:r>
      <w:r w:rsidRPr="00A8076F">
        <w:t xml:space="preserve">intergenerational coefficient </w:t>
      </w:r>
      <w:r>
        <w:t>within local labour markets</w:t>
      </w:r>
      <w:r w:rsidR="00603E71">
        <w:t xml:space="preserve"> for</w:t>
      </w:r>
      <w:r w:rsidRPr="00A8076F">
        <w:t xml:space="preserve"> sons with employed fathers</w:t>
      </w:r>
      <w:r w:rsidR="00603E71">
        <w:t xml:space="preserve"> but there is a significant additional penalty</w:t>
      </w:r>
      <w:r w:rsidR="00603E71" w:rsidRPr="00603E71">
        <w:t xml:space="preserve"> </w:t>
      </w:r>
      <w:r w:rsidR="00603E71">
        <w:t>of increasing unemployment rates for sons with workless fathers</w:t>
      </w:r>
      <w:r w:rsidRPr="00A8076F">
        <w:t xml:space="preserve">. The </w:t>
      </w:r>
      <w:r w:rsidR="00B84CCB">
        <w:t>association in workless spells across generations</w:t>
      </w:r>
      <w:r w:rsidR="00021D69">
        <w:t xml:space="preserve"> is</w:t>
      </w:r>
      <w:r w:rsidRPr="00A8076F">
        <w:t xml:space="preserve"> driven by </w:t>
      </w:r>
      <w:r w:rsidR="00021D69">
        <w:t>a combination of both the labour market</w:t>
      </w:r>
      <w:r w:rsidRPr="00A8076F">
        <w:t xml:space="preserve"> experienced and the fathers’ experience of workless spells. The vulnerable group, those with workless fathers, are hit harder by worse local labour market conditions</w:t>
      </w:r>
      <w:r w:rsidR="00603E71">
        <w:rPr>
          <w:rStyle w:val="FootnoteReference"/>
        </w:rPr>
        <w:footnoteReference w:id="25"/>
      </w:r>
      <w:r w:rsidRPr="00A8076F">
        <w:t>.</w:t>
      </w:r>
    </w:p>
    <w:p w:rsidR="00342EDA" w:rsidRDefault="00342EDA" w:rsidP="00342EDA">
      <w:pPr>
        <w:spacing w:line="360" w:lineRule="auto"/>
        <w:ind w:firstLine="720"/>
        <w:jc w:val="both"/>
      </w:pPr>
      <w:r>
        <w:t>Figure 2</w:t>
      </w:r>
      <w:r w:rsidRPr="00A8076F">
        <w:t xml:space="preserve"> illustrates this point, plotting the range of estimates from equation (</w:t>
      </w:r>
      <w:r>
        <w:t>5</w:t>
      </w:r>
      <w:r w:rsidRPr="00A8076F">
        <w:t>) across the various different unemployment rates observed in the data. The results are striking. Sons with workless fathers in weaker labour markets spen</w:t>
      </w:r>
      <w:r w:rsidR="001C62A5">
        <w:t>d</w:t>
      </w:r>
      <w:r w:rsidRPr="00A8076F">
        <w:t xml:space="preserve"> over </w:t>
      </w:r>
      <w:r>
        <w:t>30%</w:t>
      </w:r>
      <w:r w:rsidRPr="00A8076F">
        <w:t xml:space="preserve"> more time </w:t>
      </w:r>
      <w:r>
        <w:t>out of work</w:t>
      </w:r>
      <w:r w:rsidRPr="00A8076F">
        <w:t xml:space="preserve"> than sons with employed fathers</w:t>
      </w:r>
      <w:r>
        <w:t xml:space="preserve"> in the same local labour markets</w:t>
      </w:r>
      <w:r w:rsidRPr="00A8076F">
        <w:t>. By contrast, there is no significant difference</w:t>
      </w:r>
      <w:r w:rsidR="00021D69">
        <w:t xml:space="preserve"> in the time spent workless for sons with </w:t>
      </w:r>
      <w:r w:rsidRPr="00A8076F">
        <w:t>workless fathers compared to sons with employed fathers</w:t>
      </w:r>
      <w:r w:rsidR="00603E71">
        <w:t xml:space="preserve"> in</w:t>
      </w:r>
      <w:r w:rsidR="00603E71" w:rsidRPr="00A8076F">
        <w:t xml:space="preserve"> labour markets </w:t>
      </w:r>
      <w:r w:rsidR="00603E71">
        <w:t>with low unemployment</w:t>
      </w:r>
      <w:r w:rsidRPr="00A8076F">
        <w:t>. The gap in the proportion of time spent out of work between sons with e</w:t>
      </w:r>
      <w:r w:rsidR="00021D69">
        <w:t>mployed fathers and</w:t>
      </w:r>
      <w:r w:rsidRPr="00A8076F">
        <w:t xml:space="preserve"> sons with workless </w:t>
      </w:r>
      <w:r w:rsidR="00603E71" w:rsidRPr="00A8076F">
        <w:t>fathers’</w:t>
      </w:r>
      <w:r w:rsidRPr="00A8076F">
        <w:t xml:space="preserve"> </w:t>
      </w:r>
      <w:r>
        <w:t>increases with unemployment</w:t>
      </w:r>
      <w:r w:rsidR="00021D69">
        <w:t xml:space="preserve"> rates</w:t>
      </w:r>
      <w:r w:rsidRPr="00A8076F">
        <w:t xml:space="preserve">. </w:t>
      </w:r>
      <w:r w:rsidR="001C62A5">
        <w:t xml:space="preserve">This finding holds if the outcome variable is the proportion of time spent unemployed rather than the proportion of time spent workless. This suggests that this is driven by unemployment rather than withdrawal from the labour market.  </w:t>
      </w:r>
    </w:p>
    <w:p w:rsidR="0081051D" w:rsidRDefault="00B84CCB" w:rsidP="00B84CCB">
      <w:pPr>
        <w:spacing w:line="360" w:lineRule="auto"/>
        <w:ind w:firstLine="720"/>
        <w:jc w:val="both"/>
      </w:pPr>
      <w:r>
        <w:lastRenderedPageBreak/>
        <w:t>One potential mechanism for this finding is the</w:t>
      </w:r>
      <w:r w:rsidR="003517F0">
        <w:t xml:space="preserve"> role of networks in job search. While data on the role of networks in job search in the UK is </w:t>
      </w:r>
      <w:r w:rsidR="00603E71">
        <w:t>limited</w:t>
      </w:r>
      <w:r w:rsidR="003517F0">
        <w:t>, there is evidence</w:t>
      </w:r>
      <w:r w:rsidRPr="00A8076F">
        <w:t xml:space="preserve"> </w:t>
      </w:r>
      <w:r w:rsidR="003517F0">
        <w:t>from other countries that informal networks matter for job search and that these networks become increasingly important as unemployment increases.</w:t>
      </w:r>
      <w:r w:rsidR="008E11D2">
        <w:t xml:space="preserve"> In the intergenerational occupation literature, </w:t>
      </w:r>
      <w:proofErr w:type="spellStart"/>
      <w:r w:rsidR="00C066BD">
        <w:t>Corak</w:t>
      </w:r>
      <w:proofErr w:type="spellEnd"/>
      <w:r w:rsidR="00C066BD">
        <w:t xml:space="preserve"> and </w:t>
      </w:r>
      <w:proofErr w:type="spellStart"/>
      <w:r w:rsidR="00C066BD">
        <w:t>Piraino</w:t>
      </w:r>
      <w:proofErr w:type="spellEnd"/>
      <w:r w:rsidR="00C066BD">
        <w:t xml:space="preserve"> (2008) argue that i</w:t>
      </w:r>
      <w:r w:rsidR="00021D69" w:rsidRPr="00A8076F">
        <w:t>f job search is costly and the likelihood of a child entering into a job is the multiplicative effect of their exposure to the job and the probability of choosing that specific job</w:t>
      </w:r>
      <w:r w:rsidR="008E11D2">
        <w:t xml:space="preserve"> given their exposure to it</w:t>
      </w:r>
      <w:r w:rsidR="00021D69" w:rsidRPr="00A8076F">
        <w:t xml:space="preserve">, children are likely to enter into the same occupations as their parents. </w:t>
      </w:r>
      <w:r w:rsidR="00C53C56">
        <w:t>I</w:t>
      </w:r>
      <w:r w:rsidR="00C066BD">
        <w:t>n the same way that</w:t>
      </w:r>
      <w:r w:rsidR="00021D69" w:rsidRPr="00A8076F">
        <w:t xml:space="preserve"> the child of a teacher is more likely to become a teacher, the child of a workless individual is likely to become workless themselves</w:t>
      </w:r>
      <w:r w:rsidR="00021D69">
        <w:t>.</w:t>
      </w:r>
      <w:r w:rsidR="00AF6539" w:rsidRPr="00AF6539">
        <w:t xml:space="preserve"> </w:t>
      </w:r>
      <w:proofErr w:type="spellStart"/>
      <w:r w:rsidR="00C53C56" w:rsidRPr="00A8076F">
        <w:t>Ioannides</w:t>
      </w:r>
      <w:proofErr w:type="spellEnd"/>
      <w:r w:rsidR="00C53C56" w:rsidRPr="00A8076F">
        <w:t xml:space="preserve"> and </w:t>
      </w:r>
      <w:proofErr w:type="spellStart"/>
      <w:r w:rsidR="00C53C56" w:rsidRPr="00A8076F">
        <w:t>Loury</w:t>
      </w:r>
      <w:proofErr w:type="spellEnd"/>
      <w:r w:rsidR="00C53C56" w:rsidRPr="00A8076F">
        <w:t xml:space="preserve"> (2004) </w:t>
      </w:r>
      <w:r w:rsidR="00C53C56">
        <w:t xml:space="preserve">illustrate that </w:t>
      </w:r>
      <w:r w:rsidR="00C53C56" w:rsidRPr="00A8076F">
        <w:t xml:space="preserve">information provided by family and close networks in searching for jobs has a huge influence on the outcome of </w:t>
      </w:r>
      <w:r w:rsidR="00C53C56">
        <w:t xml:space="preserve">job </w:t>
      </w:r>
      <w:r w:rsidR="00C53C56" w:rsidRPr="00A8076F">
        <w:t xml:space="preserve">search, particularly for those out of work.  </w:t>
      </w:r>
      <w:r w:rsidR="00C53C56">
        <w:t>In the</w:t>
      </w:r>
      <w:r w:rsidR="00C53C56" w:rsidRPr="00A8076F">
        <w:t xml:space="preserve"> US</w:t>
      </w:r>
      <w:r w:rsidR="00C53C56">
        <w:t xml:space="preserve"> Panel Study of Income Dynamics (P</w:t>
      </w:r>
      <w:r w:rsidR="00C53C56" w:rsidRPr="00A8076F">
        <w:t>SID</w:t>
      </w:r>
      <w:r w:rsidR="00C53C56">
        <w:t>)</w:t>
      </w:r>
      <w:r w:rsidR="00C53C56" w:rsidRPr="00A8076F">
        <w:t xml:space="preserve"> 15.5</w:t>
      </w:r>
      <w:r w:rsidR="00C53C56">
        <w:t>%</w:t>
      </w:r>
      <w:r w:rsidR="00C53C56" w:rsidRPr="00A8076F">
        <w:t xml:space="preserve"> of unemployed</w:t>
      </w:r>
      <w:r w:rsidR="00C53C56">
        <w:t xml:space="preserve"> individuals in 1993 looked to </w:t>
      </w:r>
      <w:r w:rsidR="00C53C56" w:rsidRPr="00A8076F">
        <w:t>informal networks for information and contacts compared to only 8.5</w:t>
      </w:r>
      <w:r w:rsidR="00C53C56">
        <w:t>%</w:t>
      </w:r>
      <w:r w:rsidR="00C53C56" w:rsidRPr="00A8076F">
        <w:t xml:space="preserve"> of employed individuals. </w:t>
      </w:r>
      <w:proofErr w:type="spellStart"/>
      <w:r w:rsidR="00C53C56">
        <w:t>Loury</w:t>
      </w:r>
      <w:proofErr w:type="spellEnd"/>
      <w:r w:rsidR="00C53C56">
        <w:t xml:space="preserve"> (2006) found that 1 in every 5 US male found their jobs through males in the previous generation.</w:t>
      </w:r>
    </w:p>
    <w:p w:rsidR="00B84CCB" w:rsidRDefault="00C53C56" w:rsidP="00B84CCB">
      <w:pPr>
        <w:spacing w:line="360" w:lineRule="auto"/>
        <w:ind w:firstLine="720"/>
        <w:jc w:val="both"/>
      </w:pPr>
      <w:r>
        <w:t xml:space="preserve"> As unemployment increases, so does the cost of searching for a job as there are fewer places to fill for every applicant. As the cost of search increases, these networks play an increasingly important role. </w:t>
      </w:r>
      <w:proofErr w:type="spellStart"/>
      <w:r w:rsidR="00AF6539">
        <w:t>Kr</w:t>
      </w:r>
      <w:r>
        <w:t>am</w:t>
      </w:r>
      <w:r w:rsidR="008E11D2">
        <w:t>arz</w:t>
      </w:r>
      <w:proofErr w:type="spellEnd"/>
      <w:r>
        <w:t xml:space="preserve"> and </w:t>
      </w:r>
      <w:proofErr w:type="spellStart"/>
      <w:r>
        <w:t>Skans</w:t>
      </w:r>
      <w:proofErr w:type="spellEnd"/>
      <w:r>
        <w:t xml:space="preserve"> (2006) found that children were more likely </w:t>
      </w:r>
      <w:r w:rsidR="00603E71">
        <w:t xml:space="preserve">than other children in their class </w:t>
      </w:r>
      <w:r>
        <w:t>to get a job at the same plant as their parents and this effect was particularly strong in high unemployment areas.</w:t>
      </w:r>
      <w:r w:rsidR="0081051D">
        <w:t xml:space="preserve"> Therefore i</w:t>
      </w:r>
      <w:r>
        <w:t>nformal networks matter for job search, particularly for those who are out of work, and as this search becomes more challenging as unemployment increases, this strengthens the</w:t>
      </w:r>
      <w:r w:rsidR="007D54FE">
        <w:t xml:space="preserve"> importance of these networks. T</w:t>
      </w:r>
      <w:r>
        <w:t xml:space="preserve">he combined </w:t>
      </w:r>
      <w:r w:rsidR="0081051D">
        <w:t>experience of a weak labour market, increasing the cost of search, and a workless father, reducing the</w:t>
      </w:r>
      <w:r w:rsidR="00391482">
        <w:t xml:space="preserve"> benefits of these</w:t>
      </w:r>
      <w:r w:rsidR="0081051D">
        <w:t xml:space="preserve"> informal networks, serves to significantly damage the chances of the most vulnerable sons from entering the labour market.</w:t>
      </w:r>
    </w:p>
    <w:p w:rsidR="00F93576" w:rsidRDefault="00F93576" w:rsidP="00B84CCB">
      <w:pPr>
        <w:spacing w:line="360" w:lineRule="auto"/>
        <w:ind w:firstLine="720"/>
        <w:jc w:val="both"/>
      </w:pPr>
    </w:p>
    <w:p w:rsidR="005A2A1D" w:rsidRDefault="005A2A1D" w:rsidP="00080DE1">
      <w:pPr>
        <w:pStyle w:val="ListParagraph"/>
        <w:numPr>
          <w:ilvl w:val="0"/>
          <w:numId w:val="2"/>
        </w:numPr>
        <w:spacing w:after="120" w:line="360" w:lineRule="auto"/>
        <w:jc w:val="both"/>
        <w:rPr>
          <w:b/>
        </w:rPr>
      </w:pPr>
      <w:r w:rsidRPr="005A2A1D">
        <w:rPr>
          <w:b/>
        </w:rPr>
        <w:t xml:space="preserve">Conclusion </w:t>
      </w:r>
    </w:p>
    <w:p w:rsidR="005A2A1D" w:rsidRPr="00A8076F" w:rsidRDefault="005A2A1D" w:rsidP="005A2A1D">
      <w:pPr>
        <w:spacing w:line="360" w:lineRule="auto"/>
        <w:jc w:val="both"/>
      </w:pPr>
      <w:r w:rsidRPr="00A8076F">
        <w:t xml:space="preserve">Despite the </w:t>
      </w:r>
      <w:r w:rsidR="009F3793">
        <w:t xml:space="preserve">recent </w:t>
      </w:r>
      <w:r w:rsidRPr="00A8076F">
        <w:t>developments in the measurement of int</w:t>
      </w:r>
      <w:r w:rsidR="009F3793">
        <w:t>ergenerational mobility</w:t>
      </w:r>
      <w:r w:rsidRPr="00A8076F">
        <w:t xml:space="preserve">, little work has focused on the intergenerational </w:t>
      </w:r>
      <w:r w:rsidR="00316034">
        <w:t>relationship</w:t>
      </w:r>
      <w:r w:rsidRPr="00A8076F">
        <w:t xml:space="preserve"> of those out of work. This group of individuals, of increasing interest in the public domain, are the most vulnerable group not only in terms of the poverty associated with periods out of work but also through later scarring penalties in terms of both wages and future employment and further behavioural related issues such as depression. </w:t>
      </w:r>
      <w:r w:rsidR="00316034">
        <w:t xml:space="preserve">Previous estimates of intergenerational worklessness in the </w:t>
      </w:r>
      <w:r w:rsidR="00316034">
        <w:lastRenderedPageBreak/>
        <w:t xml:space="preserve">UK are from a cohort born in 1958. </w:t>
      </w:r>
      <w:r w:rsidRPr="00A8076F">
        <w:t xml:space="preserve">This research </w:t>
      </w:r>
      <w:r w:rsidR="004930EC">
        <w:t xml:space="preserve">presents </w:t>
      </w:r>
      <w:r w:rsidR="00316034">
        <w:t>the first estimates of</w:t>
      </w:r>
      <w:r w:rsidR="004930EC">
        <w:t xml:space="preserve"> intergenerational worklessness</w:t>
      </w:r>
      <w:r w:rsidRPr="00A8076F">
        <w:t xml:space="preserve"> in the UK</w:t>
      </w:r>
      <w:r w:rsidR="004930EC">
        <w:t xml:space="preserve"> </w:t>
      </w:r>
      <w:r w:rsidR="00316034">
        <w:t>for two more recent cohorts. It is also the first to</w:t>
      </w:r>
      <w:r w:rsidR="004930EC">
        <w:t xml:space="preserve"> explore the role of local labour market conditions in this relationship</w:t>
      </w:r>
      <w:r w:rsidR="00316034">
        <w:t xml:space="preserve">, assessing whether </w:t>
      </w:r>
      <w:r w:rsidR="009F3793">
        <w:t>the association arises simply because fathers and sons often experience</w:t>
      </w:r>
      <w:r w:rsidR="00316034">
        <w:t xml:space="preserve"> the same local labour markets or rather the </w:t>
      </w:r>
      <w:r w:rsidR="009F3793">
        <w:t xml:space="preserve">penalty </w:t>
      </w:r>
      <w:r w:rsidR="00316034">
        <w:t xml:space="preserve">of having a workless father </w:t>
      </w:r>
      <w:r w:rsidR="009F3793">
        <w:t>increases with unemployment.</w:t>
      </w:r>
      <w:r w:rsidR="00316034">
        <w:t xml:space="preserve"> </w:t>
      </w:r>
    </w:p>
    <w:p w:rsidR="009F3793" w:rsidRDefault="005A2A1D" w:rsidP="009F3793">
      <w:pPr>
        <w:spacing w:line="360" w:lineRule="auto"/>
        <w:jc w:val="both"/>
      </w:pPr>
      <w:r w:rsidRPr="00A8076F">
        <w:tab/>
      </w:r>
      <w:r>
        <w:t>I find</w:t>
      </w:r>
      <w:r w:rsidRPr="00A8076F">
        <w:t xml:space="preserve"> a moderate </w:t>
      </w:r>
      <w:r w:rsidR="004930EC">
        <w:t>relationship</w:t>
      </w:r>
      <w:r w:rsidRPr="00A8076F">
        <w:t xml:space="preserve"> in spells out of work across generations</w:t>
      </w:r>
      <w:r w:rsidR="004930EC">
        <w:t xml:space="preserve"> for the UK</w:t>
      </w:r>
      <w:r w:rsidRPr="00A8076F">
        <w:t xml:space="preserve">. A son with a workless father is likely to experience between </w:t>
      </w:r>
      <w:r w:rsidR="00F93576">
        <w:t>7</w:t>
      </w:r>
      <w:r w:rsidRPr="00A8076F">
        <w:t>-11</w:t>
      </w:r>
      <w:r>
        <w:t>%</w:t>
      </w:r>
      <w:r w:rsidRPr="00A8076F">
        <w:t xml:space="preserve"> more time out of work themselves </w:t>
      </w:r>
      <w:r w:rsidR="00F93576">
        <w:t>from leaving full time education</w:t>
      </w:r>
      <w:r w:rsidRPr="00A8076F">
        <w:t xml:space="preserve"> </w:t>
      </w:r>
      <w:r w:rsidR="00F93576">
        <w:t>until age</w:t>
      </w:r>
      <w:r w:rsidRPr="00A8076F">
        <w:t xml:space="preserve"> 23. In addition, they are 15-1</w:t>
      </w:r>
      <w:r w:rsidR="00F93576">
        <w:t>7</w:t>
      </w:r>
      <w:r>
        <w:t>%</w:t>
      </w:r>
      <w:r w:rsidRPr="00A8076F">
        <w:t xml:space="preserve"> more likely to spend a year or more out of work in the same period. However, there is o</w:t>
      </w:r>
      <w:r>
        <w:t>nly a small significant effect in the BCS</w:t>
      </w:r>
      <w:r w:rsidRPr="00A8076F">
        <w:t xml:space="preserve"> when estimating the impact of fathers’ worklessness on a son never working</w:t>
      </w:r>
      <w:r w:rsidR="003968E9">
        <w:t xml:space="preserve"> </w:t>
      </w:r>
      <w:r w:rsidR="009F3793">
        <w:t>(</w:t>
      </w:r>
      <w:r w:rsidR="003968E9">
        <w:t xml:space="preserve">or always being a </w:t>
      </w:r>
      <w:r w:rsidR="00F93576">
        <w:t>NE</w:t>
      </w:r>
      <w:r w:rsidR="00A33B20">
        <w:t>T</w:t>
      </w:r>
      <w:r w:rsidR="00F93576">
        <w:t>)</w:t>
      </w:r>
      <w:r w:rsidR="009F3793">
        <w:t>.</w:t>
      </w:r>
      <w:r w:rsidR="00F93576">
        <w:t xml:space="preserve"> </w:t>
      </w:r>
      <w:r w:rsidRPr="00A8076F">
        <w:t xml:space="preserve">This is in contrast to some discussion that is currently taking place in the public domain. </w:t>
      </w:r>
    </w:p>
    <w:p w:rsidR="002C79E1" w:rsidRPr="00A8076F" w:rsidRDefault="005A2A1D" w:rsidP="009F3793">
      <w:pPr>
        <w:spacing w:line="360" w:lineRule="auto"/>
        <w:ind w:firstLine="720"/>
        <w:jc w:val="both"/>
      </w:pPr>
      <w:r w:rsidRPr="00A8076F">
        <w:t>When assessing the impact of measurement error</w:t>
      </w:r>
      <w:r w:rsidR="004930EC">
        <w:t xml:space="preserve"> and</w:t>
      </w:r>
      <w:r w:rsidRPr="00A8076F">
        <w:t xml:space="preserve"> life-cycle bias on the estimate</w:t>
      </w:r>
      <w:r w:rsidR="004930EC">
        <w:t xml:space="preserve"> of </w:t>
      </w:r>
      <w:r w:rsidRPr="00A8076F">
        <w:t>intergenerational</w:t>
      </w:r>
      <w:r w:rsidR="004930EC">
        <w:t xml:space="preserve"> worklessness the story is mixed</w:t>
      </w:r>
      <w:r w:rsidRPr="00A8076F">
        <w:t xml:space="preserve">. Measurement error appears to have only a limited impact on </w:t>
      </w:r>
      <w:r w:rsidR="00316034">
        <w:t>the estimates of intergenerational worklessness in the</w:t>
      </w:r>
      <w:r w:rsidRPr="00A8076F">
        <w:t xml:space="preserve"> BHPS. This is reassuring given that the available measures in the cohort studies are from only two points in time. There is some evidence of life-cycle bias in workless spells</w:t>
      </w:r>
      <w:r w:rsidR="004930EC">
        <w:t xml:space="preserve"> from the LFS</w:t>
      </w:r>
      <w:r w:rsidRPr="00A8076F">
        <w:t xml:space="preserve"> but only at the start and end of peoples’ careers. </w:t>
      </w:r>
      <w:r w:rsidR="002C79E1">
        <w:t>Taking this into account in the two cohort studies, estimating intergenerational worklessness when the son is 23-29, suggest</w:t>
      </w:r>
      <w:r w:rsidR="009F3793">
        <w:t>s</w:t>
      </w:r>
      <w:r w:rsidR="002C79E1">
        <w:t xml:space="preserve"> that sons with workless fathers spend 7% more time workless than sons with employed fathers in the NCDS</w:t>
      </w:r>
      <w:r w:rsidRPr="00A8076F">
        <w:t>.</w:t>
      </w:r>
      <w:r w:rsidR="002C79E1">
        <w:t xml:space="preserve"> In the BCS sons with workless fathers spend 16% more time workless than sons with employed fathers. </w:t>
      </w:r>
      <w:r w:rsidR="009F3793" w:rsidRPr="00A8076F">
        <w:t>As in the</w:t>
      </w:r>
      <w:r w:rsidR="009F3793">
        <w:t xml:space="preserve"> income</w:t>
      </w:r>
      <w:r w:rsidR="009F3793" w:rsidRPr="00A8076F">
        <w:t xml:space="preserve"> mobility literature</w:t>
      </w:r>
      <w:r w:rsidR="009F3793">
        <w:t>,</w:t>
      </w:r>
      <w:r w:rsidR="009F3793" w:rsidRPr="00A8076F">
        <w:t xml:space="preserve"> there is some evidence </w:t>
      </w:r>
      <w:r w:rsidR="009F3793">
        <w:t>that worklessness is another domain of socio-economic status where sons in the BCS face greater penalties than sons in the NCDS</w:t>
      </w:r>
      <w:r w:rsidR="009F3793" w:rsidRPr="00A8076F">
        <w:t xml:space="preserve">. </w:t>
      </w:r>
      <w:r w:rsidR="003968E9">
        <w:t xml:space="preserve">Future work is required </w:t>
      </w:r>
      <w:r w:rsidR="009F3793">
        <w:t xml:space="preserve">to estimate a range of comparable associations in intergenerational worklessness across countries </w:t>
      </w:r>
      <w:r w:rsidR="003968E9">
        <w:t>to be able to assess how big of an issue th</w:t>
      </w:r>
      <w:r w:rsidR="009F3793">
        <w:t>ese</w:t>
      </w:r>
      <w:r w:rsidR="003968E9">
        <w:t xml:space="preserve"> estimated association</w:t>
      </w:r>
      <w:r w:rsidR="009F3793">
        <w:t>s</w:t>
      </w:r>
      <w:r w:rsidR="003968E9">
        <w:t xml:space="preserve"> </w:t>
      </w:r>
      <w:r w:rsidR="009F3793">
        <w:t>are for policy context</w:t>
      </w:r>
      <w:r w:rsidR="003968E9">
        <w:t>.</w:t>
      </w:r>
      <w:r w:rsidR="002C79E1" w:rsidRPr="00A8076F">
        <w:t xml:space="preserve"> </w:t>
      </w:r>
    </w:p>
    <w:p w:rsidR="00F93576" w:rsidRDefault="005A2A1D" w:rsidP="008E11D2">
      <w:pPr>
        <w:spacing w:line="360" w:lineRule="auto"/>
        <w:ind w:firstLine="720"/>
        <w:jc w:val="both"/>
        <w:rPr>
          <w:rFonts w:eastAsiaTheme="minorEastAsia"/>
          <w:b/>
          <w:color w:val="000000"/>
          <w:szCs w:val="21"/>
          <w:lang w:eastAsia="zh-CN"/>
        </w:rPr>
      </w:pPr>
      <w:r w:rsidRPr="00A8076F">
        <w:t xml:space="preserve">When considering the </w:t>
      </w:r>
      <w:r w:rsidR="004930EC">
        <w:t>role of</w:t>
      </w:r>
      <w:r w:rsidRPr="00A8076F">
        <w:t xml:space="preserve"> local labour market conditions</w:t>
      </w:r>
      <w:r w:rsidR="004930EC">
        <w:t xml:space="preserve"> in intergenerational worklessness,</w:t>
      </w:r>
      <w:r w:rsidRPr="00A8076F">
        <w:t xml:space="preserve"> </w:t>
      </w:r>
      <w:r w:rsidR="004930EC">
        <w:t>two</w:t>
      </w:r>
      <w:r w:rsidRPr="00A8076F">
        <w:t xml:space="preserve"> </w:t>
      </w:r>
      <w:r w:rsidR="00316034">
        <w:t>types of model</w:t>
      </w:r>
      <w:r w:rsidRPr="00A8076F">
        <w:t xml:space="preserve"> are estimated to assess whether local labour market conditions alone or a combination of labour market conditions and having a workless father </w:t>
      </w:r>
      <w:r w:rsidR="00080DE1">
        <w:t>are associated with</w:t>
      </w:r>
      <w:r w:rsidRPr="00A8076F">
        <w:t xml:space="preserve"> the workless experiences of the sons. Controlling for</w:t>
      </w:r>
      <w:r w:rsidR="009F3793">
        <w:t xml:space="preserve"> differences across</w:t>
      </w:r>
      <w:r w:rsidRPr="00A8076F">
        <w:t xml:space="preserve"> </w:t>
      </w:r>
      <w:r w:rsidR="00316034">
        <w:t>local labour market</w:t>
      </w:r>
      <w:r w:rsidR="00080DE1">
        <w:t>s</w:t>
      </w:r>
      <w:r w:rsidRPr="00A8076F">
        <w:t xml:space="preserve"> has little impact on the intergenerational </w:t>
      </w:r>
      <w:r w:rsidR="009F3793">
        <w:t>association</w:t>
      </w:r>
      <w:r w:rsidR="002C79E1">
        <w:t xml:space="preserve">. The </w:t>
      </w:r>
      <w:r w:rsidR="009F3793">
        <w:t>estimated coefficient</w:t>
      </w:r>
      <w:r w:rsidR="002C79E1">
        <w:t xml:space="preserve"> is not spuriously driven by the fact that some father-son pairs live in areas of high unemployment and some live in areas of low unemployment</w:t>
      </w:r>
      <w:r w:rsidR="00F339EA">
        <w:t xml:space="preserve">. </w:t>
      </w:r>
      <w:r w:rsidRPr="00A8076F">
        <w:t xml:space="preserve">Rather, </w:t>
      </w:r>
      <w:r w:rsidR="007D54FE">
        <w:t>having limited access to jobs</w:t>
      </w:r>
      <w:r w:rsidR="002C79E1">
        <w:t xml:space="preserve"> is </w:t>
      </w:r>
      <w:r w:rsidR="009F3793">
        <w:t xml:space="preserve">particularly </w:t>
      </w:r>
      <w:r w:rsidR="002C79E1">
        <w:t>harmful if you have a workless father</w:t>
      </w:r>
      <w:r w:rsidR="000E2B89">
        <w:t xml:space="preserve">. </w:t>
      </w:r>
      <w:r w:rsidRPr="00A8076F">
        <w:t xml:space="preserve">Sons with workless fathers are </w:t>
      </w:r>
      <w:r w:rsidRPr="00A8076F">
        <w:lastRenderedPageBreak/>
        <w:t xml:space="preserve">disproportionately </w:t>
      </w:r>
      <w:r w:rsidR="00F339EA">
        <w:t>affected</w:t>
      </w:r>
      <w:r w:rsidRPr="00A8076F">
        <w:t xml:space="preserve"> by </w:t>
      </w:r>
      <w:r w:rsidR="002F3630">
        <w:t>high unemployment</w:t>
      </w:r>
      <w:r w:rsidRPr="00A8076F">
        <w:t>, consistent with the literature that the most disadvantaged groups are worse hit in recessions (Wilson, 2009, Freeman</w:t>
      </w:r>
      <w:r>
        <w:t xml:space="preserve"> and Rodgers</w:t>
      </w:r>
      <w:r w:rsidRPr="00A8076F">
        <w:t xml:space="preserve">, 2000, Li, 2012, List and </w:t>
      </w:r>
      <w:proofErr w:type="spellStart"/>
      <w:r w:rsidRPr="00A8076F">
        <w:t>Rasul</w:t>
      </w:r>
      <w:proofErr w:type="spellEnd"/>
      <w:r w:rsidRPr="00A8076F">
        <w:t xml:space="preserve">, 2012). </w:t>
      </w:r>
      <w:r w:rsidR="002C79E1">
        <w:t>An absence of data restricts further exploration of what might be driving this mechanism</w:t>
      </w:r>
      <w:r w:rsidR="003968E9">
        <w:t>, but the</w:t>
      </w:r>
      <w:r w:rsidR="002C79E1">
        <w:t xml:space="preserve"> corresponding literature on the intergenerational </w:t>
      </w:r>
      <w:r w:rsidR="003968E9">
        <w:t>transmission of occupations points to</w:t>
      </w:r>
      <w:r w:rsidR="00080DE1">
        <w:t xml:space="preserve"> </w:t>
      </w:r>
      <w:r w:rsidR="003968E9">
        <w:t>the role of informal networks in this process.</w:t>
      </w:r>
      <w:r w:rsidR="002C79E1">
        <w:t xml:space="preserve"> </w:t>
      </w:r>
      <w:r w:rsidR="003968E9">
        <w:t>This literature highlights</w:t>
      </w:r>
      <w:r w:rsidR="002C79E1">
        <w:t xml:space="preserve"> the role of fathers (</w:t>
      </w:r>
      <w:r w:rsidR="003968E9">
        <w:t>a</w:t>
      </w:r>
      <w:r w:rsidR="002C79E1">
        <w:t>nd informal networks more generally) in job search, particularly in high unemployment setting</w:t>
      </w:r>
      <w:r w:rsidR="003968E9">
        <w:t>s</w:t>
      </w:r>
      <w:r w:rsidR="002C79E1">
        <w:t xml:space="preserve"> as the cost of search increases. </w:t>
      </w:r>
      <w:r w:rsidRPr="00A8076F">
        <w:t xml:space="preserve">Future work in this area </w:t>
      </w:r>
      <w:r w:rsidR="003968E9">
        <w:t>is needed to understand further the importance of the role of intergenerational occupations and informal networks in this transmission</w:t>
      </w:r>
      <w:r w:rsidRPr="00A8076F">
        <w:t>.</w:t>
      </w:r>
      <w:r w:rsidR="003968E9">
        <w:t xml:space="preserve"> </w:t>
      </w:r>
      <w:r w:rsidRPr="00A8076F">
        <w:t xml:space="preserve"> </w:t>
      </w:r>
      <w:r w:rsidR="00F93576">
        <w:rPr>
          <w:rFonts w:eastAsiaTheme="minorEastAsia"/>
          <w:b/>
          <w:color w:val="000000"/>
          <w:szCs w:val="21"/>
          <w:lang w:eastAsia="zh-CN"/>
        </w:rPr>
        <w:br w:type="page"/>
      </w:r>
    </w:p>
    <w:p w:rsidR="008E11D2" w:rsidRPr="00A8076F" w:rsidRDefault="008E11D2" w:rsidP="008E11D2">
      <w:pPr>
        <w:spacing w:line="0" w:lineRule="atLeast"/>
        <w:jc w:val="both"/>
        <w:rPr>
          <w:b/>
        </w:rPr>
      </w:pPr>
      <w:r w:rsidRPr="00A8076F">
        <w:rPr>
          <w:b/>
        </w:rPr>
        <w:lastRenderedPageBreak/>
        <w:t>Bibliography</w:t>
      </w:r>
    </w:p>
    <w:p w:rsidR="008E11D2" w:rsidRDefault="008E11D2" w:rsidP="008E11D2">
      <w:pPr>
        <w:spacing w:line="0" w:lineRule="atLeast"/>
        <w:jc w:val="both"/>
        <w:rPr>
          <w:b/>
        </w:rPr>
      </w:pPr>
    </w:p>
    <w:p w:rsidR="008E11D2" w:rsidRPr="0056745B" w:rsidRDefault="008E11D2" w:rsidP="008E11D2">
      <w:pPr>
        <w:spacing w:line="0" w:lineRule="atLeast"/>
        <w:ind w:left="284" w:hanging="284"/>
        <w:jc w:val="both"/>
      </w:pPr>
      <w:proofErr w:type="spellStart"/>
      <w:r w:rsidRPr="0056745B">
        <w:t>Blanden</w:t>
      </w:r>
      <w:proofErr w:type="spellEnd"/>
      <w:r w:rsidRPr="0056745B">
        <w:t>, J., G</w:t>
      </w:r>
      <w:r>
        <w:t xml:space="preserve">regg, P. and </w:t>
      </w:r>
      <w:proofErr w:type="spellStart"/>
      <w:r>
        <w:t>Machin</w:t>
      </w:r>
      <w:proofErr w:type="spellEnd"/>
      <w:r>
        <w:t>, S. (2005) “</w:t>
      </w:r>
      <w:r w:rsidRPr="0056745B">
        <w:t>Intergenerational Mobility in Europ</w:t>
      </w:r>
      <w:r>
        <w:t>e and North America,”</w:t>
      </w:r>
      <w:r w:rsidRPr="0056745B">
        <w:t xml:space="preserve"> A Report Supported by the Sutton Trust, Centre for Economic Performance, LSE</w:t>
      </w:r>
      <w:r>
        <w:t>.</w:t>
      </w:r>
    </w:p>
    <w:p w:rsidR="008E11D2" w:rsidRDefault="008E11D2" w:rsidP="008E11D2">
      <w:pPr>
        <w:pStyle w:val="Title"/>
        <w:spacing w:line="0" w:lineRule="atLeast"/>
        <w:ind w:left="284" w:hanging="284"/>
        <w:jc w:val="both"/>
        <w:rPr>
          <w:b w:val="0"/>
        </w:rPr>
      </w:pPr>
    </w:p>
    <w:p w:rsidR="008E11D2" w:rsidRDefault="008E11D2" w:rsidP="008E11D2">
      <w:pPr>
        <w:spacing w:line="0" w:lineRule="atLeast"/>
        <w:ind w:left="284" w:hanging="284"/>
        <w:jc w:val="both"/>
      </w:pPr>
      <w:r w:rsidRPr="0056745B">
        <w:t>Cabinet Office Report (2010) ‘Opening Doors, Breaking Barriers: A Strategy for Social Mobility’</w:t>
      </w:r>
      <w:r>
        <w:t>.</w:t>
      </w:r>
    </w:p>
    <w:p w:rsidR="008E11D2" w:rsidRPr="0056745B" w:rsidRDefault="00365423" w:rsidP="008E11D2">
      <w:pPr>
        <w:spacing w:line="0" w:lineRule="atLeast"/>
        <w:ind w:left="284" w:hanging="284"/>
        <w:jc w:val="both"/>
      </w:pPr>
      <w:hyperlink r:id="rId9" w:history="1">
        <w:r w:rsidR="008E11D2" w:rsidRPr="0056745B">
          <w:rPr>
            <w:rStyle w:val="Hyperlink"/>
          </w:rPr>
          <w:t>http://www.dpm.cabinetoffice.gov.uk/sites/default/files_dpm/resources/opening-doors-breaking-barriers.pdf</w:t>
        </w:r>
      </w:hyperlink>
    </w:p>
    <w:p w:rsidR="008E11D2" w:rsidRPr="0056745B" w:rsidRDefault="008E11D2" w:rsidP="008E11D2">
      <w:pPr>
        <w:spacing w:line="0" w:lineRule="atLeast"/>
        <w:ind w:left="284" w:hanging="284"/>
        <w:jc w:val="both"/>
      </w:pPr>
    </w:p>
    <w:p w:rsidR="008E11D2" w:rsidRPr="0056745B" w:rsidRDefault="008E11D2" w:rsidP="008E11D2">
      <w:pPr>
        <w:pStyle w:val="FootnoteText"/>
        <w:spacing w:line="0" w:lineRule="atLeast"/>
        <w:ind w:left="284" w:hanging="284"/>
        <w:jc w:val="both"/>
        <w:rPr>
          <w:sz w:val="24"/>
          <w:szCs w:val="24"/>
        </w:rPr>
      </w:pPr>
      <w:proofErr w:type="spellStart"/>
      <w:r w:rsidRPr="0056745B">
        <w:rPr>
          <w:sz w:val="24"/>
          <w:szCs w:val="24"/>
        </w:rPr>
        <w:t>Corak</w:t>
      </w:r>
      <w:proofErr w:type="spellEnd"/>
      <w:r w:rsidRPr="0056745B">
        <w:rPr>
          <w:sz w:val="24"/>
          <w:szCs w:val="24"/>
        </w:rPr>
        <w:t xml:space="preserve">, M., </w:t>
      </w:r>
      <w:proofErr w:type="spellStart"/>
      <w:r w:rsidRPr="0056745B">
        <w:rPr>
          <w:sz w:val="24"/>
          <w:szCs w:val="24"/>
        </w:rPr>
        <w:t>Gustafsson</w:t>
      </w:r>
      <w:proofErr w:type="spellEnd"/>
      <w:r w:rsidRPr="0056745B">
        <w:rPr>
          <w:sz w:val="24"/>
          <w:szCs w:val="24"/>
        </w:rPr>
        <w:t xml:space="preserve">, B. and </w:t>
      </w:r>
      <w:proofErr w:type="spellStart"/>
      <w:r w:rsidRPr="0056745B">
        <w:rPr>
          <w:sz w:val="24"/>
          <w:szCs w:val="24"/>
        </w:rPr>
        <w:t>Osterberg</w:t>
      </w:r>
      <w:proofErr w:type="spellEnd"/>
      <w:r w:rsidRPr="0056745B">
        <w:rPr>
          <w:sz w:val="24"/>
          <w:szCs w:val="24"/>
        </w:rPr>
        <w:t xml:space="preserve">, T. (2000) </w:t>
      </w:r>
      <w:r>
        <w:rPr>
          <w:sz w:val="24"/>
          <w:szCs w:val="24"/>
        </w:rPr>
        <w:t>“</w:t>
      </w:r>
      <w:r w:rsidRPr="0056745B">
        <w:rPr>
          <w:sz w:val="24"/>
          <w:szCs w:val="24"/>
        </w:rPr>
        <w:t>Intergenerational influences on the receipt of Unemployment</w:t>
      </w:r>
      <w:r>
        <w:rPr>
          <w:sz w:val="24"/>
          <w:szCs w:val="24"/>
        </w:rPr>
        <w:t xml:space="preserve"> Insurance in Canada and Sweden,”</w:t>
      </w:r>
      <w:r w:rsidRPr="0056745B">
        <w:rPr>
          <w:sz w:val="24"/>
          <w:szCs w:val="24"/>
        </w:rPr>
        <w:t xml:space="preserve"> IZA Discussion Paper Number 184</w:t>
      </w:r>
      <w:r>
        <w:rPr>
          <w:sz w:val="24"/>
          <w:szCs w:val="24"/>
        </w:rPr>
        <w:t>.</w:t>
      </w:r>
      <w:r w:rsidRPr="0056745B">
        <w:rPr>
          <w:sz w:val="24"/>
          <w:szCs w:val="24"/>
        </w:rPr>
        <w:t xml:space="preserve"> </w:t>
      </w:r>
    </w:p>
    <w:p w:rsidR="008E11D2" w:rsidRDefault="008E11D2" w:rsidP="008E11D2">
      <w:pPr>
        <w:spacing w:line="0" w:lineRule="atLeast"/>
        <w:ind w:left="284" w:hanging="284"/>
        <w:jc w:val="both"/>
      </w:pPr>
    </w:p>
    <w:p w:rsidR="008E11D2" w:rsidRPr="0056745B" w:rsidRDefault="008E11D2" w:rsidP="008E11D2">
      <w:pPr>
        <w:spacing w:line="0" w:lineRule="atLeast"/>
        <w:ind w:left="284" w:hanging="284"/>
        <w:jc w:val="both"/>
      </w:pPr>
      <w:proofErr w:type="spellStart"/>
      <w:proofErr w:type="gramStart"/>
      <w:r w:rsidRPr="0056745B">
        <w:t>Corak</w:t>
      </w:r>
      <w:proofErr w:type="spellEnd"/>
      <w:r w:rsidRPr="0056745B">
        <w:t xml:space="preserve">, M., and </w:t>
      </w:r>
      <w:proofErr w:type="spellStart"/>
      <w:r w:rsidRPr="0056745B">
        <w:t>Piraino</w:t>
      </w:r>
      <w:proofErr w:type="spellEnd"/>
      <w:r w:rsidRPr="0056745B">
        <w:t xml:space="preserve">, P. (2008) </w:t>
      </w:r>
      <w:r>
        <w:t>“The Intergenerational T</w:t>
      </w:r>
      <w:r w:rsidRPr="0056745B">
        <w:t>ransmission of Employers and Earnings</w:t>
      </w:r>
      <w:r>
        <w:t>,”</w:t>
      </w:r>
      <w:r w:rsidRPr="0056745B">
        <w:t xml:space="preserve"> </w:t>
      </w:r>
      <w:r>
        <w:t>Statistics Canada, unpublished manuscript.</w:t>
      </w:r>
      <w:proofErr w:type="gramEnd"/>
      <w:r w:rsidRPr="0056745B">
        <w:t xml:space="preserve"> </w:t>
      </w:r>
    </w:p>
    <w:p w:rsidR="008E11D2" w:rsidRDefault="008E11D2" w:rsidP="008E11D2">
      <w:pPr>
        <w:spacing w:line="0" w:lineRule="atLeast"/>
        <w:ind w:left="284" w:hanging="284"/>
        <w:jc w:val="both"/>
      </w:pPr>
    </w:p>
    <w:p w:rsidR="008E11D2" w:rsidRDefault="008E11D2" w:rsidP="008E11D2">
      <w:pPr>
        <w:spacing w:line="0" w:lineRule="atLeast"/>
        <w:ind w:left="284" w:hanging="284"/>
        <w:jc w:val="both"/>
      </w:pPr>
      <w:proofErr w:type="spellStart"/>
      <w:r>
        <w:t>Ekhaugen</w:t>
      </w:r>
      <w:proofErr w:type="spellEnd"/>
      <w:r>
        <w:t>, T. (2009) “</w:t>
      </w:r>
      <w:r w:rsidRPr="0056745B">
        <w:t>Extracting the causal component from the intergeneratio</w:t>
      </w:r>
      <w:r>
        <w:t>nal correlation in unemployment,”</w:t>
      </w:r>
      <w:r w:rsidRPr="0056745B">
        <w:t xml:space="preserve"> </w:t>
      </w:r>
      <w:r w:rsidRPr="0056745B">
        <w:rPr>
          <w:i/>
        </w:rPr>
        <w:t>Journal of Population Economics</w:t>
      </w:r>
      <w:r>
        <w:rPr>
          <w:i/>
        </w:rPr>
        <w:t>,</w:t>
      </w:r>
      <w:r w:rsidRPr="0056745B">
        <w:t xml:space="preserve"> Vol. 22</w:t>
      </w:r>
      <w:r>
        <w:t>. pp. 97-113.</w:t>
      </w:r>
      <w:r w:rsidRPr="0056745B">
        <w:t xml:space="preserve"> </w:t>
      </w:r>
    </w:p>
    <w:p w:rsidR="008E11D2" w:rsidRDefault="008E11D2" w:rsidP="008E11D2">
      <w:pPr>
        <w:spacing w:line="0" w:lineRule="atLeast"/>
        <w:ind w:left="284" w:hanging="284"/>
        <w:jc w:val="both"/>
      </w:pPr>
    </w:p>
    <w:p w:rsidR="008E11D2" w:rsidRPr="0056745B" w:rsidRDefault="008E11D2" w:rsidP="008E11D2">
      <w:pPr>
        <w:pStyle w:val="NoSpacing"/>
        <w:spacing w:line="0" w:lineRule="atLeast"/>
        <w:ind w:left="284" w:hanging="284"/>
        <w:jc w:val="both"/>
        <w:rPr>
          <w:rFonts w:ascii="Times New Roman" w:hAnsi="Times New Roman" w:cs="Times New Roman"/>
          <w:sz w:val="24"/>
          <w:szCs w:val="24"/>
        </w:rPr>
      </w:pPr>
      <w:r w:rsidRPr="0056745B">
        <w:rPr>
          <w:rFonts w:ascii="Times New Roman" w:hAnsi="Times New Roman" w:cs="Times New Roman"/>
          <w:sz w:val="24"/>
          <w:szCs w:val="24"/>
        </w:rPr>
        <w:t>Freeman, R</w:t>
      </w:r>
      <w:r>
        <w:rPr>
          <w:rFonts w:ascii="Times New Roman" w:hAnsi="Times New Roman" w:cs="Times New Roman"/>
          <w:sz w:val="24"/>
          <w:szCs w:val="24"/>
        </w:rPr>
        <w:t>.</w:t>
      </w:r>
      <w:r w:rsidRPr="0056745B">
        <w:rPr>
          <w:rFonts w:ascii="Times New Roman" w:hAnsi="Times New Roman" w:cs="Times New Roman"/>
          <w:sz w:val="24"/>
          <w:szCs w:val="24"/>
        </w:rPr>
        <w:t xml:space="preserve"> </w:t>
      </w:r>
      <w:r>
        <w:rPr>
          <w:rFonts w:ascii="Times New Roman" w:hAnsi="Times New Roman" w:cs="Times New Roman"/>
          <w:sz w:val="24"/>
          <w:szCs w:val="24"/>
        </w:rPr>
        <w:t>and Rodgers, W.</w:t>
      </w:r>
      <w:r w:rsidRPr="0056745B">
        <w:rPr>
          <w:rFonts w:ascii="Times New Roman" w:hAnsi="Times New Roman" w:cs="Times New Roman"/>
          <w:sz w:val="24"/>
          <w:szCs w:val="24"/>
        </w:rPr>
        <w:t xml:space="preserve"> (2000) </w:t>
      </w:r>
      <w:r>
        <w:rPr>
          <w:rFonts w:ascii="Times New Roman" w:hAnsi="Times New Roman" w:cs="Times New Roman"/>
          <w:sz w:val="24"/>
          <w:szCs w:val="24"/>
        </w:rPr>
        <w:t>“</w:t>
      </w:r>
      <w:r w:rsidRPr="0056745B">
        <w:rPr>
          <w:rFonts w:ascii="Times New Roman" w:hAnsi="Times New Roman" w:cs="Times New Roman"/>
          <w:sz w:val="24"/>
          <w:szCs w:val="24"/>
        </w:rPr>
        <w:t>Area economic conditions and the labour market outcomes of young men in the 1990s expansion</w:t>
      </w:r>
      <w:r>
        <w:rPr>
          <w:rFonts w:ascii="Times New Roman" w:hAnsi="Times New Roman" w:cs="Times New Roman"/>
          <w:sz w:val="24"/>
          <w:szCs w:val="24"/>
        </w:rPr>
        <w:t>,”</w:t>
      </w:r>
      <w:r w:rsidRPr="0056745B">
        <w:rPr>
          <w:rFonts w:ascii="Times New Roman" w:hAnsi="Times New Roman" w:cs="Times New Roman"/>
          <w:sz w:val="24"/>
          <w:szCs w:val="24"/>
        </w:rPr>
        <w:t xml:space="preserve"> in “</w:t>
      </w:r>
      <w:r w:rsidRPr="0056745B">
        <w:rPr>
          <w:rFonts w:ascii="Times New Roman" w:hAnsi="Times New Roman" w:cs="Times New Roman"/>
          <w:i/>
          <w:sz w:val="24"/>
          <w:szCs w:val="24"/>
        </w:rPr>
        <w:t>Prosperity for all</w:t>
      </w:r>
      <w:proofErr w:type="gramStart"/>
      <w:r w:rsidRPr="0056745B">
        <w:rPr>
          <w:rFonts w:ascii="Times New Roman" w:hAnsi="Times New Roman" w:cs="Times New Roman"/>
          <w:i/>
          <w:sz w:val="24"/>
          <w:szCs w:val="24"/>
        </w:rPr>
        <w:t>?:</w:t>
      </w:r>
      <w:proofErr w:type="gramEnd"/>
      <w:r w:rsidRPr="0056745B">
        <w:rPr>
          <w:rFonts w:ascii="Times New Roman" w:hAnsi="Times New Roman" w:cs="Times New Roman"/>
          <w:i/>
          <w:sz w:val="24"/>
          <w:szCs w:val="24"/>
        </w:rPr>
        <w:t xml:space="preserve"> The economic boom and African Americans</w:t>
      </w:r>
      <w:r w:rsidRPr="0056745B">
        <w:rPr>
          <w:rFonts w:ascii="Times New Roman" w:hAnsi="Times New Roman" w:cs="Times New Roman"/>
          <w:sz w:val="24"/>
          <w:szCs w:val="24"/>
        </w:rPr>
        <w:t xml:space="preserve"> </w:t>
      </w:r>
      <w:r>
        <w:rPr>
          <w:rFonts w:ascii="Times New Roman" w:hAnsi="Times New Roman" w:cs="Times New Roman"/>
          <w:sz w:val="24"/>
          <w:szCs w:val="24"/>
        </w:rPr>
        <w:t>(</w:t>
      </w:r>
      <w:r w:rsidRPr="0056745B">
        <w:rPr>
          <w:rFonts w:ascii="Times New Roman" w:hAnsi="Times New Roman" w:cs="Times New Roman"/>
          <w:sz w:val="24"/>
          <w:szCs w:val="24"/>
        </w:rPr>
        <w:t>R. Cherry and W.M. Rodgers,</w:t>
      </w:r>
      <w:r>
        <w:rPr>
          <w:rFonts w:ascii="Times New Roman" w:hAnsi="Times New Roman" w:cs="Times New Roman"/>
          <w:sz w:val="24"/>
          <w:szCs w:val="24"/>
        </w:rPr>
        <w:t xml:space="preserve"> eds.) </w:t>
      </w:r>
      <w:r w:rsidRPr="0056745B">
        <w:rPr>
          <w:rFonts w:ascii="Times New Roman" w:hAnsi="Times New Roman" w:cs="Times New Roman"/>
          <w:sz w:val="24"/>
          <w:szCs w:val="24"/>
        </w:rPr>
        <w:t>Rus</w:t>
      </w:r>
      <w:r>
        <w:rPr>
          <w:rFonts w:ascii="Times New Roman" w:hAnsi="Times New Roman" w:cs="Times New Roman"/>
          <w:sz w:val="24"/>
          <w:szCs w:val="24"/>
        </w:rPr>
        <w:t>sell Sage Foundation: New York. pp. 50-87.</w:t>
      </w:r>
    </w:p>
    <w:p w:rsidR="008E11D2" w:rsidRPr="0056745B" w:rsidRDefault="008E11D2" w:rsidP="008E11D2">
      <w:pPr>
        <w:spacing w:line="0" w:lineRule="atLeast"/>
        <w:ind w:left="284" w:hanging="284"/>
        <w:jc w:val="both"/>
      </w:pPr>
    </w:p>
    <w:p w:rsidR="008E11D2" w:rsidRPr="0056745B" w:rsidRDefault="008E11D2" w:rsidP="008E11D2">
      <w:pPr>
        <w:spacing w:line="0" w:lineRule="atLeast"/>
        <w:ind w:left="284" w:hanging="284"/>
        <w:jc w:val="both"/>
      </w:pPr>
      <w:r w:rsidRPr="0056745B">
        <w:t>Galindo-</w:t>
      </w:r>
      <w:proofErr w:type="spellStart"/>
      <w:r w:rsidRPr="0056745B">
        <w:t>Rueda</w:t>
      </w:r>
      <w:proofErr w:type="spellEnd"/>
      <w:r w:rsidRPr="0056745B">
        <w:t xml:space="preserve">, F. (2002) </w:t>
      </w:r>
      <w:r>
        <w:t>“</w:t>
      </w:r>
      <w:r w:rsidRPr="0056745B">
        <w:t>Progression routes of cohort members: NCDS (1974-2000) and BCS70 (1986-2000). Description of the data work on British Cohort Surveys</w:t>
      </w:r>
      <w:r>
        <w:t>,”</w:t>
      </w:r>
      <w:r w:rsidRPr="0056745B">
        <w:t xml:space="preserve"> </w:t>
      </w:r>
      <w:r>
        <w:t xml:space="preserve">London, </w:t>
      </w:r>
      <w:r w:rsidRPr="0056745B">
        <w:t>Centre for Economics of Education</w:t>
      </w:r>
      <w:r>
        <w:t>, London School of Economics.</w:t>
      </w:r>
      <w:r w:rsidRPr="0056745B">
        <w:t xml:space="preserve"> </w:t>
      </w:r>
    </w:p>
    <w:p w:rsidR="008E11D2" w:rsidRPr="0056745B" w:rsidRDefault="008E11D2" w:rsidP="008E11D2">
      <w:pPr>
        <w:spacing w:line="0" w:lineRule="atLeast"/>
        <w:ind w:left="284" w:hanging="284"/>
        <w:jc w:val="both"/>
      </w:pPr>
    </w:p>
    <w:p w:rsidR="008E11D2" w:rsidRPr="0056745B" w:rsidRDefault="008E11D2" w:rsidP="008E11D2">
      <w:pPr>
        <w:spacing w:line="0" w:lineRule="atLeast"/>
        <w:ind w:left="284" w:hanging="284"/>
        <w:jc w:val="both"/>
      </w:pPr>
      <w:r w:rsidRPr="0056745B">
        <w:t xml:space="preserve">Gottschalk, P. (1996) </w:t>
      </w:r>
      <w:r>
        <w:t>“</w:t>
      </w:r>
      <w:r w:rsidRPr="0056745B">
        <w:t>Is the correlation in welfare participati</w:t>
      </w:r>
      <w:r>
        <w:t>on across generations spurious</w:t>
      </w:r>
      <w:proofErr w:type="gramStart"/>
      <w:r>
        <w:t>?,</w:t>
      </w:r>
      <w:proofErr w:type="gramEnd"/>
      <w:r>
        <w:t>”</w:t>
      </w:r>
      <w:r w:rsidRPr="0056745B">
        <w:t xml:space="preserve"> </w:t>
      </w:r>
      <w:r w:rsidRPr="0056745B">
        <w:rPr>
          <w:i/>
        </w:rPr>
        <w:t>Journal of Public Economics</w:t>
      </w:r>
      <w:r w:rsidRPr="0056745B">
        <w:t xml:space="preserve"> Vol. 63</w:t>
      </w:r>
      <w:r>
        <w:t>. pp. 1-25.</w:t>
      </w:r>
      <w:r w:rsidRPr="0056745B">
        <w:t xml:space="preserve">  </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Default="008E11D2" w:rsidP="008E11D2">
      <w:pPr>
        <w:spacing w:line="0" w:lineRule="atLeast"/>
        <w:ind w:left="284" w:hanging="284"/>
        <w:jc w:val="both"/>
      </w:pPr>
      <w:proofErr w:type="spellStart"/>
      <w:proofErr w:type="gramStart"/>
      <w:r w:rsidRPr="0056745B">
        <w:t>Grawe</w:t>
      </w:r>
      <w:proofErr w:type="spellEnd"/>
      <w:r w:rsidRPr="0056745B">
        <w:t xml:space="preserve">, N. (2006) ‘Lifecycle bias in estimate of intergenerational earnings persistence’ </w:t>
      </w:r>
      <w:r w:rsidRPr="0056745B">
        <w:rPr>
          <w:i/>
        </w:rPr>
        <w:t>Labour Economics</w:t>
      </w:r>
      <w:r w:rsidRPr="0056745B">
        <w:t xml:space="preserve"> Vol.13</w:t>
      </w:r>
      <w:r>
        <w:t>.</w:t>
      </w:r>
      <w:proofErr w:type="gramEnd"/>
      <w:r>
        <w:t xml:space="preserve"> pp. 551-570.</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Default="008E11D2" w:rsidP="008E11D2">
      <w:pPr>
        <w:pStyle w:val="NoSpacing"/>
        <w:spacing w:line="0" w:lineRule="atLeast"/>
        <w:ind w:left="284" w:hanging="284"/>
        <w:jc w:val="both"/>
        <w:rPr>
          <w:rFonts w:ascii="Times New Roman" w:hAnsi="Times New Roman" w:cs="Times New Roman"/>
          <w:sz w:val="24"/>
          <w:szCs w:val="24"/>
        </w:rPr>
      </w:pPr>
      <w:r w:rsidRPr="0056745B">
        <w:rPr>
          <w:rFonts w:ascii="Times New Roman" w:hAnsi="Times New Roman" w:cs="Times New Roman"/>
          <w:sz w:val="24"/>
          <w:szCs w:val="24"/>
        </w:rPr>
        <w:t>Gregg, P. and Macmill</w:t>
      </w:r>
      <w:r>
        <w:rPr>
          <w:rFonts w:ascii="Times New Roman" w:hAnsi="Times New Roman" w:cs="Times New Roman"/>
          <w:sz w:val="24"/>
          <w:szCs w:val="24"/>
        </w:rPr>
        <w:t>an, L. (2010) “</w:t>
      </w:r>
      <w:r w:rsidRPr="0056745B">
        <w:rPr>
          <w:rFonts w:ascii="Times New Roman" w:hAnsi="Times New Roman" w:cs="Times New Roman"/>
          <w:sz w:val="24"/>
          <w:szCs w:val="24"/>
        </w:rPr>
        <w:t>Family income, education and cognitive ability in the next generation: exploring income gradients in education and test scores for current cohorts of youth</w:t>
      </w:r>
      <w:r>
        <w:rPr>
          <w:rFonts w:ascii="Times New Roman" w:hAnsi="Times New Roman" w:cs="Times New Roman"/>
          <w:sz w:val="24"/>
          <w:szCs w:val="24"/>
        </w:rPr>
        <w:t>,”</w:t>
      </w:r>
      <w:r w:rsidRPr="0056745B">
        <w:rPr>
          <w:rFonts w:ascii="Times New Roman" w:hAnsi="Times New Roman" w:cs="Times New Roman"/>
          <w:sz w:val="24"/>
          <w:szCs w:val="24"/>
        </w:rPr>
        <w:t xml:space="preserve"> </w:t>
      </w:r>
      <w:r w:rsidRPr="0056745B">
        <w:rPr>
          <w:rFonts w:ascii="Times New Roman" w:hAnsi="Times New Roman" w:cs="Times New Roman"/>
          <w:i/>
          <w:sz w:val="24"/>
          <w:szCs w:val="24"/>
        </w:rPr>
        <w:t>Longitudinal and Life Course Studies</w:t>
      </w:r>
      <w:r>
        <w:rPr>
          <w:rFonts w:ascii="Times New Roman" w:hAnsi="Times New Roman" w:cs="Times New Roman"/>
          <w:i/>
          <w:sz w:val="24"/>
          <w:szCs w:val="24"/>
        </w:rPr>
        <w:t>,</w:t>
      </w:r>
      <w:r w:rsidRPr="0056745B">
        <w:rPr>
          <w:rFonts w:ascii="Times New Roman" w:hAnsi="Times New Roman" w:cs="Times New Roman"/>
          <w:i/>
          <w:sz w:val="24"/>
          <w:szCs w:val="24"/>
        </w:rPr>
        <w:t xml:space="preserve"> </w:t>
      </w:r>
      <w:r w:rsidRPr="0056745B">
        <w:rPr>
          <w:rFonts w:ascii="Times New Roman" w:hAnsi="Times New Roman" w:cs="Times New Roman"/>
          <w:sz w:val="24"/>
          <w:szCs w:val="24"/>
        </w:rPr>
        <w:t>Vol. 1(3)</w:t>
      </w:r>
      <w:r>
        <w:rPr>
          <w:rFonts w:ascii="Times New Roman" w:hAnsi="Times New Roman" w:cs="Times New Roman"/>
          <w:sz w:val="24"/>
          <w:szCs w:val="24"/>
        </w:rPr>
        <w:t>. pp. 259-280.</w:t>
      </w:r>
    </w:p>
    <w:p w:rsidR="008E11D2" w:rsidRDefault="008E11D2" w:rsidP="008E11D2">
      <w:pPr>
        <w:spacing w:line="0" w:lineRule="atLeast"/>
        <w:ind w:left="284" w:hanging="284"/>
        <w:jc w:val="both"/>
      </w:pPr>
    </w:p>
    <w:p w:rsidR="008E11D2" w:rsidRPr="003F5284" w:rsidRDefault="008E11D2" w:rsidP="008E11D2">
      <w:pPr>
        <w:spacing w:line="0" w:lineRule="atLeast"/>
        <w:ind w:left="284" w:hanging="284"/>
        <w:jc w:val="both"/>
        <w:rPr>
          <w:bCs/>
        </w:rPr>
      </w:pPr>
      <w:proofErr w:type="gramStart"/>
      <w:r w:rsidRPr="0056745B">
        <w:rPr>
          <w:bCs/>
        </w:rPr>
        <w:t xml:space="preserve">Gregg, P., Macmillan, L. and </w:t>
      </w:r>
      <w:proofErr w:type="spellStart"/>
      <w:r w:rsidRPr="0056745B">
        <w:rPr>
          <w:bCs/>
        </w:rPr>
        <w:t>Nasim</w:t>
      </w:r>
      <w:proofErr w:type="spellEnd"/>
      <w:r w:rsidRPr="0056745B">
        <w:rPr>
          <w:bCs/>
        </w:rPr>
        <w:t>, B</w:t>
      </w:r>
      <w:r>
        <w:rPr>
          <w:bCs/>
        </w:rPr>
        <w:t>. (2012) “</w:t>
      </w:r>
      <w:r w:rsidRPr="0056745B">
        <w:rPr>
          <w:bCs/>
        </w:rPr>
        <w:t>The impact of the 1980s Recession on educational attainment</w:t>
      </w:r>
      <w:r>
        <w:rPr>
          <w:bCs/>
        </w:rPr>
        <w:t>,”</w:t>
      </w:r>
      <w:r w:rsidRPr="0056745B">
        <w:rPr>
          <w:bCs/>
        </w:rPr>
        <w:t xml:space="preserve"> </w:t>
      </w:r>
      <w:r w:rsidRPr="0056745B">
        <w:rPr>
          <w:bCs/>
          <w:i/>
        </w:rPr>
        <w:t>Fiscal Studies</w:t>
      </w:r>
      <w:r>
        <w:rPr>
          <w:bCs/>
          <w:i/>
        </w:rPr>
        <w:t xml:space="preserve">, </w:t>
      </w:r>
      <w:r w:rsidRPr="003F5284">
        <w:rPr>
          <w:bCs/>
        </w:rPr>
        <w:t>V</w:t>
      </w:r>
      <w:r>
        <w:rPr>
          <w:bCs/>
        </w:rPr>
        <w:t>ol. 33(2).</w:t>
      </w:r>
      <w:proofErr w:type="gramEnd"/>
      <w:r>
        <w:rPr>
          <w:bCs/>
        </w:rPr>
        <w:t xml:space="preserve"> pp. 237-264.</w:t>
      </w:r>
    </w:p>
    <w:p w:rsidR="008E11D2" w:rsidRPr="0056745B" w:rsidRDefault="008E11D2" w:rsidP="008E11D2">
      <w:pPr>
        <w:spacing w:line="0" w:lineRule="atLeast"/>
        <w:ind w:left="284" w:hanging="284"/>
        <w:jc w:val="both"/>
      </w:pPr>
    </w:p>
    <w:p w:rsidR="008E11D2" w:rsidRPr="00CF0206" w:rsidRDefault="008E11D2" w:rsidP="008E11D2">
      <w:pPr>
        <w:spacing w:line="0" w:lineRule="atLeast"/>
        <w:ind w:left="284" w:hanging="284"/>
        <w:jc w:val="both"/>
      </w:pPr>
      <w:proofErr w:type="spellStart"/>
      <w:proofErr w:type="gramStart"/>
      <w:r w:rsidRPr="00CF0206">
        <w:t>Haider</w:t>
      </w:r>
      <w:proofErr w:type="spellEnd"/>
      <w:r w:rsidRPr="00CF0206">
        <w:t xml:space="preserve">, S. and </w:t>
      </w:r>
      <w:proofErr w:type="spellStart"/>
      <w:r w:rsidRPr="00CF0206">
        <w:t>Solon</w:t>
      </w:r>
      <w:proofErr w:type="spellEnd"/>
      <w:r w:rsidRPr="00CF0206">
        <w:t xml:space="preserve">, G. (2006) </w:t>
      </w:r>
      <w:r>
        <w:t>“</w:t>
      </w:r>
      <w:r w:rsidRPr="00CF0206">
        <w:t>Life-cycle Variation in the Association between Current and Lifetime E</w:t>
      </w:r>
      <w:r>
        <w:t>arnings,”</w:t>
      </w:r>
      <w:r w:rsidRPr="00CF0206">
        <w:t xml:space="preserve"> </w:t>
      </w:r>
      <w:r w:rsidRPr="00CF0206">
        <w:rPr>
          <w:i/>
        </w:rPr>
        <w:t>American Economic Review</w:t>
      </w:r>
      <w:r>
        <w:rPr>
          <w:i/>
        </w:rPr>
        <w:t>,</w:t>
      </w:r>
      <w:r>
        <w:t xml:space="preserve"> Vol.96 (4).</w:t>
      </w:r>
      <w:proofErr w:type="gramEnd"/>
      <w:r>
        <w:t xml:space="preserve"> pp. 1308-1320</w:t>
      </w:r>
    </w:p>
    <w:p w:rsidR="008E11D2" w:rsidRPr="00CF0206" w:rsidRDefault="008E11D2" w:rsidP="008E11D2">
      <w:pPr>
        <w:spacing w:line="0" w:lineRule="atLeast"/>
        <w:ind w:left="284" w:hanging="284"/>
        <w:jc w:val="both"/>
      </w:pPr>
    </w:p>
    <w:p w:rsidR="008E11D2" w:rsidRDefault="008E11D2" w:rsidP="008E11D2">
      <w:pPr>
        <w:spacing w:line="0" w:lineRule="atLeast"/>
        <w:ind w:left="284" w:hanging="284"/>
        <w:jc w:val="both"/>
        <w:rPr>
          <w:rStyle w:val="apple-style-span"/>
          <w:rFonts w:eastAsiaTheme="majorEastAsia"/>
          <w:color w:val="000000"/>
        </w:rPr>
      </w:pPr>
      <w:proofErr w:type="spellStart"/>
      <w:r w:rsidRPr="00CF0206">
        <w:rPr>
          <w:rStyle w:val="apple-style-span"/>
          <w:rFonts w:eastAsiaTheme="majorEastAsia"/>
          <w:color w:val="000000"/>
        </w:rPr>
        <w:t>Halpin</w:t>
      </w:r>
      <w:proofErr w:type="spellEnd"/>
      <w:r w:rsidRPr="00CF0206">
        <w:rPr>
          <w:rStyle w:val="apple-style-span"/>
          <w:rFonts w:eastAsiaTheme="majorEastAsia"/>
          <w:color w:val="000000"/>
        </w:rPr>
        <w:t>, B. (1997)</w:t>
      </w:r>
      <w:r w:rsidRPr="00CF0206">
        <w:rPr>
          <w:rStyle w:val="apple-converted-space"/>
          <w:rFonts w:eastAsiaTheme="majorEastAsia"/>
          <w:color w:val="000000"/>
        </w:rPr>
        <w:t> </w:t>
      </w:r>
      <w:r>
        <w:rPr>
          <w:rStyle w:val="apple-converted-space"/>
          <w:rFonts w:eastAsiaTheme="majorEastAsia"/>
          <w:color w:val="000000"/>
        </w:rPr>
        <w:t>“</w:t>
      </w:r>
      <w:r w:rsidRPr="00CF0206">
        <w:rPr>
          <w:rStyle w:val="apple-style-span"/>
          <w:rFonts w:eastAsiaTheme="majorEastAsia"/>
          <w:iCs/>
          <w:color w:val="000000"/>
        </w:rPr>
        <w:t>Unified BHPS work-life histories: combining multiple sources into a user-friendly format</w:t>
      </w:r>
      <w:r w:rsidRPr="00CF0206">
        <w:rPr>
          <w:rStyle w:val="apple-style-span"/>
          <w:rFonts w:eastAsiaTheme="majorEastAsia"/>
          <w:color w:val="000000"/>
        </w:rPr>
        <w:t>,</w:t>
      </w:r>
      <w:r>
        <w:rPr>
          <w:rStyle w:val="apple-style-span"/>
          <w:rFonts w:eastAsiaTheme="majorEastAsia"/>
          <w:color w:val="000000"/>
        </w:rPr>
        <w:t>”</w:t>
      </w:r>
      <w:r w:rsidRPr="00CF0206">
        <w:rPr>
          <w:rStyle w:val="apple-style-span"/>
          <w:rFonts w:eastAsiaTheme="majorEastAsia"/>
          <w:color w:val="000000"/>
        </w:rPr>
        <w:t xml:space="preserve"> Technical Papers of the ESRC Research Centre on Micro-Social Change, 13, Colchester: University of Essex</w:t>
      </w:r>
      <w:r>
        <w:rPr>
          <w:rStyle w:val="apple-style-span"/>
          <w:rFonts w:eastAsiaTheme="majorEastAsia"/>
          <w:color w:val="000000"/>
        </w:rPr>
        <w:t>.</w:t>
      </w:r>
    </w:p>
    <w:p w:rsidR="008E11D2" w:rsidRDefault="008E11D2" w:rsidP="008E11D2">
      <w:pPr>
        <w:spacing w:line="0" w:lineRule="atLeast"/>
        <w:ind w:left="284" w:hanging="284"/>
        <w:jc w:val="both"/>
        <w:rPr>
          <w:rStyle w:val="apple-style-span"/>
          <w:rFonts w:eastAsiaTheme="majorEastAsia"/>
          <w:color w:val="000000"/>
        </w:rPr>
      </w:pPr>
    </w:p>
    <w:p w:rsidR="008E11D2" w:rsidRPr="00CF0206" w:rsidRDefault="008E11D2" w:rsidP="008E11D2">
      <w:pPr>
        <w:pStyle w:val="FootnoteText"/>
        <w:spacing w:line="0" w:lineRule="atLeast"/>
        <w:ind w:left="284" w:hanging="284"/>
        <w:jc w:val="both"/>
        <w:rPr>
          <w:sz w:val="24"/>
          <w:szCs w:val="24"/>
        </w:rPr>
      </w:pPr>
      <w:proofErr w:type="spellStart"/>
      <w:proofErr w:type="gramStart"/>
      <w:r w:rsidRPr="00CF0206">
        <w:rPr>
          <w:sz w:val="24"/>
          <w:szCs w:val="24"/>
        </w:rPr>
        <w:lastRenderedPageBreak/>
        <w:t>Ioannides</w:t>
      </w:r>
      <w:proofErr w:type="spellEnd"/>
      <w:r w:rsidRPr="00CF0206">
        <w:rPr>
          <w:sz w:val="24"/>
          <w:szCs w:val="24"/>
        </w:rPr>
        <w:t xml:space="preserve">, Y &amp; </w:t>
      </w:r>
      <w:proofErr w:type="spellStart"/>
      <w:r w:rsidRPr="00CF0206">
        <w:rPr>
          <w:sz w:val="24"/>
          <w:szCs w:val="24"/>
        </w:rPr>
        <w:t>Loury</w:t>
      </w:r>
      <w:proofErr w:type="spellEnd"/>
      <w:r w:rsidRPr="00CF0206">
        <w:rPr>
          <w:sz w:val="24"/>
          <w:szCs w:val="24"/>
        </w:rPr>
        <w:t xml:space="preserve">, L. (2004) </w:t>
      </w:r>
      <w:r>
        <w:rPr>
          <w:sz w:val="24"/>
          <w:szCs w:val="24"/>
        </w:rPr>
        <w:t>“</w:t>
      </w:r>
      <w:r w:rsidRPr="00CF0206">
        <w:rPr>
          <w:sz w:val="24"/>
          <w:szCs w:val="24"/>
        </w:rPr>
        <w:t>Job information networks, neighbou</w:t>
      </w:r>
      <w:r>
        <w:rPr>
          <w:sz w:val="24"/>
          <w:szCs w:val="24"/>
        </w:rPr>
        <w:t>rhood effects and inequality,”</w:t>
      </w:r>
      <w:r w:rsidRPr="00CF0206">
        <w:rPr>
          <w:sz w:val="24"/>
          <w:szCs w:val="24"/>
        </w:rPr>
        <w:t xml:space="preserve"> </w:t>
      </w:r>
      <w:r w:rsidRPr="00CF0206">
        <w:rPr>
          <w:i/>
          <w:sz w:val="24"/>
          <w:szCs w:val="24"/>
        </w:rPr>
        <w:t>Journal of Economic Literature</w:t>
      </w:r>
      <w:r>
        <w:rPr>
          <w:i/>
          <w:sz w:val="24"/>
          <w:szCs w:val="24"/>
        </w:rPr>
        <w:t>,</w:t>
      </w:r>
      <w:r w:rsidRPr="00CF0206">
        <w:rPr>
          <w:i/>
          <w:sz w:val="24"/>
          <w:szCs w:val="24"/>
        </w:rPr>
        <w:t xml:space="preserve"> </w:t>
      </w:r>
      <w:r w:rsidRPr="00CF0206">
        <w:rPr>
          <w:sz w:val="24"/>
          <w:szCs w:val="24"/>
        </w:rPr>
        <w:t>Vol. 42</w:t>
      </w:r>
      <w:r>
        <w:rPr>
          <w:sz w:val="24"/>
          <w:szCs w:val="24"/>
        </w:rPr>
        <w:t>(4).</w:t>
      </w:r>
      <w:proofErr w:type="gramEnd"/>
      <w:r w:rsidRPr="00CF0206">
        <w:rPr>
          <w:sz w:val="24"/>
          <w:szCs w:val="24"/>
        </w:rPr>
        <w:t xml:space="preserve"> </w:t>
      </w:r>
      <w:r>
        <w:rPr>
          <w:sz w:val="24"/>
          <w:szCs w:val="24"/>
        </w:rPr>
        <w:t>pp. 1056-1093</w:t>
      </w:r>
    </w:p>
    <w:p w:rsidR="008E11D2" w:rsidRDefault="008E11D2" w:rsidP="008E11D2">
      <w:pPr>
        <w:spacing w:line="0" w:lineRule="atLeast"/>
        <w:ind w:left="284" w:hanging="284"/>
        <w:jc w:val="both"/>
      </w:pPr>
    </w:p>
    <w:p w:rsidR="008E11D2" w:rsidRDefault="008E11D2" w:rsidP="008E11D2">
      <w:pPr>
        <w:spacing w:line="0" w:lineRule="atLeast"/>
        <w:ind w:left="284" w:hanging="284"/>
        <w:jc w:val="both"/>
      </w:pPr>
      <w:r w:rsidRPr="00CF0206">
        <w:t>Johnson, P. &amp; Reed, H. (1996</w:t>
      </w:r>
      <w:proofErr w:type="gramStart"/>
      <w:r w:rsidRPr="00CF0206">
        <w:t xml:space="preserve">)  </w:t>
      </w:r>
      <w:r>
        <w:t>“</w:t>
      </w:r>
      <w:proofErr w:type="gramEnd"/>
      <w:r w:rsidRPr="00CF0206">
        <w:t>Intergenerational Mobility Among the Rich and Poor: Results from the National Child Development Survey</w:t>
      </w:r>
      <w:r>
        <w:t>,”</w:t>
      </w:r>
      <w:r w:rsidRPr="00CF0206">
        <w:t xml:space="preserve"> </w:t>
      </w:r>
      <w:r w:rsidRPr="00CF0206">
        <w:rPr>
          <w:i/>
        </w:rPr>
        <w:t>Oxford Review of Economic Policy</w:t>
      </w:r>
      <w:r w:rsidRPr="00CF0206">
        <w:t>, Vol. 12 (1)</w:t>
      </w:r>
      <w:r>
        <w:t>.</w:t>
      </w:r>
      <w:r w:rsidRPr="00CF0206">
        <w:t xml:space="preserve"> </w:t>
      </w:r>
      <w:proofErr w:type="gramStart"/>
      <w:r w:rsidRPr="00CF0206">
        <w:t>p</w:t>
      </w:r>
      <w:r>
        <w:t>p</w:t>
      </w:r>
      <w:r w:rsidRPr="00CF0206">
        <w:t>.127-143</w:t>
      </w:r>
      <w:proofErr w:type="gramEnd"/>
      <w:r>
        <w:t>.</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Default="008E11D2" w:rsidP="008E11D2">
      <w:pPr>
        <w:spacing w:line="0" w:lineRule="atLeast"/>
        <w:ind w:left="284" w:hanging="284"/>
        <w:jc w:val="both"/>
      </w:pPr>
      <w:proofErr w:type="spellStart"/>
      <w:r>
        <w:t>Kramarz</w:t>
      </w:r>
      <w:proofErr w:type="spellEnd"/>
      <w:r>
        <w:t xml:space="preserve">, F. And </w:t>
      </w:r>
      <w:proofErr w:type="spellStart"/>
      <w:r>
        <w:t>Skans</w:t>
      </w:r>
      <w:proofErr w:type="spellEnd"/>
      <w:r>
        <w:t xml:space="preserve">, O. (2006) “Nepotism at work? Family networks and youth labour market entry” Unpublished manuscript, Symposium of </w:t>
      </w:r>
      <w:proofErr w:type="spellStart"/>
      <w:r>
        <w:t>Labor</w:t>
      </w:r>
      <w:proofErr w:type="spellEnd"/>
      <w:r>
        <w:t xml:space="preserve"> Economics (ESSLE).</w:t>
      </w:r>
    </w:p>
    <w:p w:rsidR="008E11D2" w:rsidRDefault="008E11D2" w:rsidP="008E11D2">
      <w:pPr>
        <w:spacing w:line="0" w:lineRule="atLeast"/>
        <w:ind w:left="284" w:hanging="284"/>
        <w:jc w:val="both"/>
      </w:pPr>
    </w:p>
    <w:p w:rsidR="008E11D2" w:rsidRPr="00AF3D8F" w:rsidRDefault="008E11D2" w:rsidP="008E11D2">
      <w:pPr>
        <w:spacing w:line="0" w:lineRule="atLeast"/>
        <w:ind w:left="284" w:hanging="284"/>
        <w:jc w:val="both"/>
      </w:pPr>
      <w:r>
        <w:t xml:space="preserve">Kim, B. (2002) “The role of the urban/non-urban cost-of-living difference in measured intergenerational earnings mobility” </w:t>
      </w:r>
      <w:r>
        <w:rPr>
          <w:i/>
        </w:rPr>
        <w:t>Economic Letters</w:t>
      </w:r>
      <w:r>
        <w:t>, Vol. 77, pp.9-14</w:t>
      </w:r>
    </w:p>
    <w:p w:rsidR="008E11D2" w:rsidRDefault="008E11D2" w:rsidP="008E11D2">
      <w:pPr>
        <w:spacing w:line="0" w:lineRule="atLeast"/>
        <w:ind w:left="284" w:hanging="284"/>
        <w:jc w:val="both"/>
      </w:pPr>
    </w:p>
    <w:p w:rsidR="008E11D2" w:rsidRDefault="008E11D2" w:rsidP="008E11D2">
      <w:pPr>
        <w:spacing w:line="0" w:lineRule="atLeast"/>
        <w:ind w:left="284" w:hanging="284"/>
        <w:jc w:val="both"/>
      </w:pPr>
      <w:r w:rsidRPr="00CF0206">
        <w:t xml:space="preserve">Lee, C. and </w:t>
      </w:r>
      <w:proofErr w:type="spellStart"/>
      <w:r w:rsidRPr="00CF0206">
        <w:t>Solon</w:t>
      </w:r>
      <w:proofErr w:type="spellEnd"/>
      <w:r w:rsidRPr="00CF0206">
        <w:t xml:space="preserve">, G. (2009) </w:t>
      </w:r>
      <w:r>
        <w:t>“</w:t>
      </w:r>
      <w:r w:rsidRPr="00CF0206">
        <w:t>Trends in Inter</w:t>
      </w:r>
      <w:r>
        <w:t>generational Income Mobility,”</w:t>
      </w:r>
      <w:r w:rsidRPr="00CF0206">
        <w:t xml:space="preserve"> </w:t>
      </w:r>
      <w:r w:rsidRPr="00CF0206">
        <w:rPr>
          <w:i/>
        </w:rPr>
        <w:t>The Review of Economic and Statistics</w:t>
      </w:r>
      <w:r>
        <w:rPr>
          <w:i/>
        </w:rPr>
        <w:t>,</w:t>
      </w:r>
      <w:r w:rsidRPr="00CF0206">
        <w:t xml:space="preserve"> </w:t>
      </w:r>
      <w:proofErr w:type="gramStart"/>
      <w:r w:rsidRPr="00CF0206">
        <w:t>Vol.91(</w:t>
      </w:r>
      <w:proofErr w:type="gramEnd"/>
      <w:r w:rsidRPr="00CF0206">
        <w:t>4)</w:t>
      </w:r>
      <w:r>
        <w:t>. pp. 766-772.</w:t>
      </w:r>
    </w:p>
    <w:p w:rsidR="008E11D2" w:rsidRPr="00CF0206" w:rsidRDefault="008E11D2" w:rsidP="008E11D2">
      <w:pPr>
        <w:autoSpaceDE w:val="0"/>
        <w:autoSpaceDN w:val="0"/>
        <w:adjustRightInd w:val="0"/>
        <w:spacing w:line="0" w:lineRule="atLeast"/>
        <w:ind w:left="284" w:hanging="284"/>
        <w:jc w:val="both"/>
      </w:pPr>
    </w:p>
    <w:p w:rsidR="008E11D2" w:rsidRPr="00CF0206" w:rsidRDefault="008E11D2" w:rsidP="008E11D2">
      <w:pPr>
        <w:spacing w:line="0" w:lineRule="atLeast"/>
        <w:ind w:left="284" w:hanging="284"/>
        <w:jc w:val="both"/>
      </w:pPr>
      <w:proofErr w:type="gramStart"/>
      <w:r w:rsidRPr="00CF0206">
        <w:t xml:space="preserve">Li, Y. (2012) </w:t>
      </w:r>
      <w:r>
        <w:t>“</w:t>
      </w:r>
      <w:r w:rsidRPr="00CF0206">
        <w:t>Hard Times, Worklessness and Unemployment i</w:t>
      </w:r>
      <w:r>
        <w:t>n Britain and the USA 1972-2011,”</w:t>
      </w:r>
      <w:r w:rsidRPr="00CF0206">
        <w:t xml:space="preserve"> </w:t>
      </w:r>
      <w:r>
        <w:t>University of Manchester, unpublished manuscript.</w:t>
      </w:r>
      <w:proofErr w:type="gramEnd"/>
    </w:p>
    <w:p w:rsidR="008E11D2" w:rsidRPr="00CF0206" w:rsidRDefault="008E11D2" w:rsidP="008E11D2">
      <w:pPr>
        <w:spacing w:line="0" w:lineRule="atLeast"/>
        <w:ind w:left="284" w:hanging="284"/>
        <w:jc w:val="both"/>
      </w:pPr>
    </w:p>
    <w:p w:rsidR="008E11D2" w:rsidRDefault="008E11D2" w:rsidP="008E11D2">
      <w:pPr>
        <w:pStyle w:val="NoSpacing"/>
        <w:spacing w:line="0" w:lineRule="atLeast"/>
        <w:ind w:left="284" w:hanging="284"/>
        <w:jc w:val="both"/>
        <w:rPr>
          <w:rFonts w:ascii="Times New Roman" w:hAnsi="Times New Roman" w:cs="Times New Roman"/>
          <w:sz w:val="24"/>
          <w:szCs w:val="24"/>
        </w:rPr>
      </w:pPr>
      <w:r w:rsidRPr="00CF0206">
        <w:rPr>
          <w:rFonts w:ascii="Times New Roman" w:hAnsi="Times New Roman" w:cs="Times New Roman"/>
          <w:sz w:val="24"/>
          <w:szCs w:val="24"/>
        </w:rPr>
        <w:t xml:space="preserve">List, J and </w:t>
      </w:r>
      <w:proofErr w:type="spellStart"/>
      <w:r w:rsidRPr="00CF0206">
        <w:rPr>
          <w:rFonts w:ascii="Times New Roman" w:hAnsi="Times New Roman" w:cs="Times New Roman"/>
          <w:sz w:val="24"/>
          <w:szCs w:val="24"/>
        </w:rPr>
        <w:t>Rasul</w:t>
      </w:r>
      <w:proofErr w:type="spellEnd"/>
      <w:r w:rsidRPr="00CF0206">
        <w:rPr>
          <w:rFonts w:ascii="Times New Roman" w:hAnsi="Times New Roman" w:cs="Times New Roman"/>
          <w:sz w:val="24"/>
          <w:szCs w:val="24"/>
        </w:rPr>
        <w:t xml:space="preserve">, I. (2010) </w:t>
      </w:r>
      <w:r>
        <w:rPr>
          <w:rFonts w:ascii="Times New Roman" w:hAnsi="Times New Roman" w:cs="Times New Roman"/>
          <w:sz w:val="24"/>
          <w:szCs w:val="24"/>
        </w:rPr>
        <w:t>“</w:t>
      </w:r>
      <w:r w:rsidRPr="00CF0206">
        <w:rPr>
          <w:rFonts w:ascii="Times New Roman" w:hAnsi="Times New Roman" w:cs="Times New Roman"/>
          <w:sz w:val="24"/>
          <w:szCs w:val="24"/>
        </w:rPr>
        <w:t xml:space="preserve">Field </w:t>
      </w:r>
      <w:r>
        <w:rPr>
          <w:rFonts w:ascii="Times New Roman" w:hAnsi="Times New Roman" w:cs="Times New Roman"/>
          <w:sz w:val="24"/>
          <w:szCs w:val="24"/>
        </w:rPr>
        <w:t>Experiments in Labour Economics,”</w:t>
      </w:r>
      <w:r w:rsidRPr="00CF0206">
        <w:rPr>
          <w:rFonts w:ascii="Times New Roman" w:hAnsi="Times New Roman" w:cs="Times New Roman"/>
          <w:sz w:val="24"/>
          <w:szCs w:val="24"/>
        </w:rPr>
        <w:t xml:space="preserve"> in </w:t>
      </w:r>
      <w:r w:rsidRPr="00CF0206">
        <w:rPr>
          <w:rFonts w:ascii="Times New Roman" w:hAnsi="Times New Roman" w:cs="Times New Roman"/>
          <w:i/>
          <w:sz w:val="24"/>
          <w:szCs w:val="24"/>
        </w:rPr>
        <w:t xml:space="preserve">Handbook of </w:t>
      </w:r>
      <w:proofErr w:type="spellStart"/>
      <w:r w:rsidRPr="00CF0206">
        <w:rPr>
          <w:rFonts w:ascii="Times New Roman" w:hAnsi="Times New Roman" w:cs="Times New Roman"/>
          <w:i/>
          <w:sz w:val="24"/>
          <w:szCs w:val="24"/>
        </w:rPr>
        <w:t>Labor</w:t>
      </w:r>
      <w:proofErr w:type="spellEnd"/>
      <w:r w:rsidRPr="00CF0206">
        <w:rPr>
          <w:rFonts w:ascii="Times New Roman" w:hAnsi="Times New Roman" w:cs="Times New Roman"/>
          <w:i/>
          <w:sz w:val="24"/>
          <w:szCs w:val="24"/>
        </w:rPr>
        <w:t xml:space="preserve"> Economics </w:t>
      </w:r>
      <w:r w:rsidRPr="00CF0206">
        <w:rPr>
          <w:rFonts w:ascii="Times New Roman" w:hAnsi="Times New Roman" w:cs="Times New Roman"/>
          <w:sz w:val="24"/>
          <w:szCs w:val="24"/>
        </w:rPr>
        <w:t xml:space="preserve">(O. </w:t>
      </w:r>
      <w:proofErr w:type="spellStart"/>
      <w:r w:rsidRPr="00CF0206">
        <w:rPr>
          <w:rFonts w:ascii="Times New Roman" w:hAnsi="Times New Roman" w:cs="Times New Roman"/>
          <w:sz w:val="24"/>
          <w:szCs w:val="24"/>
        </w:rPr>
        <w:t>Ashen</w:t>
      </w:r>
      <w:r>
        <w:rPr>
          <w:rFonts w:ascii="Times New Roman" w:hAnsi="Times New Roman" w:cs="Times New Roman"/>
          <w:sz w:val="24"/>
          <w:szCs w:val="24"/>
        </w:rPr>
        <w:t>felter</w:t>
      </w:r>
      <w:proofErr w:type="spellEnd"/>
      <w:r>
        <w:rPr>
          <w:rFonts w:ascii="Times New Roman" w:hAnsi="Times New Roman" w:cs="Times New Roman"/>
          <w:sz w:val="24"/>
          <w:szCs w:val="24"/>
        </w:rPr>
        <w:t xml:space="preserve"> and D. Card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 3</w:t>
      </w:r>
      <w:r w:rsidRPr="00CF0206">
        <w:rPr>
          <w:rFonts w:ascii="Times New Roman" w:hAnsi="Times New Roman" w:cs="Times New Roman"/>
          <w:sz w:val="24"/>
          <w:szCs w:val="24"/>
        </w:rPr>
        <w:t>C</w:t>
      </w:r>
      <w:r>
        <w:rPr>
          <w:rFonts w:ascii="Times New Roman" w:hAnsi="Times New Roman" w:cs="Times New Roman"/>
          <w:sz w:val="24"/>
          <w:szCs w:val="24"/>
        </w:rPr>
        <w:t>.</w:t>
      </w:r>
      <w:proofErr w:type="gramEnd"/>
      <w:r w:rsidRPr="00CF0206">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CF0206">
        <w:rPr>
          <w:rFonts w:ascii="Times New Roman" w:hAnsi="Times New Roman" w:cs="Times New Roman"/>
          <w:sz w:val="24"/>
          <w:szCs w:val="24"/>
        </w:rPr>
        <w:t>3143-3259</w:t>
      </w:r>
      <w:r>
        <w:rPr>
          <w:rFonts w:ascii="Times New Roman" w:hAnsi="Times New Roman" w:cs="Times New Roman"/>
          <w:sz w:val="24"/>
          <w:szCs w:val="24"/>
        </w:rPr>
        <w:t>.</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Pr="0081051D" w:rsidRDefault="008E11D2" w:rsidP="008E11D2">
      <w:pPr>
        <w:autoSpaceDE w:val="0"/>
        <w:autoSpaceDN w:val="0"/>
        <w:adjustRightInd w:val="0"/>
        <w:ind w:left="284" w:hanging="284"/>
        <w:rPr>
          <w:rFonts w:eastAsiaTheme="minorHAnsi"/>
          <w:lang w:eastAsia="en-US"/>
        </w:rPr>
      </w:pPr>
      <w:proofErr w:type="spellStart"/>
      <w:r>
        <w:rPr>
          <w:rFonts w:eastAsiaTheme="minorHAnsi"/>
          <w:lang w:eastAsia="en-US"/>
        </w:rPr>
        <w:t>Loury</w:t>
      </w:r>
      <w:proofErr w:type="spellEnd"/>
      <w:r>
        <w:rPr>
          <w:rFonts w:eastAsiaTheme="minorHAnsi"/>
          <w:lang w:eastAsia="en-US"/>
        </w:rPr>
        <w:t>, L.</w:t>
      </w:r>
      <w:r w:rsidRPr="0081051D">
        <w:rPr>
          <w:rFonts w:eastAsiaTheme="minorHAnsi"/>
          <w:lang w:eastAsia="en-US"/>
        </w:rPr>
        <w:t xml:space="preserve"> (2006)</w:t>
      </w:r>
      <w:r>
        <w:rPr>
          <w:rFonts w:eastAsiaTheme="minorHAnsi"/>
          <w:lang w:eastAsia="en-US"/>
        </w:rPr>
        <w:t xml:space="preserve"> “</w:t>
      </w:r>
      <w:r w:rsidRPr="0081051D">
        <w:rPr>
          <w:rFonts w:eastAsiaTheme="minorHAnsi"/>
          <w:lang w:eastAsia="en-US"/>
        </w:rPr>
        <w:t xml:space="preserve">Some Contacts are More Equal </w:t>
      </w:r>
      <w:proofErr w:type="gramStart"/>
      <w:r w:rsidRPr="0081051D">
        <w:rPr>
          <w:rFonts w:eastAsiaTheme="minorHAnsi"/>
          <w:lang w:eastAsia="en-US"/>
        </w:rPr>
        <w:t>Than</w:t>
      </w:r>
      <w:proofErr w:type="gramEnd"/>
      <w:r w:rsidRPr="0081051D">
        <w:rPr>
          <w:rFonts w:eastAsiaTheme="minorHAnsi"/>
          <w:lang w:eastAsia="en-US"/>
        </w:rPr>
        <w:t xml:space="preserve"> Others: Informal Networks,</w:t>
      </w:r>
      <w:r>
        <w:rPr>
          <w:rFonts w:eastAsiaTheme="minorHAnsi"/>
          <w:lang w:eastAsia="en-US"/>
        </w:rPr>
        <w:t xml:space="preserve"> Job Tenure, and Wages,” </w:t>
      </w:r>
      <w:r w:rsidRPr="0081051D">
        <w:rPr>
          <w:rFonts w:eastAsiaTheme="minorHAnsi"/>
          <w:i/>
          <w:lang w:eastAsia="en-US"/>
        </w:rPr>
        <w:t xml:space="preserve">Journal of </w:t>
      </w:r>
      <w:proofErr w:type="spellStart"/>
      <w:r w:rsidRPr="0081051D">
        <w:rPr>
          <w:rFonts w:eastAsiaTheme="minorHAnsi"/>
          <w:i/>
          <w:lang w:eastAsia="en-US"/>
        </w:rPr>
        <w:t>Labor</w:t>
      </w:r>
      <w:proofErr w:type="spellEnd"/>
      <w:r w:rsidRPr="0081051D">
        <w:rPr>
          <w:rFonts w:eastAsiaTheme="minorHAnsi"/>
          <w:i/>
          <w:lang w:eastAsia="en-US"/>
        </w:rPr>
        <w:t xml:space="preserve"> Economics</w:t>
      </w:r>
      <w:r w:rsidRPr="0081051D">
        <w:rPr>
          <w:rFonts w:eastAsiaTheme="minorHAnsi"/>
          <w:lang w:eastAsia="en-US"/>
        </w:rPr>
        <w:t>,</w:t>
      </w:r>
      <w:r>
        <w:rPr>
          <w:rFonts w:eastAsiaTheme="minorHAnsi"/>
          <w:lang w:eastAsia="en-US"/>
        </w:rPr>
        <w:t xml:space="preserve"> Vol. </w:t>
      </w:r>
      <w:r w:rsidRPr="0081051D">
        <w:rPr>
          <w:rFonts w:eastAsiaTheme="minorHAnsi"/>
          <w:lang w:eastAsia="en-US"/>
        </w:rPr>
        <w:t>24</w:t>
      </w:r>
      <w:r>
        <w:rPr>
          <w:rFonts w:eastAsiaTheme="minorHAnsi"/>
          <w:lang w:eastAsia="en-US"/>
        </w:rPr>
        <w:t xml:space="preserve"> </w:t>
      </w:r>
      <w:r w:rsidRPr="0081051D">
        <w:rPr>
          <w:rFonts w:eastAsiaTheme="minorHAnsi"/>
          <w:lang w:eastAsia="en-US"/>
        </w:rPr>
        <w:t xml:space="preserve">(2), </w:t>
      </w:r>
      <w:r>
        <w:rPr>
          <w:rFonts w:eastAsiaTheme="minorHAnsi"/>
          <w:lang w:eastAsia="en-US"/>
        </w:rPr>
        <w:t xml:space="preserve">pp. </w:t>
      </w:r>
      <w:r w:rsidRPr="0081051D">
        <w:rPr>
          <w:rFonts w:eastAsiaTheme="minorHAnsi"/>
          <w:lang w:eastAsia="en-US"/>
        </w:rPr>
        <w:t>299.318.</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Default="008E11D2" w:rsidP="008E11D2">
      <w:pPr>
        <w:pStyle w:val="NoSpacing"/>
        <w:spacing w:line="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Macmillan, L. (2013a) “The role of non-cognitive and cognitive skills, behavioural and educational outcomes in accounting for the intergenerational transmission of </w:t>
      </w:r>
      <w:proofErr w:type="spellStart"/>
      <w:r>
        <w:rPr>
          <w:rFonts w:ascii="Times New Roman" w:hAnsi="Times New Roman" w:cs="Times New Roman"/>
          <w:sz w:val="24"/>
          <w:szCs w:val="24"/>
        </w:rPr>
        <w:t>worklessness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DoQSS</w:t>
      </w:r>
      <w:proofErr w:type="spellEnd"/>
      <w:r>
        <w:rPr>
          <w:rFonts w:ascii="Times New Roman" w:hAnsi="Times New Roman" w:cs="Times New Roman"/>
          <w:sz w:val="24"/>
          <w:szCs w:val="24"/>
        </w:rPr>
        <w:t xml:space="preserve"> Working Paper 13-01, Institute of Education.</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Default="008E11D2" w:rsidP="008E11D2">
      <w:pPr>
        <w:pStyle w:val="NoSpacing"/>
        <w:spacing w:line="0" w:lineRule="atLeast"/>
        <w:ind w:left="284" w:hanging="284"/>
        <w:jc w:val="both"/>
        <w:rPr>
          <w:rFonts w:ascii="Times New Roman" w:hAnsi="Times New Roman" w:cs="Times New Roman"/>
          <w:sz w:val="24"/>
          <w:szCs w:val="24"/>
        </w:rPr>
      </w:pPr>
      <w:r w:rsidRPr="001C7771">
        <w:rPr>
          <w:rFonts w:ascii="Times New Roman" w:hAnsi="Times New Roman" w:cs="Times New Roman"/>
          <w:sz w:val="24"/>
          <w:szCs w:val="24"/>
        </w:rPr>
        <w:t>Macmillan, L. (201</w:t>
      </w:r>
      <w:r>
        <w:rPr>
          <w:rFonts w:ascii="Times New Roman" w:hAnsi="Times New Roman" w:cs="Times New Roman"/>
          <w:sz w:val="24"/>
          <w:szCs w:val="24"/>
        </w:rPr>
        <w:t>3b</w:t>
      </w:r>
      <w:r w:rsidRPr="001C7771">
        <w:rPr>
          <w:rFonts w:ascii="Times New Roman" w:hAnsi="Times New Roman" w:cs="Times New Roman"/>
          <w:sz w:val="24"/>
          <w:szCs w:val="24"/>
        </w:rPr>
        <w:t xml:space="preserve">) </w:t>
      </w:r>
      <w:r>
        <w:rPr>
          <w:rFonts w:ascii="Times New Roman" w:hAnsi="Times New Roman" w:cs="Times New Roman"/>
          <w:sz w:val="24"/>
          <w:szCs w:val="24"/>
        </w:rPr>
        <w:t xml:space="preserve">“The longer term costs of worklessness: Do fathers’ workless spells causally affect their children’s workless experiences in adulthood?” </w:t>
      </w:r>
      <w:r w:rsidRPr="00816CDA">
        <w:rPr>
          <w:rFonts w:ascii="Times New Roman" w:hAnsi="Times New Roman" w:cs="Times New Roman"/>
          <w:sz w:val="24"/>
          <w:szCs w:val="24"/>
        </w:rPr>
        <w:t>mimeo</w:t>
      </w:r>
      <w:r>
        <w:rPr>
          <w:rFonts w:ascii="Times New Roman" w:hAnsi="Times New Roman" w:cs="Times New Roman"/>
          <w:sz w:val="24"/>
          <w:szCs w:val="24"/>
        </w:rPr>
        <w:t xml:space="preserve">, University of Bristol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Chapter.</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Default="008E11D2" w:rsidP="008E11D2">
      <w:pPr>
        <w:pStyle w:val="NoSpacing"/>
        <w:spacing w:line="0" w:lineRule="atLeast"/>
        <w:ind w:left="284" w:hanging="284"/>
        <w:jc w:val="both"/>
        <w:rPr>
          <w:rFonts w:ascii="Times New Roman" w:hAnsi="Times New Roman" w:cs="Times New Roman"/>
          <w:sz w:val="24"/>
          <w:szCs w:val="24"/>
        </w:rPr>
      </w:pPr>
      <w:r w:rsidRPr="001C7771">
        <w:rPr>
          <w:rFonts w:ascii="Times New Roman" w:hAnsi="Times New Roman" w:cs="Times New Roman"/>
          <w:sz w:val="24"/>
          <w:szCs w:val="24"/>
        </w:rPr>
        <w:t xml:space="preserve">Macmillan, L. (2011) </w:t>
      </w:r>
      <w:r>
        <w:rPr>
          <w:rFonts w:ascii="Times New Roman" w:hAnsi="Times New Roman" w:cs="Times New Roman"/>
          <w:sz w:val="24"/>
          <w:szCs w:val="24"/>
        </w:rPr>
        <w:t>“</w:t>
      </w:r>
      <w:r w:rsidRPr="001C7771">
        <w:rPr>
          <w:rFonts w:ascii="Times New Roman" w:hAnsi="Times New Roman" w:cs="Times New Roman"/>
          <w:sz w:val="24"/>
          <w:szCs w:val="24"/>
        </w:rPr>
        <w:t>Measuring the intergenerational co</w:t>
      </w:r>
      <w:r>
        <w:rPr>
          <w:rFonts w:ascii="Times New Roman" w:hAnsi="Times New Roman" w:cs="Times New Roman"/>
          <w:sz w:val="24"/>
          <w:szCs w:val="24"/>
        </w:rPr>
        <w:t xml:space="preserve">rrelation of worklessness” CMPO </w:t>
      </w:r>
      <w:r w:rsidRPr="001C7771">
        <w:rPr>
          <w:rFonts w:ascii="Times New Roman" w:hAnsi="Times New Roman" w:cs="Times New Roman"/>
          <w:sz w:val="24"/>
          <w:szCs w:val="24"/>
        </w:rPr>
        <w:t>working paper 11/278</w:t>
      </w:r>
    </w:p>
    <w:p w:rsidR="008E11D2" w:rsidRDefault="008E11D2" w:rsidP="008E11D2">
      <w:pPr>
        <w:pStyle w:val="NoSpacing"/>
        <w:spacing w:line="0" w:lineRule="atLeast"/>
        <w:ind w:left="284" w:hanging="284"/>
        <w:jc w:val="both"/>
        <w:rPr>
          <w:rFonts w:ascii="Times New Roman" w:hAnsi="Times New Roman" w:cs="Times New Roman"/>
          <w:sz w:val="24"/>
          <w:szCs w:val="24"/>
        </w:rPr>
      </w:pPr>
    </w:p>
    <w:p w:rsidR="008E11D2" w:rsidRPr="00CF0206" w:rsidRDefault="008E11D2" w:rsidP="008E11D2">
      <w:pPr>
        <w:spacing w:line="0" w:lineRule="atLeast"/>
        <w:ind w:left="284" w:hanging="284"/>
        <w:jc w:val="both"/>
      </w:pPr>
      <w:r w:rsidRPr="00CF0206">
        <w:t>O’Nei</w:t>
      </w:r>
      <w:r>
        <w:t xml:space="preserve">ll, D. and </w:t>
      </w:r>
      <w:proofErr w:type="spellStart"/>
      <w:r>
        <w:t>Sweetman</w:t>
      </w:r>
      <w:proofErr w:type="spellEnd"/>
      <w:r>
        <w:t>, O. (1998) “</w:t>
      </w:r>
      <w:r w:rsidRPr="00CF0206">
        <w:t>Intergenerational mobility in Britain: Evidence from Unemployment Patterns</w:t>
      </w:r>
      <w:r>
        <w:t>,”</w:t>
      </w:r>
      <w:r w:rsidRPr="00CF0206">
        <w:t xml:space="preserve"> </w:t>
      </w:r>
      <w:r w:rsidRPr="00CF0206">
        <w:rPr>
          <w:i/>
        </w:rPr>
        <w:t>Oxford Bulletin of Economics and Statistics</w:t>
      </w:r>
      <w:r>
        <w:rPr>
          <w:i/>
        </w:rPr>
        <w:t>,</w:t>
      </w:r>
      <w:r w:rsidRPr="00CF0206">
        <w:rPr>
          <w:i/>
        </w:rPr>
        <w:t xml:space="preserve"> </w:t>
      </w:r>
      <w:r w:rsidRPr="00CF0206">
        <w:t>Vol. 60 (4)</w:t>
      </w:r>
      <w:r>
        <w:t>. pp. 431-447.</w:t>
      </w:r>
    </w:p>
    <w:p w:rsidR="008E11D2" w:rsidRPr="00CF0206" w:rsidRDefault="008E11D2" w:rsidP="008E11D2">
      <w:pPr>
        <w:pStyle w:val="NoSpacing"/>
        <w:spacing w:line="0" w:lineRule="atLeast"/>
        <w:ind w:left="284" w:hanging="284"/>
        <w:jc w:val="both"/>
        <w:rPr>
          <w:rFonts w:ascii="Times New Roman" w:hAnsi="Times New Roman" w:cs="Times New Roman"/>
          <w:sz w:val="24"/>
          <w:szCs w:val="24"/>
        </w:rPr>
      </w:pPr>
    </w:p>
    <w:p w:rsidR="008E11D2" w:rsidRPr="00CF0206" w:rsidRDefault="008E11D2" w:rsidP="008E11D2">
      <w:pPr>
        <w:spacing w:line="0" w:lineRule="atLeast"/>
        <w:ind w:left="284" w:hanging="284"/>
        <w:jc w:val="both"/>
      </w:pPr>
      <w:proofErr w:type="spellStart"/>
      <w:proofErr w:type="gramStart"/>
      <w:r w:rsidRPr="00CF0206">
        <w:t>Oreopoulos</w:t>
      </w:r>
      <w:proofErr w:type="spellEnd"/>
      <w:r w:rsidRPr="00CF0206">
        <w:t>, P, Page, M and Stevens, AH.</w:t>
      </w:r>
      <w:proofErr w:type="gramEnd"/>
      <w:r w:rsidRPr="00CF0206">
        <w:t xml:space="preserve"> </w:t>
      </w:r>
      <w:proofErr w:type="gramStart"/>
      <w:r w:rsidRPr="00CF0206">
        <w:t>(2008)</w:t>
      </w:r>
      <w:r>
        <w:t xml:space="preserve"> </w:t>
      </w:r>
      <w:r w:rsidRPr="00CF0206">
        <w:t>"The Intergenerational Effects of Worker Displacement</w:t>
      </w:r>
      <w:r>
        <w:t>,</w:t>
      </w:r>
      <w:r w:rsidRPr="00CF0206">
        <w:t xml:space="preserve">" </w:t>
      </w:r>
      <w:r w:rsidRPr="00CF0206">
        <w:rPr>
          <w:i/>
          <w:iCs/>
        </w:rPr>
        <w:t xml:space="preserve">Journal of </w:t>
      </w:r>
      <w:proofErr w:type="spellStart"/>
      <w:r w:rsidRPr="00CF0206">
        <w:rPr>
          <w:i/>
          <w:iCs/>
        </w:rPr>
        <w:t>Labor</w:t>
      </w:r>
      <w:proofErr w:type="spellEnd"/>
      <w:r w:rsidRPr="00CF0206">
        <w:rPr>
          <w:i/>
          <w:iCs/>
        </w:rPr>
        <w:t xml:space="preserve"> Economics</w:t>
      </w:r>
      <w:r w:rsidRPr="00CF0206">
        <w:t xml:space="preserve">, </w:t>
      </w:r>
      <w:r>
        <w:t xml:space="preserve">Vol. </w:t>
      </w:r>
      <w:r w:rsidRPr="00CF0206">
        <w:t>26(3)</w:t>
      </w:r>
      <w:r>
        <w:t>.</w:t>
      </w:r>
      <w:proofErr w:type="gramEnd"/>
      <w:r>
        <w:t xml:space="preserve"> pp. 455-483</w:t>
      </w:r>
    </w:p>
    <w:p w:rsidR="008E11D2" w:rsidRPr="00CF0206" w:rsidRDefault="008E11D2" w:rsidP="008E11D2">
      <w:pPr>
        <w:pStyle w:val="FootnoteText"/>
        <w:spacing w:line="0" w:lineRule="atLeast"/>
        <w:ind w:left="284" w:hanging="284"/>
        <w:jc w:val="both"/>
        <w:rPr>
          <w:sz w:val="24"/>
          <w:szCs w:val="24"/>
        </w:rPr>
      </w:pPr>
    </w:p>
    <w:p w:rsidR="008E11D2" w:rsidRDefault="008E11D2" w:rsidP="008E11D2">
      <w:pPr>
        <w:spacing w:line="0" w:lineRule="atLeast"/>
        <w:ind w:left="284" w:hanging="284"/>
        <w:jc w:val="both"/>
      </w:pPr>
      <w:r>
        <w:t>Page, M. (2004). “</w:t>
      </w:r>
      <w:r w:rsidRPr="00CF0206">
        <w:t>New Evidence on Intergenerational Correlations in Welfare Participation</w:t>
      </w:r>
      <w:r>
        <w:t>,”</w:t>
      </w:r>
      <w:r w:rsidRPr="00CF0206">
        <w:t xml:space="preserve"> in </w:t>
      </w:r>
      <w:r w:rsidRPr="00CF0206">
        <w:rPr>
          <w:i/>
        </w:rPr>
        <w:t xml:space="preserve">Generational Income Mobility in North America and </w:t>
      </w:r>
      <w:proofErr w:type="gramStart"/>
      <w:r w:rsidRPr="00CF0206">
        <w:rPr>
          <w:i/>
        </w:rPr>
        <w:t>Europe</w:t>
      </w:r>
      <w:r>
        <w:rPr>
          <w:i/>
        </w:rPr>
        <w:t xml:space="preserve"> </w:t>
      </w:r>
      <w:r w:rsidRPr="00CF0206">
        <w:t xml:space="preserve"> </w:t>
      </w:r>
      <w:r>
        <w:t>(</w:t>
      </w:r>
      <w:proofErr w:type="gramEnd"/>
      <w:r w:rsidRPr="00CF0206">
        <w:t xml:space="preserve">M. </w:t>
      </w:r>
      <w:proofErr w:type="spellStart"/>
      <w:r w:rsidRPr="00CF0206">
        <w:t>Corak</w:t>
      </w:r>
      <w:proofErr w:type="spellEnd"/>
      <w:r w:rsidRPr="00CF0206">
        <w:t>,</w:t>
      </w:r>
      <w:r>
        <w:t xml:space="preserve"> ed.)</w:t>
      </w:r>
      <w:r w:rsidRPr="00CF0206">
        <w:t xml:space="preserve"> Cambridge University Press</w:t>
      </w:r>
      <w:r>
        <w:t>: Cambridge. pp. 226-244.</w:t>
      </w:r>
    </w:p>
    <w:p w:rsidR="008E11D2" w:rsidRDefault="008E11D2" w:rsidP="008E11D2">
      <w:pPr>
        <w:spacing w:line="0" w:lineRule="atLeast"/>
        <w:ind w:left="284" w:hanging="284"/>
        <w:jc w:val="both"/>
      </w:pPr>
    </w:p>
    <w:p w:rsidR="008E11D2" w:rsidRPr="0056745B" w:rsidRDefault="008E11D2" w:rsidP="008E11D2">
      <w:pPr>
        <w:pStyle w:val="NoSpacing"/>
        <w:spacing w:line="0" w:lineRule="atLeast"/>
        <w:ind w:left="284" w:hanging="284"/>
        <w:jc w:val="both"/>
        <w:rPr>
          <w:rFonts w:ascii="Times New Roman" w:hAnsi="Times New Roman" w:cs="Times New Roman"/>
          <w:sz w:val="24"/>
          <w:szCs w:val="24"/>
        </w:rPr>
      </w:pPr>
      <w:r w:rsidRPr="0056745B">
        <w:rPr>
          <w:rFonts w:ascii="Times New Roman" w:hAnsi="Times New Roman" w:cs="Times New Roman"/>
          <w:sz w:val="24"/>
          <w:szCs w:val="24"/>
        </w:rPr>
        <w:t xml:space="preserve">Wilson, W. J. (2009) </w:t>
      </w:r>
      <w:r w:rsidRPr="0056745B">
        <w:rPr>
          <w:rFonts w:ascii="Times New Roman" w:hAnsi="Times New Roman" w:cs="Times New Roman"/>
          <w:i/>
          <w:sz w:val="24"/>
          <w:szCs w:val="24"/>
        </w:rPr>
        <w:t>More than Just Race: Being Black and Poor in the Inner City</w:t>
      </w:r>
      <w:r>
        <w:rPr>
          <w:rFonts w:ascii="Times New Roman" w:hAnsi="Times New Roman" w:cs="Times New Roman"/>
          <w:i/>
          <w:sz w:val="24"/>
          <w:szCs w:val="24"/>
        </w:rPr>
        <w:t xml:space="preserve"> </w:t>
      </w:r>
      <w:r w:rsidRPr="0056745B">
        <w:rPr>
          <w:rFonts w:ascii="Times New Roman" w:hAnsi="Times New Roman" w:cs="Times New Roman"/>
          <w:color w:val="000000"/>
          <w:sz w:val="24"/>
          <w:szCs w:val="24"/>
          <w:shd w:val="clear" w:color="auto" w:fill="FFFFFF"/>
        </w:rPr>
        <w:t>W. W. Norton &amp; Company: New York</w:t>
      </w:r>
      <w:r>
        <w:rPr>
          <w:rFonts w:ascii="Times New Roman" w:hAnsi="Times New Roman" w:cs="Times New Roman"/>
          <w:color w:val="000000"/>
          <w:sz w:val="24"/>
          <w:szCs w:val="24"/>
          <w:shd w:val="clear" w:color="auto" w:fill="FFFFFF"/>
        </w:rPr>
        <w:t>.</w:t>
      </w:r>
    </w:p>
    <w:p w:rsidR="00073326" w:rsidRDefault="00073326" w:rsidP="00EF27BB">
      <w:pPr>
        <w:spacing w:line="0" w:lineRule="atLeast"/>
        <w:ind w:left="851" w:hanging="851"/>
        <w:jc w:val="both"/>
        <w:rPr>
          <w:b/>
        </w:rPr>
      </w:pPr>
      <w:r>
        <w:rPr>
          <w:b/>
        </w:rPr>
        <w:br w:type="page"/>
      </w:r>
    </w:p>
    <w:p w:rsidR="008E0977" w:rsidRPr="00A8076F" w:rsidRDefault="008E0977" w:rsidP="008E0977">
      <w:pPr>
        <w:spacing w:after="200"/>
      </w:pPr>
      <w:r w:rsidRPr="00A8076F">
        <w:rPr>
          <w:b/>
        </w:rPr>
        <w:lastRenderedPageBreak/>
        <w:t xml:space="preserve">Table </w:t>
      </w:r>
      <w:r>
        <w:rPr>
          <w:b/>
        </w:rPr>
        <w:t>1</w:t>
      </w:r>
      <w:r w:rsidRPr="00A8076F">
        <w:rPr>
          <w:b/>
        </w:rPr>
        <w:t xml:space="preserve">: </w:t>
      </w:r>
      <w:r>
        <w:t>Summary statistics of the main measures of fathers’ and sons’ worklessness in the NCDS, BCS and BHPS</w:t>
      </w:r>
    </w:p>
    <w:tbl>
      <w:tblPr>
        <w:tblW w:w="0" w:type="auto"/>
        <w:tblLook w:val="04A0"/>
      </w:tblPr>
      <w:tblGrid>
        <w:gridCol w:w="3186"/>
        <w:gridCol w:w="1780"/>
        <w:gridCol w:w="1776"/>
        <w:gridCol w:w="1780"/>
      </w:tblGrid>
      <w:tr w:rsidR="008E0977" w:rsidRPr="00A8076F" w:rsidTr="004147A5">
        <w:tc>
          <w:tcPr>
            <w:tcW w:w="3186" w:type="dxa"/>
            <w:tcBorders>
              <w:top w:val="single" w:sz="4" w:space="0" w:color="auto"/>
              <w:left w:val="nil"/>
              <w:bottom w:val="single" w:sz="4" w:space="0" w:color="auto"/>
              <w:right w:val="nil"/>
            </w:tcBorders>
          </w:tcPr>
          <w:p w:rsidR="008E0977" w:rsidRPr="0050567D" w:rsidRDefault="008E0977" w:rsidP="004147A5">
            <w:pPr>
              <w:jc w:val="right"/>
              <w:rPr>
                <w:b/>
              </w:rPr>
            </w:pPr>
            <w:r w:rsidRPr="0050567D">
              <w:rPr>
                <w:b/>
              </w:rPr>
              <w:t>Data source</w:t>
            </w:r>
          </w:p>
          <w:p w:rsidR="008E0977" w:rsidRPr="00A8076F" w:rsidRDefault="008E0977" w:rsidP="004147A5">
            <w:pPr>
              <w:jc w:val="right"/>
            </w:pPr>
          </w:p>
        </w:tc>
        <w:tc>
          <w:tcPr>
            <w:tcW w:w="1780" w:type="dxa"/>
            <w:tcBorders>
              <w:top w:val="single" w:sz="4" w:space="0" w:color="auto"/>
              <w:left w:val="nil"/>
              <w:bottom w:val="single" w:sz="4" w:space="0" w:color="auto"/>
              <w:right w:val="nil"/>
            </w:tcBorders>
          </w:tcPr>
          <w:p w:rsidR="008E0977" w:rsidRPr="00A8076F" w:rsidRDefault="008E0977" w:rsidP="004147A5">
            <w:pPr>
              <w:jc w:val="right"/>
              <w:rPr>
                <w:b/>
              </w:rPr>
            </w:pPr>
            <w:r w:rsidRPr="00A8076F">
              <w:rPr>
                <w:b/>
              </w:rPr>
              <w:t>NCDS</w:t>
            </w:r>
          </w:p>
          <w:p w:rsidR="008E0977" w:rsidRPr="00A8076F" w:rsidRDefault="008E0977" w:rsidP="004147A5">
            <w:pPr>
              <w:jc w:val="right"/>
            </w:pPr>
          </w:p>
        </w:tc>
        <w:tc>
          <w:tcPr>
            <w:tcW w:w="1776" w:type="dxa"/>
            <w:tcBorders>
              <w:top w:val="single" w:sz="4" w:space="0" w:color="auto"/>
              <w:left w:val="nil"/>
              <w:bottom w:val="single" w:sz="4" w:space="0" w:color="auto"/>
              <w:right w:val="nil"/>
            </w:tcBorders>
          </w:tcPr>
          <w:p w:rsidR="008E0977" w:rsidRPr="00A8076F" w:rsidRDefault="008E0977" w:rsidP="004147A5">
            <w:pPr>
              <w:jc w:val="right"/>
              <w:rPr>
                <w:b/>
              </w:rPr>
            </w:pPr>
            <w:r w:rsidRPr="00A8076F">
              <w:rPr>
                <w:b/>
              </w:rPr>
              <w:t xml:space="preserve">BCS </w:t>
            </w:r>
          </w:p>
          <w:p w:rsidR="008E0977" w:rsidRPr="00A8076F" w:rsidRDefault="008E0977" w:rsidP="004147A5">
            <w:pPr>
              <w:jc w:val="right"/>
            </w:pPr>
          </w:p>
        </w:tc>
        <w:tc>
          <w:tcPr>
            <w:tcW w:w="1780" w:type="dxa"/>
            <w:tcBorders>
              <w:top w:val="single" w:sz="4" w:space="0" w:color="auto"/>
              <w:left w:val="nil"/>
              <w:bottom w:val="single" w:sz="4" w:space="0" w:color="auto"/>
              <w:right w:val="nil"/>
            </w:tcBorders>
          </w:tcPr>
          <w:p w:rsidR="008E0977" w:rsidRPr="00A8076F" w:rsidRDefault="008E0977" w:rsidP="004147A5">
            <w:pPr>
              <w:jc w:val="right"/>
              <w:rPr>
                <w:b/>
              </w:rPr>
            </w:pPr>
            <w:r w:rsidRPr="00A8076F">
              <w:rPr>
                <w:b/>
              </w:rPr>
              <w:t xml:space="preserve">BHPS </w:t>
            </w:r>
          </w:p>
          <w:p w:rsidR="008E0977" w:rsidRPr="00A8076F" w:rsidRDefault="008E0977" w:rsidP="004147A5">
            <w:pPr>
              <w:jc w:val="right"/>
            </w:pPr>
          </w:p>
        </w:tc>
      </w:tr>
      <w:tr w:rsidR="008E0977" w:rsidRPr="00A8076F" w:rsidTr="004147A5">
        <w:tc>
          <w:tcPr>
            <w:tcW w:w="3186" w:type="dxa"/>
            <w:tcBorders>
              <w:top w:val="single" w:sz="4" w:space="0" w:color="auto"/>
              <w:left w:val="nil"/>
              <w:bottom w:val="single" w:sz="4" w:space="0" w:color="auto"/>
              <w:right w:val="nil"/>
            </w:tcBorders>
          </w:tcPr>
          <w:p w:rsidR="008E0977" w:rsidRDefault="008E0977" w:rsidP="004147A5">
            <w:pPr>
              <w:jc w:val="right"/>
            </w:pPr>
            <w:r>
              <w:t>Father</w:t>
            </w:r>
          </w:p>
        </w:tc>
        <w:tc>
          <w:tcPr>
            <w:tcW w:w="1780" w:type="dxa"/>
            <w:tcBorders>
              <w:top w:val="single" w:sz="4" w:space="0" w:color="auto"/>
              <w:left w:val="nil"/>
              <w:bottom w:val="single" w:sz="4" w:space="0" w:color="auto"/>
              <w:right w:val="nil"/>
            </w:tcBorders>
          </w:tcPr>
          <w:p w:rsidR="008E0977" w:rsidRPr="00A8076F" w:rsidRDefault="008E0977" w:rsidP="004147A5"/>
        </w:tc>
        <w:tc>
          <w:tcPr>
            <w:tcW w:w="1776" w:type="dxa"/>
            <w:tcBorders>
              <w:top w:val="single" w:sz="4" w:space="0" w:color="auto"/>
              <w:left w:val="nil"/>
              <w:bottom w:val="single" w:sz="4" w:space="0" w:color="auto"/>
              <w:right w:val="nil"/>
            </w:tcBorders>
          </w:tcPr>
          <w:p w:rsidR="008E0977" w:rsidRPr="00A8076F" w:rsidRDefault="008E0977" w:rsidP="004147A5"/>
        </w:tc>
        <w:tc>
          <w:tcPr>
            <w:tcW w:w="1780" w:type="dxa"/>
            <w:tcBorders>
              <w:top w:val="single" w:sz="4" w:space="0" w:color="auto"/>
              <w:left w:val="nil"/>
              <w:bottom w:val="single" w:sz="4" w:space="0" w:color="auto"/>
              <w:right w:val="nil"/>
            </w:tcBorders>
          </w:tcPr>
          <w:p w:rsidR="008E0977" w:rsidRPr="00A8076F" w:rsidRDefault="008E0977" w:rsidP="004147A5"/>
        </w:tc>
      </w:tr>
      <w:tr w:rsidR="008E0977" w:rsidRPr="00A8076F" w:rsidTr="004147A5">
        <w:tc>
          <w:tcPr>
            <w:tcW w:w="3186" w:type="dxa"/>
            <w:tcBorders>
              <w:top w:val="single" w:sz="4" w:space="0" w:color="auto"/>
              <w:left w:val="nil"/>
              <w:right w:val="nil"/>
            </w:tcBorders>
          </w:tcPr>
          <w:p w:rsidR="008E0977" w:rsidRPr="00A8076F" w:rsidRDefault="008E0977" w:rsidP="004147A5">
            <w:pPr>
              <w:jc w:val="right"/>
            </w:pPr>
            <w:r>
              <w:t>Proportion not in work</w:t>
            </w:r>
            <w:r w:rsidRPr="00A8076F">
              <w:t xml:space="preserve"> </w:t>
            </w:r>
            <w:r>
              <w:t>when son is 11/10/</w:t>
            </w:r>
            <w:r w:rsidRPr="00A8076F">
              <w:t>1</w:t>
            </w:r>
            <w:r>
              <w:t xml:space="preserve">2 &amp; </w:t>
            </w:r>
            <w:r w:rsidRPr="00A8076F">
              <w:t>16</w:t>
            </w:r>
          </w:p>
        </w:tc>
        <w:tc>
          <w:tcPr>
            <w:tcW w:w="1780" w:type="dxa"/>
            <w:tcBorders>
              <w:top w:val="single" w:sz="4" w:space="0" w:color="auto"/>
              <w:left w:val="nil"/>
              <w:right w:val="nil"/>
            </w:tcBorders>
          </w:tcPr>
          <w:p w:rsidR="008E0977" w:rsidRPr="00A8076F" w:rsidRDefault="008E0977" w:rsidP="004147A5">
            <w:pPr>
              <w:jc w:val="right"/>
            </w:pPr>
            <w:r>
              <w:t>0.02</w:t>
            </w:r>
          </w:p>
        </w:tc>
        <w:tc>
          <w:tcPr>
            <w:tcW w:w="1776" w:type="dxa"/>
            <w:tcBorders>
              <w:top w:val="single" w:sz="4" w:space="0" w:color="auto"/>
              <w:left w:val="nil"/>
              <w:right w:val="nil"/>
            </w:tcBorders>
          </w:tcPr>
          <w:p w:rsidR="008E0977" w:rsidRPr="00A8076F" w:rsidRDefault="008E0977" w:rsidP="004147A5">
            <w:pPr>
              <w:jc w:val="right"/>
            </w:pPr>
            <w:r>
              <w:t>0.05</w:t>
            </w:r>
          </w:p>
        </w:tc>
        <w:tc>
          <w:tcPr>
            <w:tcW w:w="1780" w:type="dxa"/>
            <w:tcBorders>
              <w:top w:val="single" w:sz="4" w:space="0" w:color="auto"/>
              <w:left w:val="nil"/>
              <w:right w:val="nil"/>
            </w:tcBorders>
          </w:tcPr>
          <w:p w:rsidR="008E0977" w:rsidRPr="00A8076F" w:rsidRDefault="008E0977" w:rsidP="004147A5">
            <w:pPr>
              <w:jc w:val="right"/>
            </w:pPr>
            <w:r>
              <w:t>0.15</w:t>
            </w:r>
          </w:p>
        </w:tc>
      </w:tr>
      <w:tr w:rsidR="008E0977" w:rsidRPr="00A8076F" w:rsidTr="004147A5">
        <w:tc>
          <w:tcPr>
            <w:tcW w:w="3186" w:type="dxa"/>
            <w:tcBorders>
              <w:left w:val="nil"/>
              <w:bottom w:val="single" w:sz="4" w:space="0" w:color="auto"/>
              <w:right w:val="nil"/>
            </w:tcBorders>
          </w:tcPr>
          <w:p w:rsidR="008E0977" w:rsidRDefault="008E0977" w:rsidP="004147A5">
            <w:pPr>
              <w:jc w:val="right"/>
            </w:pPr>
            <w:r>
              <w:t>Average proportion of time out of work</w:t>
            </w:r>
          </w:p>
        </w:tc>
        <w:tc>
          <w:tcPr>
            <w:tcW w:w="1780" w:type="dxa"/>
            <w:tcBorders>
              <w:left w:val="nil"/>
              <w:bottom w:val="single" w:sz="4" w:space="0" w:color="auto"/>
              <w:right w:val="nil"/>
            </w:tcBorders>
          </w:tcPr>
          <w:p w:rsidR="008E0977" w:rsidRPr="00A8076F" w:rsidRDefault="008E0977" w:rsidP="004147A5">
            <w:pPr>
              <w:jc w:val="right"/>
            </w:pPr>
            <w:r>
              <w:t>n/a</w:t>
            </w:r>
          </w:p>
        </w:tc>
        <w:tc>
          <w:tcPr>
            <w:tcW w:w="1776" w:type="dxa"/>
            <w:tcBorders>
              <w:left w:val="nil"/>
              <w:bottom w:val="single" w:sz="4" w:space="0" w:color="auto"/>
              <w:right w:val="nil"/>
            </w:tcBorders>
          </w:tcPr>
          <w:p w:rsidR="008E0977" w:rsidRPr="00A8076F" w:rsidRDefault="008E0977" w:rsidP="004147A5">
            <w:pPr>
              <w:jc w:val="right"/>
            </w:pPr>
            <w:r>
              <w:t>n/a</w:t>
            </w:r>
          </w:p>
        </w:tc>
        <w:tc>
          <w:tcPr>
            <w:tcW w:w="1780" w:type="dxa"/>
            <w:tcBorders>
              <w:left w:val="nil"/>
              <w:bottom w:val="single" w:sz="4" w:space="0" w:color="auto"/>
              <w:right w:val="nil"/>
            </w:tcBorders>
          </w:tcPr>
          <w:p w:rsidR="008E0977" w:rsidRPr="00A8076F" w:rsidRDefault="008E0977" w:rsidP="004147A5">
            <w:pPr>
              <w:jc w:val="right"/>
            </w:pPr>
            <w:r>
              <w:t>0.15</w:t>
            </w:r>
          </w:p>
        </w:tc>
      </w:tr>
      <w:tr w:rsidR="008E0977" w:rsidRPr="00A8076F" w:rsidTr="004147A5">
        <w:tc>
          <w:tcPr>
            <w:tcW w:w="3186" w:type="dxa"/>
            <w:tcBorders>
              <w:top w:val="single" w:sz="4" w:space="0" w:color="auto"/>
              <w:left w:val="nil"/>
              <w:bottom w:val="nil"/>
              <w:right w:val="nil"/>
            </w:tcBorders>
          </w:tcPr>
          <w:p w:rsidR="008E0977" w:rsidRDefault="008E0977" w:rsidP="004147A5">
            <w:pPr>
              <w:jc w:val="right"/>
            </w:pPr>
            <w:r>
              <w:t>Son</w:t>
            </w:r>
          </w:p>
        </w:tc>
        <w:tc>
          <w:tcPr>
            <w:tcW w:w="1780" w:type="dxa"/>
            <w:tcBorders>
              <w:top w:val="single" w:sz="4" w:space="0" w:color="auto"/>
              <w:left w:val="nil"/>
              <w:bottom w:val="nil"/>
              <w:right w:val="nil"/>
            </w:tcBorders>
          </w:tcPr>
          <w:p w:rsidR="008E0977" w:rsidRPr="00A8076F" w:rsidRDefault="008E0977" w:rsidP="004147A5">
            <w:pPr>
              <w:jc w:val="right"/>
            </w:pPr>
          </w:p>
        </w:tc>
        <w:tc>
          <w:tcPr>
            <w:tcW w:w="1776" w:type="dxa"/>
            <w:tcBorders>
              <w:top w:val="single" w:sz="4" w:space="0" w:color="auto"/>
              <w:left w:val="nil"/>
              <w:bottom w:val="nil"/>
              <w:right w:val="nil"/>
            </w:tcBorders>
          </w:tcPr>
          <w:p w:rsidR="008E0977" w:rsidRPr="00A8076F" w:rsidRDefault="008E0977" w:rsidP="004147A5">
            <w:pPr>
              <w:jc w:val="right"/>
            </w:pPr>
          </w:p>
        </w:tc>
        <w:tc>
          <w:tcPr>
            <w:tcW w:w="1780" w:type="dxa"/>
            <w:tcBorders>
              <w:top w:val="single" w:sz="4" w:space="0" w:color="auto"/>
              <w:left w:val="nil"/>
              <w:bottom w:val="nil"/>
              <w:right w:val="nil"/>
            </w:tcBorders>
          </w:tcPr>
          <w:p w:rsidR="008E0977" w:rsidRPr="00A8076F" w:rsidRDefault="008E0977" w:rsidP="004147A5">
            <w:pPr>
              <w:jc w:val="right"/>
            </w:pPr>
          </w:p>
        </w:tc>
      </w:tr>
      <w:tr w:rsidR="008E0977" w:rsidRPr="00A8076F" w:rsidTr="004147A5">
        <w:tc>
          <w:tcPr>
            <w:tcW w:w="3186" w:type="dxa"/>
            <w:tcBorders>
              <w:top w:val="single" w:sz="4" w:space="0" w:color="auto"/>
              <w:left w:val="nil"/>
              <w:bottom w:val="nil"/>
              <w:right w:val="nil"/>
            </w:tcBorders>
          </w:tcPr>
          <w:p w:rsidR="008E0977" w:rsidRPr="00A8076F" w:rsidRDefault="008E0977" w:rsidP="004147A5">
            <w:pPr>
              <w:jc w:val="right"/>
            </w:pPr>
            <w:r>
              <w:t>Average p</w:t>
            </w:r>
            <w:r w:rsidRPr="00A8076F">
              <w:t>roportion of time out of work</w:t>
            </w:r>
            <w:r>
              <w:t xml:space="preserve"> FT ed-23</w:t>
            </w:r>
            <w:r w:rsidRPr="00A8076F">
              <w:t xml:space="preserve"> </w:t>
            </w:r>
          </w:p>
        </w:tc>
        <w:tc>
          <w:tcPr>
            <w:tcW w:w="1780" w:type="dxa"/>
            <w:tcBorders>
              <w:top w:val="single" w:sz="4" w:space="0" w:color="auto"/>
              <w:left w:val="nil"/>
              <w:bottom w:val="nil"/>
              <w:right w:val="nil"/>
            </w:tcBorders>
          </w:tcPr>
          <w:p w:rsidR="008E0977" w:rsidRPr="00A8076F" w:rsidRDefault="008E0977" w:rsidP="004147A5">
            <w:pPr>
              <w:jc w:val="right"/>
            </w:pPr>
            <w:r>
              <w:t>0.08</w:t>
            </w:r>
          </w:p>
        </w:tc>
        <w:tc>
          <w:tcPr>
            <w:tcW w:w="1776" w:type="dxa"/>
            <w:tcBorders>
              <w:top w:val="single" w:sz="4" w:space="0" w:color="auto"/>
              <w:left w:val="nil"/>
              <w:bottom w:val="nil"/>
              <w:right w:val="nil"/>
            </w:tcBorders>
          </w:tcPr>
          <w:p w:rsidR="008E0977" w:rsidRPr="00A8076F" w:rsidRDefault="008E0977" w:rsidP="004147A5">
            <w:pPr>
              <w:jc w:val="right"/>
            </w:pPr>
            <w:r>
              <w:t>0.07</w:t>
            </w:r>
          </w:p>
        </w:tc>
        <w:tc>
          <w:tcPr>
            <w:tcW w:w="1780" w:type="dxa"/>
            <w:tcBorders>
              <w:top w:val="single" w:sz="4" w:space="0" w:color="auto"/>
              <w:left w:val="nil"/>
              <w:bottom w:val="nil"/>
              <w:right w:val="nil"/>
            </w:tcBorders>
          </w:tcPr>
          <w:p w:rsidR="008E0977" w:rsidRPr="00A8076F" w:rsidRDefault="008E0977" w:rsidP="004147A5">
            <w:pPr>
              <w:jc w:val="right"/>
            </w:pPr>
            <w:r>
              <w:t>0.11</w:t>
            </w:r>
          </w:p>
        </w:tc>
      </w:tr>
      <w:tr w:rsidR="008E0977" w:rsidRPr="00A8076F" w:rsidTr="004147A5">
        <w:tc>
          <w:tcPr>
            <w:tcW w:w="3186" w:type="dxa"/>
            <w:tcBorders>
              <w:top w:val="nil"/>
              <w:left w:val="nil"/>
              <w:bottom w:val="nil"/>
              <w:right w:val="nil"/>
            </w:tcBorders>
          </w:tcPr>
          <w:p w:rsidR="008E0977" w:rsidRPr="00A8076F" w:rsidRDefault="008E0977" w:rsidP="004147A5">
            <w:pPr>
              <w:jc w:val="right"/>
            </w:pPr>
            <w:r>
              <w:t>Proportion spending a</w:t>
            </w:r>
            <w:r w:rsidRPr="00A8076F">
              <w:t xml:space="preserve"> year or more workless</w:t>
            </w:r>
            <w:r>
              <w:t xml:space="preserve"> FT ed-23</w:t>
            </w:r>
            <w:r w:rsidRPr="00A8076F">
              <w:t xml:space="preserve"> </w:t>
            </w:r>
          </w:p>
        </w:tc>
        <w:tc>
          <w:tcPr>
            <w:tcW w:w="1780" w:type="dxa"/>
            <w:tcBorders>
              <w:top w:val="nil"/>
              <w:left w:val="nil"/>
              <w:bottom w:val="nil"/>
              <w:right w:val="nil"/>
            </w:tcBorders>
          </w:tcPr>
          <w:p w:rsidR="008E0977" w:rsidRPr="00A8076F" w:rsidRDefault="008E0977" w:rsidP="004147A5">
            <w:pPr>
              <w:jc w:val="right"/>
            </w:pPr>
            <w:r>
              <w:t>0.06</w:t>
            </w:r>
          </w:p>
        </w:tc>
        <w:tc>
          <w:tcPr>
            <w:tcW w:w="1776" w:type="dxa"/>
            <w:tcBorders>
              <w:top w:val="nil"/>
              <w:left w:val="nil"/>
              <w:bottom w:val="nil"/>
              <w:right w:val="nil"/>
            </w:tcBorders>
          </w:tcPr>
          <w:p w:rsidR="008E0977" w:rsidRPr="00A8076F" w:rsidRDefault="008E0977" w:rsidP="004147A5">
            <w:pPr>
              <w:jc w:val="right"/>
            </w:pPr>
            <w:r>
              <w:t>0.09</w:t>
            </w:r>
          </w:p>
        </w:tc>
        <w:tc>
          <w:tcPr>
            <w:tcW w:w="1780" w:type="dxa"/>
            <w:tcBorders>
              <w:top w:val="nil"/>
              <w:left w:val="nil"/>
              <w:bottom w:val="nil"/>
              <w:right w:val="nil"/>
            </w:tcBorders>
          </w:tcPr>
          <w:p w:rsidR="008E0977" w:rsidRPr="00A8076F" w:rsidRDefault="008E0977" w:rsidP="004147A5">
            <w:pPr>
              <w:jc w:val="right"/>
            </w:pPr>
            <w:r>
              <w:t>0.21</w:t>
            </w:r>
          </w:p>
        </w:tc>
      </w:tr>
      <w:tr w:rsidR="008E0977" w:rsidRPr="00A8076F" w:rsidTr="004147A5">
        <w:tc>
          <w:tcPr>
            <w:tcW w:w="3186" w:type="dxa"/>
            <w:tcBorders>
              <w:top w:val="nil"/>
              <w:left w:val="nil"/>
              <w:bottom w:val="single" w:sz="4" w:space="0" w:color="auto"/>
              <w:right w:val="nil"/>
            </w:tcBorders>
          </w:tcPr>
          <w:p w:rsidR="008E0977" w:rsidRPr="00A8076F" w:rsidRDefault="008E0977" w:rsidP="004147A5">
            <w:pPr>
              <w:jc w:val="right"/>
            </w:pPr>
            <w:r>
              <w:t>Proportion not in employment or training from FT ed-23</w:t>
            </w:r>
          </w:p>
        </w:tc>
        <w:tc>
          <w:tcPr>
            <w:tcW w:w="1780" w:type="dxa"/>
            <w:tcBorders>
              <w:top w:val="nil"/>
              <w:left w:val="nil"/>
              <w:bottom w:val="single" w:sz="4" w:space="0" w:color="auto"/>
              <w:right w:val="nil"/>
            </w:tcBorders>
          </w:tcPr>
          <w:p w:rsidR="008E0977" w:rsidRPr="00A8076F" w:rsidRDefault="008E0977" w:rsidP="004147A5">
            <w:pPr>
              <w:jc w:val="right"/>
            </w:pPr>
            <w:r>
              <w:t>0.02</w:t>
            </w:r>
          </w:p>
        </w:tc>
        <w:tc>
          <w:tcPr>
            <w:tcW w:w="1776" w:type="dxa"/>
            <w:tcBorders>
              <w:top w:val="nil"/>
              <w:left w:val="nil"/>
              <w:bottom w:val="single" w:sz="4" w:space="0" w:color="auto"/>
              <w:right w:val="nil"/>
            </w:tcBorders>
          </w:tcPr>
          <w:p w:rsidR="008E0977" w:rsidRPr="00A8076F" w:rsidRDefault="008E0977" w:rsidP="004147A5">
            <w:pPr>
              <w:jc w:val="right"/>
            </w:pPr>
            <w:r>
              <w:t>0.02</w:t>
            </w:r>
          </w:p>
        </w:tc>
        <w:tc>
          <w:tcPr>
            <w:tcW w:w="1780" w:type="dxa"/>
            <w:tcBorders>
              <w:top w:val="nil"/>
              <w:left w:val="nil"/>
              <w:bottom w:val="single" w:sz="4" w:space="0" w:color="auto"/>
              <w:right w:val="nil"/>
            </w:tcBorders>
          </w:tcPr>
          <w:p w:rsidR="008E0977" w:rsidRPr="00A8076F" w:rsidRDefault="008E0977" w:rsidP="004147A5">
            <w:pPr>
              <w:jc w:val="right"/>
            </w:pPr>
            <w:r>
              <w:t>0.01</w:t>
            </w:r>
          </w:p>
        </w:tc>
      </w:tr>
      <w:tr w:rsidR="008E0977" w:rsidRPr="00A8076F" w:rsidTr="004147A5">
        <w:tc>
          <w:tcPr>
            <w:tcW w:w="3186" w:type="dxa"/>
            <w:tcBorders>
              <w:top w:val="single" w:sz="4" w:space="0" w:color="auto"/>
              <w:left w:val="nil"/>
              <w:bottom w:val="single" w:sz="4" w:space="0" w:color="auto"/>
              <w:right w:val="nil"/>
            </w:tcBorders>
          </w:tcPr>
          <w:p w:rsidR="008E0977" w:rsidRPr="00A8076F" w:rsidRDefault="008E0977" w:rsidP="004147A5">
            <w:pPr>
              <w:jc w:val="right"/>
            </w:pPr>
            <w:r w:rsidRPr="00A8076F">
              <w:t>N</w:t>
            </w:r>
          </w:p>
        </w:tc>
        <w:tc>
          <w:tcPr>
            <w:tcW w:w="1780" w:type="dxa"/>
            <w:tcBorders>
              <w:top w:val="single" w:sz="4" w:space="0" w:color="auto"/>
              <w:left w:val="nil"/>
              <w:bottom w:val="single" w:sz="4" w:space="0" w:color="auto"/>
              <w:right w:val="nil"/>
            </w:tcBorders>
          </w:tcPr>
          <w:p w:rsidR="008E0977" w:rsidRPr="00A8076F" w:rsidRDefault="008E0977" w:rsidP="004147A5">
            <w:pPr>
              <w:jc w:val="right"/>
            </w:pPr>
            <w:r w:rsidRPr="00A8076F">
              <w:t>4</w:t>
            </w:r>
            <w:r w:rsidR="00394978">
              <w:t>570</w:t>
            </w:r>
          </w:p>
        </w:tc>
        <w:tc>
          <w:tcPr>
            <w:tcW w:w="1776" w:type="dxa"/>
            <w:tcBorders>
              <w:top w:val="single" w:sz="4" w:space="0" w:color="auto"/>
              <w:left w:val="nil"/>
              <w:bottom w:val="single" w:sz="4" w:space="0" w:color="auto"/>
              <w:right w:val="nil"/>
            </w:tcBorders>
          </w:tcPr>
          <w:p w:rsidR="008E0977" w:rsidRPr="00A8076F" w:rsidRDefault="008E0977" w:rsidP="004147A5">
            <w:pPr>
              <w:jc w:val="right"/>
            </w:pPr>
            <w:r w:rsidRPr="00A8076F">
              <w:t>4</w:t>
            </w:r>
            <w:r>
              <w:t>33</w:t>
            </w:r>
            <w:r w:rsidR="00394978">
              <w:t>1</w:t>
            </w:r>
          </w:p>
        </w:tc>
        <w:tc>
          <w:tcPr>
            <w:tcW w:w="1780" w:type="dxa"/>
            <w:tcBorders>
              <w:top w:val="single" w:sz="4" w:space="0" w:color="auto"/>
              <w:left w:val="nil"/>
              <w:bottom w:val="single" w:sz="4" w:space="0" w:color="auto"/>
              <w:right w:val="nil"/>
            </w:tcBorders>
          </w:tcPr>
          <w:p w:rsidR="008E0977" w:rsidRPr="00A8076F" w:rsidRDefault="008E0977" w:rsidP="004147A5">
            <w:pPr>
              <w:jc w:val="right"/>
            </w:pPr>
            <w:r>
              <w:t>436</w:t>
            </w:r>
          </w:p>
        </w:tc>
      </w:tr>
    </w:tbl>
    <w:p w:rsidR="008E0977" w:rsidRPr="00A8076F" w:rsidRDefault="008E0977" w:rsidP="008E0977">
      <w:pPr>
        <w:rPr>
          <w:sz w:val="16"/>
          <w:szCs w:val="16"/>
        </w:rPr>
      </w:pPr>
      <w:r w:rsidRPr="00A8076F">
        <w:rPr>
          <w:sz w:val="16"/>
          <w:szCs w:val="16"/>
        </w:rPr>
        <w:t xml:space="preserve">. </w:t>
      </w:r>
    </w:p>
    <w:p w:rsidR="008E0977" w:rsidRPr="00A8076F" w:rsidRDefault="008E0977" w:rsidP="008E0977">
      <w:pPr>
        <w:spacing w:line="360" w:lineRule="auto"/>
        <w:jc w:val="both"/>
      </w:pPr>
    </w:p>
    <w:p w:rsidR="008E0977" w:rsidRPr="00A8076F" w:rsidRDefault="008E0977" w:rsidP="008E0977">
      <w:pPr>
        <w:spacing w:after="200"/>
      </w:pPr>
      <w:r w:rsidRPr="00A8076F">
        <w:rPr>
          <w:b/>
        </w:rPr>
        <w:t xml:space="preserve">Table </w:t>
      </w:r>
      <w:r>
        <w:rPr>
          <w:b/>
        </w:rPr>
        <w:t>2</w:t>
      </w:r>
      <w:r w:rsidRPr="00A8076F">
        <w:rPr>
          <w:b/>
        </w:rPr>
        <w:t xml:space="preserve">: </w:t>
      </w:r>
      <w:r>
        <w:t>Parameter estimates of intergenerational worklessness in the UK for fathers and sons in the NCDS, BCS and the BHPS</w:t>
      </w:r>
    </w:p>
    <w:tbl>
      <w:tblPr>
        <w:tblW w:w="8491" w:type="dxa"/>
        <w:tblLook w:val="04A0"/>
      </w:tblPr>
      <w:tblGrid>
        <w:gridCol w:w="3085"/>
        <w:gridCol w:w="1802"/>
        <w:gridCol w:w="1802"/>
        <w:gridCol w:w="1802"/>
      </w:tblGrid>
      <w:tr w:rsidR="008E0977" w:rsidRPr="00A8076F" w:rsidTr="004147A5">
        <w:tc>
          <w:tcPr>
            <w:tcW w:w="3085" w:type="dxa"/>
            <w:tcBorders>
              <w:top w:val="single" w:sz="4" w:space="0" w:color="auto"/>
              <w:left w:val="nil"/>
              <w:bottom w:val="single" w:sz="4" w:space="0" w:color="auto"/>
              <w:right w:val="nil"/>
            </w:tcBorders>
          </w:tcPr>
          <w:p w:rsidR="008E0977" w:rsidRPr="00415DFB" w:rsidRDefault="008E0977" w:rsidP="004147A5">
            <w:pPr>
              <w:jc w:val="right"/>
              <w:rPr>
                <w:b/>
              </w:rPr>
            </w:pPr>
            <w:r w:rsidRPr="00415DFB">
              <w:rPr>
                <w:b/>
              </w:rPr>
              <w:t>Data source:</w:t>
            </w:r>
          </w:p>
          <w:p w:rsidR="008E0977" w:rsidRPr="00A8076F" w:rsidRDefault="008E0977" w:rsidP="004147A5">
            <w:pPr>
              <w:jc w:val="right"/>
            </w:pPr>
            <w:r>
              <w:t>Fathers’</w:t>
            </w:r>
            <w:r w:rsidRPr="00A8076F">
              <w:t xml:space="preserve"> measure</w:t>
            </w:r>
            <w:r>
              <w:t>:</w:t>
            </w:r>
          </w:p>
        </w:tc>
        <w:tc>
          <w:tcPr>
            <w:tcW w:w="1802" w:type="dxa"/>
            <w:tcBorders>
              <w:top w:val="single" w:sz="4" w:space="0" w:color="auto"/>
              <w:left w:val="nil"/>
              <w:bottom w:val="single" w:sz="4" w:space="0" w:color="auto"/>
              <w:right w:val="nil"/>
            </w:tcBorders>
          </w:tcPr>
          <w:p w:rsidR="008E0977" w:rsidRPr="00A8076F" w:rsidRDefault="008E0977" w:rsidP="004147A5">
            <w:pPr>
              <w:rPr>
                <w:b/>
              </w:rPr>
            </w:pPr>
            <w:r w:rsidRPr="00A8076F">
              <w:rPr>
                <w:b/>
              </w:rPr>
              <w:t>NCDS</w:t>
            </w:r>
          </w:p>
          <w:p w:rsidR="008E0977" w:rsidRPr="00A8076F" w:rsidRDefault="008E0977" w:rsidP="004147A5">
            <w:r>
              <w:t>Not in work</w:t>
            </w:r>
            <w:r w:rsidRPr="00A8076F">
              <w:t xml:space="preserve"> </w:t>
            </w:r>
            <w:r>
              <w:t xml:space="preserve">when son is </w:t>
            </w:r>
            <w:r w:rsidRPr="00A8076F">
              <w:t>11</w:t>
            </w:r>
            <w:r>
              <w:t xml:space="preserve"> &amp; </w:t>
            </w:r>
            <w:r w:rsidRPr="00A8076F">
              <w:t xml:space="preserve">16 </w:t>
            </w:r>
          </w:p>
        </w:tc>
        <w:tc>
          <w:tcPr>
            <w:tcW w:w="1802" w:type="dxa"/>
            <w:tcBorders>
              <w:top w:val="single" w:sz="4" w:space="0" w:color="auto"/>
              <w:left w:val="nil"/>
              <w:bottom w:val="single" w:sz="4" w:space="0" w:color="auto"/>
              <w:right w:val="nil"/>
            </w:tcBorders>
          </w:tcPr>
          <w:p w:rsidR="008E0977" w:rsidRPr="00A8076F" w:rsidRDefault="008E0977" w:rsidP="004147A5">
            <w:pPr>
              <w:rPr>
                <w:b/>
              </w:rPr>
            </w:pPr>
            <w:r w:rsidRPr="00A8076F">
              <w:rPr>
                <w:b/>
              </w:rPr>
              <w:t xml:space="preserve">BCS </w:t>
            </w:r>
          </w:p>
          <w:p w:rsidR="008E0977" w:rsidRPr="00A8076F" w:rsidRDefault="008E0977" w:rsidP="004147A5">
            <w:r>
              <w:t>Not in work</w:t>
            </w:r>
            <w:r w:rsidRPr="00A8076F">
              <w:t xml:space="preserve"> </w:t>
            </w:r>
            <w:r>
              <w:t xml:space="preserve">when son is 10 &amp; </w:t>
            </w:r>
            <w:r w:rsidRPr="00A8076F">
              <w:t>16</w:t>
            </w:r>
          </w:p>
        </w:tc>
        <w:tc>
          <w:tcPr>
            <w:tcW w:w="1802" w:type="dxa"/>
            <w:tcBorders>
              <w:top w:val="single" w:sz="4" w:space="0" w:color="auto"/>
              <w:left w:val="nil"/>
              <w:bottom w:val="single" w:sz="4" w:space="0" w:color="auto"/>
              <w:right w:val="nil"/>
            </w:tcBorders>
          </w:tcPr>
          <w:p w:rsidR="008E0977" w:rsidRPr="00A8076F" w:rsidRDefault="008E0977" w:rsidP="004147A5">
            <w:pPr>
              <w:rPr>
                <w:b/>
              </w:rPr>
            </w:pPr>
            <w:r w:rsidRPr="00A8076F">
              <w:rPr>
                <w:b/>
              </w:rPr>
              <w:t xml:space="preserve">BHPS </w:t>
            </w:r>
          </w:p>
          <w:p w:rsidR="008E0977" w:rsidRPr="00A8076F" w:rsidRDefault="008E0977" w:rsidP="004147A5">
            <w:r>
              <w:t>Not in work</w:t>
            </w:r>
            <w:r w:rsidRPr="00A8076F">
              <w:t xml:space="preserve"> </w:t>
            </w:r>
            <w:r>
              <w:t xml:space="preserve">when son is </w:t>
            </w:r>
            <w:r w:rsidRPr="00A8076F">
              <w:t>1</w:t>
            </w:r>
            <w:r>
              <w:t xml:space="preserve">2 &amp; </w:t>
            </w:r>
            <w:r w:rsidRPr="00A8076F">
              <w:t>16</w:t>
            </w:r>
          </w:p>
        </w:tc>
      </w:tr>
      <w:tr w:rsidR="008E0977" w:rsidRPr="00A8076F" w:rsidTr="004147A5">
        <w:tc>
          <w:tcPr>
            <w:tcW w:w="3085" w:type="dxa"/>
            <w:tcBorders>
              <w:top w:val="single" w:sz="4" w:space="0" w:color="auto"/>
              <w:left w:val="nil"/>
              <w:bottom w:val="single" w:sz="4" w:space="0" w:color="auto"/>
              <w:right w:val="nil"/>
            </w:tcBorders>
          </w:tcPr>
          <w:p w:rsidR="008E0977" w:rsidRDefault="008E0977" w:rsidP="004147A5">
            <w:pPr>
              <w:jc w:val="right"/>
            </w:pPr>
            <w:r>
              <w:t>Sons’</w:t>
            </w:r>
            <w:r w:rsidRPr="00A8076F">
              <w:t xml:space="preserve"> measure</w:t>
            </w:r>
            <w:r>
              <w:t xml:space="preserve"> </w:t>
            </w:r>
          </w:p>
          <w:p w:rsidR="008E0977" w:rsidRPr="00A8076F" w:rsidRDefault="008E0977" w:rsidP="004147A5">
            <w:pPr>
              <w:jc w:val="right"/>
            </w:pPr>
            <w:r>
              <w:t>Leaving FT education</w:t>
            </w:r>
            <w:r w:rsidRPr="00A8076F">
              <w:t>-23</w:t>
            </w:r>
          </w:p>
        </w:tc>
        <w:tc>
          <w:tcPr>
            <w:tcW w:w="1802" w:type="dxa"/>
            <w:tcBorders>
              <w:top w:val="single" w:sz="4" w:space="0" w:color="auto"/>
              <w:left w:val="nil"/>
              <w:bottom w:val="single" w:sz="4" w:space="0" w:color="auto"/>
              <w:right w:val="nil"/>
            </w:tcBorders>
          </w:tcPr>
          <w:p w:rsidR="008E0977" w:rsidRPr="00A8076F" w:rsidRDefault="008E0977" w:rsidP="004147A5"/>
        </w:tc>
        <w:tc>
          <w:tcPr>
            <w:tcW w:w="1802" w:type="dxa"/>
            <w:tcBorders>
              <w:top w:val="single" w:sz="4" w:space="0" w:color="auto"/>
              <w:left w:val="nil"/>
              <w:bottom w:val="single" w:sz="4" w:space="0" w:color="auto"/>
              <w:right w:val="nil"/>
            </w:tcBorders>
          </w:tcPr>
          <w:p w:rsidR="008E0977" w:rsidRPr="00A8076F" w:rsidRDefault="008E0977" w:rsidP="004147A5"/>
        </w:tc>
        <w:tc>
          <w:tcPr>
            <w:tcW w:w="1802" w:type="dxa"/>
            <w:tcBorders>
              <w:top w:val="single" w:sz="4" w:space="0" w:color="auto"/>
              <w:left w:val="nil"/>
              <w:bottom w:val="single" w:sz="4" w:space="0" w:color="auto"/>
              <w:right w:val="nil"/>
            </w:tcBorders>
          </w:tcPr>
          <w:p w:rsidR="008E0977" w:rsidRPr="00A8076F" w:rsidRDefault="008E0977" w:rsidP="004147A5"/>
        </w:tc>
      </w:tr>
      <w:tr w:rsidR="008E0977" w:rsidRPr="00A8076F" w:rsidTr="004147A5">
        <w:tc>
          <w:tcPr>
            <w:tcW w:w="3085" w:type="dxa"/>
            <w:tcBorders>
              <w:top w:val="single" w:sz="4" w:space="0" w:color="auto"/>
              <w:left w:val="nil"/>
              <w:bottom w:val="nil"/>
              <w:right w:val="nil"/>
            </w:tcBorders>
          </w:tcPr>
          <w:p w:rsidR="008E0977" w:rsidRPr="00A8076F" w:rsidRDefault="008E0977" w:rsidP="004147A5">
            <w:pPr>
              <w:jc w:val="right"/>
            </w:pPr>
            <w:r w:rsidRPr="00A8076F">
              <w:t xml:space="preserve">Proportion of time out of work </w:t>
            </w:r>
          </w:p>
        </w:tc>
        <w:tc>
          <w:tcPr>
            <w:tcW w:w="1802" w:type="dxa"/>
            <w:tcBorders>
              <w:top w:val="single" w:sz="4" w:space="0" w:color="auto"/>
              <w:left w:val="nil"/>
              <w:bottom w:val="nil"/>
              <w:right w:val="nil"/>
            </w:tcBorders>
          </w:tcPr>
          <w:p w:rsidR="008E0977" w:rsidRPr="00A8076F" w:rsidRDefault="008E0977" w:rsidP="004147A5">
            <w:r w:rsidRPr="00A8076F">
              <w:t>0.0</w:t>
            </w:r>
            <w:r>
              <w:t>6</w:t>
            </w:r>
            <w:r w:rsidR="00394978">
              <w:t>71</w:t>
            </w:r>
          </w:p>
          <w:p w:rsidR="008E0977" w:rsidRPr="00A8076F" w:rsidRDefault="008E0977" w:rsidP="004147A5">
            <w:r>
              <w:t>(.024</w:t>
            </w:r>
            <w:r w:rsidRPr="00A8076F">
              <w:t>)***</w:t>
            </w:r>
          </w:p>
        </w:tc>
        <w:tc>
          <w:tcPr>
            <w:tcW w:w="1802" w:type="dxa"/>
            <w:tcBorders>
              <w:top w:val="single" w:sz="4" w:space="0" w:color="auto"/>
              <w:left w:val="nil"/>
              <w:bottom w:val="nil"/>
              <w:right w:val="nil"/>
            </w:tcBorders>
          </w:tcPr>
          <w:p w:rsidR="008E0977" w:rsidRPr="00A8076F" w:rsidRDefault="008E0977" w:rsidP="004147A5">
            <w:r w:rsidRPr="00A8076F">
              <w:t>0.1</w:t>
            </w:r>
            <w:r>
              <w:t>120</w:t>
            </w:r>
          </w:p>
          <w:p w:rsidR="008E0977" w:rsidRPr="00A8076F" w:rsidRDefault="008E0977" w:rsidP="004147A5">
            <w:r>
              <w:t>(.019</w:t>
            </w:r>
            <w:r w:rsidRPr="00A8076F">
              <w:t>)***</w:t>
            </w:r>
          </w:p>
        </w:tc>
        <w:tc>
          <w:tcPr>
            <w:tcW w:w="1802" w:type="dxa"/>
            <w:tcBorders>
              <w:top w:val="single" w:sz="4" w:space="0" w:color="auto"/>
              <w:left w:val="nil"/>
              <w:bottom w:val="nil"/>
              <w:right w:val="nil"/>
            </w:tcBorders>
          </w:tcPr>
          <w:p w:rsidR="008E0977" w:rsidRPr="00A8076F" w:rsidRDefault="008E0977" w:rsidP="004147A5">
            <w:r>
              <w:t>0.1017</w:t>
            </w:r>
          </w:p>
          <w:p w:rsidR="008E0977" w:rsidRPr="00A8076F" w:rsidRDefault="008E0977" w:rsidP="004147A5">
            <w:r>
              <w:t>(.035</w:t>
            </w:r>
            <w:r w:rsidRPr="00A8076F">
              <w:t>)***</w:t>
            </w:r>
          </w:p>
        </w:tc>
      </w:tr>
      <w:tr w:rsidR="008E0977" w:rsidRPr="00A8076F" w:rsidTr="004147A5">
        <w:tc>
          <w:tcPr>
            <w:tcW w:w="3085" w:type="dxa"/>
            <w:tcBorders>
              <w:top w:val="nil"/>
              <w:left w:val="nil"/>
              <w:bottom w:val="nil"/>
              <w:right w:val="nil"/>
            </w:tcBorders>
          </w:tcPr>
          <w:p w:rsidR="008E0977" w:rsidRPr="00A8076F" w:rsidRDefault="008E0977" w:rsidP="004147A5">
            <w:pPr>
              <w:jc w:val="right"/>
            </w:pPr>
            <w:r w:rsidRPr="00A8076F">
              <w:t xml:space="preserve">A year or more workless </w:t>
            </w:r>
          </w:p>
        </w:tc>
        <w:tc>
          <w:tcPr>
            <w:tcW w:w="1802" w:type="dxa"/>
            <w:tcBorders>
              <w:top w:val="nil"/>
              <w:left w:val="nil"/>
              <w:bottom w:val="nil"/>
              <w:right w:val="nil"/>
            </w:tcBorders>
          </w:tcPr>
          <w:p w:rsidR="008E0977" w:rsidRPr="00A8076F" w:rsidRDefault="008E0977" w:rsidP="004147A5">
            <w:r w:rsidRPr="00A8076F">
              <w:t>0.149</w:t>
            </w:r>
            <w:r>
              <w:t>0</w:t>
            </w:r>
          </w:p>
          <w:p w:rsidR="008E0977" w:rsidRPr="00A8076F" w:rsidRDefault="008E0977" w:rsidP="004147A5">
            <w:r>
              <w:t>(.040</w:t>
            </w:r>
            <w:r w:rsidRPr="00A8076F">
              <w:t>)***</w:t>
            </w:r>
          </w:p>
        </w:tc>
        <w:tc>
          <w:tcPr>
            <w:tcW w:w="1802" w:type="dxa"/>
            <w:tcBorders>
              <w:top w:val="nil"/>
              <w:left w:val="nil"/>
              <w:bottom w:val="nil"/>
              <w:right w:val="nil"/>
            </w:tcBorders>
          </w:tcPr>
          <w:p w:rsidR="008E0977" w:rsidRPr="00A8076F" w:rsidRDefault="008E0977" w:rsidP="004147A5">
            <w:r w:rsidRPr="00A8076F">
              <w:t>0.17</w:t>
            </w:r>
            <w:r>
              <w:t>1</w:t>
            </w:r>
            <w:r w:rsidR="00394978">
              <w:t>8</w:t>
            </w:r>
          </w:p>
          <w:p w:rsidR="008E0977" w:rsidRPr="00A8076F" w:rsidRDefault="008E0977" w:rsidP="004147A5">
            <w:r>
              <w:t>(.031</w:t>
            </w:r>
            <w:r w:rsidRPr="00A8076F">
              <w:t>)***</w:t>
            </w:r>
          </w:p>
        </w:tc>
        <w:tc>
          <w:tcPr>
            <w:tcW w:w="1802" w:type="dxa"/>
            <w:tcBorders>
              <w:top w:val="nil"/>
              <w:left w:val="nil"/>
              <w:bottom w:val="nil"/>
              <w:right w:val="nil"/>
            </w:tcBorders>
          </w:tcPr>
          <w:p w:rsidR="008E0977" w:rsidRPr="00A8076F" w:rsidRDefault="008E0977" w:rsidP="004147A5">
            <w:r>
              <w:t>0.1730</w:t>
            </w:r>
          </w:p>
          <w:p w:rsidR="008E0977" w:rsidRPr="00A8076F" w:rsidRDefault="008E0977" w:rsidP="004147A5">
            <w:r>
              <w:t>(.064</w:t>
            </w:r>
            <w:r w:rsidRPr="00A8076F">
              <w:t>)***</w:t>
            </w:r>
          </w:p>
        </w:tc>
      </w:tr>
      <w:tr w:rsidR="008E0977" w:rsidRPr="00A8076F" w:rsidTr="004147A5">
        <w:tc>
          <w:tcPr>
            <w:tcW w:w="3085" w:type="dxa"/>
            <w:tcBorders>
              <w:top w:val="nil"/>
              <w:left w:val="nil"/>
              <w:bottom w:val="single" w:sz="4" w:space="0" w:color="auto"/>
              <w:right w:val="nil"/>
            </w:tcBorders>
          </w:tcPr>
          <w:p w:rsidR="008E0977" w:rsidRPr="00A8076F" w:rsidRDefault="008E0977" w:rsidP="004147A5">
            <w:pPr>
              <w:jc w:val="right"/>
            </w:pPr>
            <w:r>
              <w:t>Not in employment or training (NET)</w:t>
            </w:r>
          </w:p>
        </w:tc>
        <w:tc>
          <w:tcPr>
            <w:tcW w:w="1802" w:type="dxa"/>
            <w:tcBorders>
              <w:top w:val="nil"/>
              <w:left w:val="nil"/>
              <w:bottom w:val="single" w:sz="4" w:space="0" w:color="auto"/>
              <w:right w:val="nil"/>
            </w:tcBorders>
          </w:tcPr>
          <w:p w:rsidR="008E0977" w:rsidRPr="00A8076F" w:rsidRDefault="008E0977" w:rsidP="004147A5">
            <w:r w:rsidRPr="00A8076F">
              <w:t>0.003</w:t>
            </w:r>
            <w:r w:rsidR="00394978">
              <w:t>5</w:t>
            </w:r>
          </w:p>
          <w:p w:rsidR="008E0977" w:rsidRPr="00A8076F" w:rsidRDefault="008E0977" w:rsidP="004147A5">
            <w:r>
              <w:t>(.014</w:t>
            </w:r>
            <w:r w:rsidRPr="00A8076F">
              <w:t>)</w:t>
            </w:r>
          </w:p>
        </w:tc>
        <w:tc>
          <w:tcPr>
            <w:tcW w:w="1802" w:type="dxa"/>
            <w:tcBorders>
              <w:top w:val="nil"/>
              <w:left w:val="nil"/>
              <w:bottom w:val="single" w:sz="4" w:space="0" w:color="auto"/>
              <w:right w:val="nil"/>
            </w:tcBorders>
          </w:tcPr>
          <w:p w:rsidR="008E0977" w:rsidRPr="00A8076F" w:rsidRDefault="008E0977" w:rsidP="004147A5">
            <w:r w:rsidRPr="00A8076F">
              <w:t>0.0</w:t>
            </w:r>
            <w:r>
              <w:t>428</w:t>
            </w:r>
          </w:p>
          <w:p w:rsidR="008E0977" w:rsidRPr="00A8076F" w:rsidRDefault="008E0977" w:rsidP="004147A5">
            <w:r>
              <w:t>(.017</w:t>
            </w:r>
            <w:r w:rsidRPr="00A8076F">
              <w:t>)**</w:t>
            </w:r>
          </w:p>
        </w:tc>
        <w:tc>
          <w:tcPr>
            <w:tcW w:w="1802" w:type="dxa"/>
            <w:tcBorders>
              <w:top w:val="nil"/>
              <w:left w:val="nil"/>
              <w:bottom w:val="single" w:sz="4" w:space="0" w:color="auto"/>
              <w:right w:val="nil"/>
            </w:tcBorders>
          </w:tcPr>
          <w:p w:rsidR="008E0977" w:rsidRPr="00A8076F" w:rsidRDefault="008E0977" w:rsidP="004147A5">
            <w:r>
              <w:t>-0.0080</w:t>
            </w:r>
          </w:p>
          <w:p w:rsidR="008E0977" w:rsidRPr="00A8076F" w:rsidRDefault="008E0977" w:rsidP="004147A5">
            <w:r>
              <w:t>(.004</w:t>
            </w:r>
            <w:r w:rsidRPr="00A8076F">
              <w:t>)</w:t>
            </w:r>
            <w:r>
              <w:t>*</w:t>
            </w:r>
          </w:p>
        </w:tc>
      </w:tr>
      <w:tr w:rsidR="008E0977" w:rsidRPr="00A8076F" w:rsidTr="004147A5">
        <w:tc>
          <w:tcPr>
            <w:tcW w:w="3085" w:type="dxa"/>
            <w:tcBorders>
              <w:top w:val="single" w:sz="4" w:space="0" w:color="auto"/>
              <w:left w:val="nil"/>
              <w:bottom w:val="single" w:sz="4" w:space="0" w:color="auto"/>
              <w:right w:val="nil"/>
            </w:tcBorders>
          </w:tcPr>
          <w:p w:rsidR="008E0977" w:rsidRPr="00A8076F" w:rsidRDefault="008E0977" w:rsidP="004147A5">
            <w:pPr>
              <w:jc w:val="right"/>
            </w:pPr>
            <w:r w:rsidRPr="00A8076F">
              <w:t>N</w:t>
            </w:r>
          </w:p>
        </w:tc>
        <w:tc>
          <w:tcPr>
            <w:tcW w:w="1802" w:type="dxa"/>
            <w:tcBorders>
              <w:top w:val="single" w:sz="4" w:space="0" w:color="auto"/>
              <w:left w:val="nil"/>
              <w:bottom w:val="single" w:sz="4" w:space="0" w:color="auto"/>
              <w:right w:val="nil"/>
            </w:tcBorders>
          </w:tcPr>
          <w:p w:rsidR="008E0977" w:rsidRPr="00A8076F" w:rsidRDefault="008E0977" w:rsidP="00394978">
            <w:r w:rsidRPr="00A8076F">
              <w:t>4</w:t>
            </w:r>
            <w:r>
              <w:t>57</w:t>
            </w:r>
            <w:r w:rsidR="00394978">
              <w:t>0</w:t>
            </w:r>
          </w:p>
        </w:tc>
        <w:tc>
          <w:tcPr>
            <w:tcW w:w="1802" w:type="dxa"/>
            <w:tcBorders>
              <w:top w:val="single" w:sz="4" w:space="0" w:color="auto"/>
              <w:left w:val="nil"/>
              <w:bottom w:val="single" w:sz="4" w:space="0" w:color="auto"/>
              <w:right w:val="nil"/>
            </w:tcBorders>
          </w:tcPr>
          <w:p w:rsidR="008E0977" w:rsidRPr="00A8076F" w:rsidRDefault="008E0977" w:rsidP="00394978">
            <w:r w:rsidRPr="00A8076F">
              <w:t>4</w:t>
            </w:r>
            <w:r>
              <w:t>33</w:t>
            </w:r>
            <w:r w:rsidR="00394978">
              <w:t>1</w:t>
            </w:r>
          </w:p>
        </w:tc>
        <w:tc>
          <w:tcPr>
            <w:tcW w:w="1802" w:type="dxa"/>
            <w:tcBorders>
              <w:top w:val="single" w:sz="4" w:space="0" w:color="auto"/>
              <w:left w:val="nil"/>
              <w:bottom w:val="single" w:sz="4" w:space="0" w:color="auto"/>
              <w:right w:val="nil"/>
            </w:tcBorders>
          </w:tcPr>
          <w:p w:rsidR="008E0977" w:rsidRPr="00A8076F" w:rsidRDefault="008E0977" w:rsidP="004147A5">
            <w:r w:rsidRPr="00A8076F">
              <w:t>4</w:t>
            </w:r>
            <w:r>
              <w:t>36</w:t>
            </w:r>
          </w:p>
        </w:tc>
      </w:tr>
    </w:tbl>
    <w:p w:rsidR="008E0977" w:rsidRPr="00A8076F" w:rsidRDefault="008E0977" w:rsidP="008E0977">
      <w:pPr>
        <w:rPr>
          <w:sz w:val="16"/>
          <w:szCs w:val="16"/>
        </w:rPr>
      </w:pPr>
      <w:proofErr w:type="gramStart"/>
      <w:r>
        <w:rPr>
          <w:sz w:val="16"/>
          <w:szCs w:val="16"/>
        </w:rPr>
        <w:t>All rows and columns from separate models.</w:t>
      </w:r>
      <w:proofErr w:type="gramEnd"/>
      <w:r>
        <w:rPr>
          <w:sz w:val="16"/>
          <w:szCs w:val="16"/>
        </w:rPr>
        <w:t xml:space="preserve">  </w:t>
      </w:r>
      <w:proofErr w:type="gramStart"/>
      <w:r w:rsidRPr="00A8076F">
        <w:rPr>
          <w:sz w:val="16"/>
          <w:szCs w:val="16"/>
        </w:rPr>
        <w:t>Robust standard errors in parenthesis.</w:t>
      </w:r>
      <w:proofErr w:type="gramEnd"/>
      <w:r w:rsidRPr="00A8076F">
        <w:rPr>
          <w:sz w:val="16"/>
          <w:szCs w:val="16"/>
        </w:rPr>
        <w:t xml:space="preserve"> * 90% confidence</w:t>
      </w:r>
      <w:proofErr w:type="gramStart"/>
      <w:r w:rsidRPr="00A8076F">
        <w:rPr>
          <w:sz w:val="16"/>
          <w:szCs w:val="16"/>
        </w:rPr>
        <w:t>,  *</w:t>
      </w:r>
      <w:proofErr w:type="gramEnd"/>
      <w:r w:rsidRPr="00A8076F">
        <w:rPr>
          <w:sz w:val="16"/>
          <w:szCs w:val="16"/>
        </w:rPr>
        <w:t xml:space="preserve">* 95% confidence, *** 99% confidence. </w:t>
      </w:r>
    </w:p>
    <w:p w:rsidR="008E0977" w:rsidRDefault="008E0977" w:rsidP="008E0977">
      <w:pPr>
        <w:spacing w:after="200" w:line="276" w:lineRule="auto"/>
      </w:pPr>
      <w:r>
        <w:br w:type="page"/>
      </w:r>
    </w:p>
    <w:p w:rsidR="00A6094C" w:rsidRPr="00A8076F" w:rsidRDefault="00A6094C" w:rsidP="00A6094C">
      <w:pPr>
        <w:spacing w:after="200"/>
      </w:pPr>
      <w:r w:rsidRPr="00A8076F">
        <w:rPr>
          <w:b/>
        </w:rPr>
        <w:lastRenderedPageBreak/>
        <w:t xml:space="preserve">Table </w:t>
      </w:r>
      <w:r>
        <w:rPr>
          <w:b/>
        </w:rPr>
        <w:t>3</w:t>
      </w:r>
      <w:r w:rsidRPr="00A8076F">
        <w:rPr>
          <w:b/>
        </w:rPr>
        <w:t xml:space="preserve">: </w:t>
      </w:r>
      <w:r>
        <w:t>Parameter estimates of intergenerational worklessness assessing the impact of measurement error in the BHPS by comparing a longer and shorter window of data for fathers</w:t>
      </w:r>
    </w:p>
    <w:tbl>
      <w:tblPr>
        <w:tblW w:w="9039" w:type="dxa"/>
        <w:tblLook w:val="04A0"/>
      </w:tblPr>
      <w:tblGrid>
        <w:gridCol w:w="3085"/>
        <w:gridCol w:w="2835"/>
        <w:gridCol w:w="3119"/>
      </w:tblGrid>
      <w:tr w:rsidR="00A6094C" w:rsidRPr="00A8076F" w:rsidTr="00AF6539">
        <w:tc>
          <w:tcPr>
            <w:tcW w:w="3085" w:type="dxa"/>
            <w:tcBorders>
              <w:top w:val="single" w:sz="4" w:space="0" w:color="auto"/>
              <w:left w:val="nil"/>
              <w:bottom w:val="single" w:sz="4" w:space="0" w:color="auto"/>
            </w:tcBorders>
          </w:tcPr>
          <w:p w:rsidR="00A6094C" w:rsidRDefault="00A6094C" w:rsidP="00AF6539">
            <w:pPr>
              <w:jc w:val="right"/>
            </w:pPr>
          </w:p>
          <w:p w:rsidR="00A6094C" w:rsidRPr="00A8076F" w:rsidRDefault="00A6094C" w:rsidP="00AF6539">
            <w:pPr>
              <w:jc w:val="right"/>
            </w:pPr>
            <w:r>
              <w:t>Fathers’</w:t>
            </w:r>
            <w:r w:rsidRPr="00A8076F">
              <w:t xml:space="preserve"> measure</w:t>
            </w:r>
            <w:r>
              <w:t>:</w:t>
            </w:r>
          </w:p>
        </w:tc>
        <w:tc>
          <w:tcPr>
            <w:tcW w:w="2835" w:type="dxa"/>
            <w:tcBorders>
              <w:top w:val="single" w:sz="4" w:space="0" w:color="auto"/>
              <w:bottom w:val="single" w:sz="4" w:space="0" w:color="auto"/>
              <w:right w:val="nil"/>
            </w:tcBorders>
          </w:tcPr>
          <w:p w:rsidR="00A6094C" w:rsidRDefault="00A6094C" w:rsidP="00AF6539">
            <w:r>
              <w:t xml:space="preserve">Not in work </w:t>
            </w:r>
            <w:r w:rsidR="00B26C2A">
              <w:t xml:space="preserve">majority of time </w:t>
            </w:r>
            <w:r>
              <w:t>from 8-25</w:t>
            </w:r>
          </w:p>
          <w:p w:rsidR="00A6094C" w:rsidRPr="00A8076F" w:rsidRDefault="00A6094C" w:rsidP="00AF6539">
            <w:r>
              <w:t>(longer window)</w:t>
            </w:r>
          </w:p>
        </w:tc>
        <w:tc>
          <w:tcPr>
            <w:tcW w:w="3119" w:type="dxa"/>
            <w:tcBorders>
              <w:top w:val="single" w:sz="4" w:space="0" w:color="auto"/>
              <w:left w:val="nil"/>
              <w:bottom w:val="single" w:sz="4" w:space="0" w:color="auto"/>
            </w:tcBorders>
          </w:tcPr>
          <w:p w:rsidR="00A6094C" w:rsidRPr="00A8076F" w:rsidRDefault="00A6094C" w:rsidP="00AF6539">
            <w:r>
              <w:t>Not in work</w:t>
            </w:r>
            <w:r w:rsidRPr="00A8076F">
              <w:t xml:space="preserve"> at 12</w:t>
            </w:r>
            <w:r>
              <w:t xml:space="preserve"> &amp; </w:t>
            </w:r>
            <w:r w:rsidRPr="00A8076F">
              <w:t xml:space="preserve">16 </w:t>
            </w:r>
            <w:r>
              <w:t xml:space="preserve"> (shorter window)</w:t>
            </w:r>
          </w:p>
        </w:tc>
      </w:tr>
      <w:tr w:rsidR="00A6094C" w:rsidRPr="00A8076F" w:rsidTr="00AF6539">
        <w:tc>
          <w:tcPr>
            <w:tcW w:w="3085" w:type="dxa"/>
            <w:tcBorders>
              <w:top w:val="single" w:sz="4" w:space="0" w:color="auto"/>
              <w:left w:val="nil"/>
              <w:bottom w:val="single" w:sz="4" w:space="0" w:color="auto"/>
            </w:tcBorders>
          </w:tcPr>
          <w:p w:rsidR="00A6094C" w:rsidRDefault="00A6094C" w:rsidP="00AF6539">
            <w:pPr>
              <w:jc w:val="right"/>
            </w:pPr>
            <w:r>
              <w:t>Sons’</w:t>
            </w:r>
            <w:r w:rsidRPr="00A8076F">
              <w:t xml:space="preserve"> measure</w:t>
            </w:r>
            <w:r>
              <w:t xml:space="preserve"> </w:t>
            </w:r>
          </w:p>
          <w:p w:rsidR="00A6094C" w:rsidRPr="00A8076F" w:rsidRDefault="00A6094C" w:rsidP="00AF6539">
            <w:pPr>
              <w:jc w:val="right"/>
            </w:pPr>
            <w:r>
              <w:t>Leaving FT education</w:t>
            </w:r>
            <w:r w:rsidRPr="00A8076F">
              <w:t>-23</w:t>
            </w:r>
          </w:p>
        </w:tc>
        <w:tc>
          <w:tcPr>
            <w:tcW w:w="2835" w:type="dxa"/>
            <w:tcBorders>
              <w:top w:val="single" w:sz="4" w:space="0" w:color="auto"/>
              <w:bottom w:val="single" w:sz="4" w:space="0" w:color="auto"/>
              <w:right w:val="nil"/>
            </w:tcBorders>
          </w:tcPr>
          <w:p w:rsidR="00A6094C" w:rsidRPr="00A8076F" w:rsidRDefault="00A6094C" w:rsidP="00AF6539"/>
        </w:tc>
        <w:tc>
          <w:tcPr>
            <w:tcW w:w="3119" w:type="dxa"/>
            <w:tcBorders>
              <w:top w:val="single" w:sz="4" w:space="0" w:color="auto"/>
              <w:left w:val="nil"/>
              <w:bottom w:val="single" w:sz="4" w:space="0" w:color="auto"/>
            </w:tcBorders>
          </w:tcPr>
          <w:p w:rsidR="00A6094C" w:rsidRPr="00A8076F" w:rsidRDefault="00A6094C" w:rsidP="00AF6539"/>
        </w:tc>
      </w:tr>
      <w:tr w:rsidR="00A6094C" w:rsidRPr="00A8076F" w:rsidTr="00AF6539">
        <w:tc>
          <w:tcPr>
            <w:tcW w:w="3085" w:type="dxa"/>
            <w:tcBorders>
              <w:top w:val="single" w:sz="4" w:space="0" w:color="auto"/>
              <w:left w:val="nil"/>
            </w:tcBorders>
          </w:tcPr>
          <w:p w:rsidR="00A6094C" w:rsidRPr="00A8076F" w:rsidRDefault="00A6094C" w:rsidP="00AF6539">
            <w:pPr>
              <w:jc w:val="right"/>
            </w:pPr>
            <w:r w:rsidRPr="00A8076F">
              <w:t>Proportion of time out of work</w:t>
            </w:r>
          </w:p>
        </w:tc>
        <w:tc>
          <w:tcPr>
            <w:tcW w:w="2835" w:type="dxa"/>
            <w:tcBorders>
              <w:top w:val="single" w:sz="4" w:space="0" w:color="auto"/>
              <w:right w:val="nil"/>
            </w:tcBorders>
          </w:tcPr>
          <w:p w:rsidR="00A6094C" w:rsidRPr="00A8076F" w:rsidRDefault="00B26C2A" w:rsidP="00AF6539">
            <w:r>
              <w:t>0.1140</w:t>
            </w:r>
          </w:p>
          <w:p w:rsidR="00A6094C" w:rsidRPr="00A8076F" w:rsidRDefault="00A6094C" w:rsidP="00AF6539">
            <w:r w:rsidRPr="00A8076F">
              <w:t>(.0</w:t>
            </w:r>
            <w:r w:rsidR="00B26C2A">
              <w:t>36</w:t>
            </w:r>
            <w:r w:rsidRPr="00A8076F">
              <w:t>)***</w:t>
            </w:r>
          </w:p>
        </w:tc>
        <w:tc>
          <w:tcPr>
            <w:tcW w:w="3119" w:type="dxa"/>
            <w:tcBorders>
              <w:top w:val="single" w:sz="4" w:space="0" w:color="auto"/>
              <w:left w:val="nil"/>
            </w:tcBorders>
          </w:tcPr>
          <w:p w:rsidR="00A6094C" w:rsidRPr="00A8076F" w:rsidRDefault="00A6094C" w:rsidP="00AF6539">
            <w:r>
              <w:t>0.1017</w:t>
            </w:r>
          </w:p>
          <w:p w:rsidR="00A6094C" w:rsidRPr="00A8076F" w:rsidRDefault="00A6094C" w:rsidP="00AF6539">
            <w:r>
              <w:t>(.035</w:t>
            </w:r>
            <w:r w:rsidRPr="00A8076F">
              <w:t>)***</w:t>
            </w:r>
          </w:p>
        </w:tc>
      </w:tr>
      <w:tr w:rsidR="00A6094C" w:rsidRPr="00A8076F" w:rsidTr="00AF6539">
        <w:tc>
          <w:tcPr>
            <w:tcW w:w="3085" w:type="dxa"/>
            <w:tcBorders>
              <w:left w:val="nil"/>
            </w:tcBorders>
          </w:tcPr>
          <w:p w:rsidR="00A6094C" w:rsidRPr="00A8076F" w:rsidRDefault="00A6094C" w:rsidP="00AF6539">
            <w:pPr>
              <w:jc w:val="right"/>
            </w:pPr>
            <w:r w:rsidRPr="00A8076F">
              <w:t xml:space="preserve">A year or more workless </w:t>
            </w:r>
          </w:p>
        </w:tc>
        <w:tc>
          <w:tcPr>
            <w:tcW w:w="2835" w:type="dxa"/>
            <w:tcBorders>
              <w:right w:val="nil"/>
            </w:tcBorders>
          </w:tcPr>
          <w:p w:rsidR="00A6094C" w:rsidRPr="00A8076F" w:rsidRDefault="00B26C2A" w:rsidP="00AF6539">
            <w:r>
              <w:t>0.1799</w:t>
            </w:r>
          </w:p>
          <w:p w:rsidR="00A6094C" w:rsidRPr="00A8076F" w:rsidRDefault="00B26C2A" w:rsidP="00AF6539">
            <w:r>
              <w:t>(.068</w:t>
            </w:r>
            <w:r w:rsidR="00A6094C" w:rsidRPr="00A8076F">
              <w:t>)*</w:t>
            </w:r>
            <w:r>
              <w:t>**</w:t>
            </w:r>
          </w:p>
        </w:tc>
        <w:tc>
          <w:tcPr>
            <w:tcW w:w="3119" w:type="dxa"/>
            <w:tcBorders>
              <w:left w:val="nil"/>
            </w:tcBorders>
          </w:tcPr>
          <w:p w:rsidR="00A6094C" w:rsidRPr="00A8076F" w:rsidRDefault="00A6094C" w:rsidP="00AF6539">
            <w:r>
              <w:t>0.1730</w:t>
            </w:r>
          </w:p>
          <w:p w:rsidR="00A6094C" w:rsidRPr="00A8076F" w:rsidRDefault="00A6094C" w:rsidP="00AF6539">
            <w:r>
              <w:t>(.064</w:t>
            </w:r>
            <w:r w:rsidRPr="00A8076F">
              <w:t>)***</w:t>
            </w:r>
          </w:p>
        </w:tc>
      </w:tr>
      <w:tr w:rsidR="00A6094C" w:rsidRPr="00A8076F" w:rsidTr="00AF6539">
        <w:tc>
          <w:tcPr>
            <w:tcW w:w="3085" w:type="dxa"/>
            <w:tcBorders>
              <w:left w:val="nil"/>
              <w:bottom w:val="single" w:sz="4" w:space="0" w:color="auto"/>
            </w:tcBorders>
          </w:tcPr>
          <w:p w:rsidR="00A6094C" w:rsidRPr="00A8076F" w:rsidRDefault="00A6094C" w:rsidP="00AF6539">
            <w:pPr>
              <w:jc w:val="right"/>
            </w:pPr>
            <w:r>
              <w:t>Not in employment,  education or training (NEET)</w:t>
            </w:r>
          </w:p>
        </w:tc>
        <w:tc>
          <w:tcPr>
            <w:tcW w:w="2835" w:type="dxa"/>
            <w:tcBorders>
              <w:bottom w:val="single" w:sz="4" w:space="0" w:color="auto"/>
              <w:right w:val="nil"/>
            </w:tcBorders>
          </w:tcPr>
          <w:p w:rsidR="00A6094C" w:rsidRPr="00A8076F" w:rsidRDefault="00B26C2A" w:rsidP="00AF6539">
            <w:r>
              <w:t>-0.0079</w:t>
            </w:r>
          </w:p>
          <w:p w:rsidR="00A6094C" w:rsidRPr="00A8076F" w:rsidRDefault="00B26C2A" w:rsidP="00AF6539">
            <w:r>
              <w:t>(.005</w:t>
            </w:r>
            <w:r w:rsidR="00A6094C" w:rsidRPr="00A8076F">
              <w:t>)</w:t>
            </w:r>
            <w:r w:rsidR="00A6094C">
              <w:t>*</w:t>
            </w:r>
          </w:p>
        </w:tc>
        <w:tc>
          <w:tcPr>
            <w:tcW w:w="3119" w:type="dxa"/>
            <w:tcBorders>
              <w:left w:val="nil"/>
              <w:bottom w:val="single" w:sz="4" w:space="0" w:color="auto"/>
            </w:tcBorders>
          </w:tcPr>
          <w:p w:rsidR="00A6094C" w:rsidRPr="00A8076F" w:rsidRDefault="00A6094C" w:rsidP="00AF6539">
            <w:r>
              <w:t>-0.0080</w:t>
            </w:r>
          </w:p>
          <w:p w:rsidR="00A6094C" w:rsidRPr="00A8076F" w:rsidRDefault="00A6094C" w:rsidP="00AF6539">
            <w:r>
              <w:t>(.005</w:t>
            </w:r>
            <w:r w:rsidRPr="00A8076F">
              <w:t>)</w:t>
            </w:r>
            <w:r>
              <w:t>*</w:t>
            </w:r>
          </w:p>
        </w:tc>
      </w:tr>
      <w:tr w:rsidR="00A6094C" w:rsidRPr="00A8076F" w:rsidTr="00AF6539">
        <w:tc>
          <w:tcPr>
            <w:tcW w:w="3085" w:type="dxa"/>
            <w:tcBorders>
              <w:top w:val="single" w:sz="4" w:space="0" w:color="auto"/>
              <w:left w:val="nil"/>
              <w:bottom w:val="single" w:sz="4" w:space="0" w:color="auto"/>
            </w:tcBorders>
          </w:tcPr>
          <w:p w:rsidR="00A6094C" w:rsidRPr="00A8076F" w:rsidRDefault="00A6094C" w:rsidP="00AF6539">
            <w:pPr>
              <w:jc w:val="right"/>
            </w:pPr>
            <w:r w:rsidRPr="00A8076F">
              <w:t>N</w:t>
            </w:r>
          </w:p>
        </w:tc>
        <w:tc>
          <w:tcPr>
            <w:tcW w:w="2835" w:type="dxa"/>
            <w:tcBorders>
              <w:top w:val="single" w:sz="4" w:space="0" w:color="auto"/>
              <w:bottom w:val="single" w:sz="4" w:space="0" w:color="auto"/>
              <w:right w:val="nil"/>
            </w:tcBorders>
          </w:tcPr>
          <w:p w:rsidR="00A6094C" w:rsidRPr="00A8076F" w:rsidRDefault="00A6094C" w:rsidP="00AF6539">
            <w:r w:rsidRPr="00A8076F">
              <w:t>4</w:t>
            </w:r>
            <w:r>
              <w:t>36</w:t>
            </w:r>
          </w:p>
        </w:tc>
        <w:tc>
          <w:tcPr>
            <w:tcW w:w="3119" w:type="dxa"/>
            <w:tcBorders>
              <w:top w:val="single" w:sz="4" w:space="0" w:color="auto"/>
              <w:left w:val="nil"/>
              <w:bottom w:val="single" w:sz="4" w:space="0" w:color="auto"/>
            </w:tcBorders>
          </w:tcPr>
          <w:p w:rsidR="00A6094C" w:rsidRPr="00A8076F" w:rsidRDefault="00A6094C" w:rsidP="00AF6539">
            <w:r w:rsidRPr="00A8076F">
              <w:t>4</w:t>
            </w:r>
            <w:r>
              <w:t>36</w:t>
            </w:r>
          </w:p>
        </w:tc>
      </w:tr>
    </w:tbl>
    <w:p w:rsidR="00A6094C" w:rsidRPr="00A8076F" w:rsidRDefault="00A6094C" w:rsidP="00A6094C">
      <w:pPr>
        <w:rPr>
          <w:sz w:val="16"/>
          <w:szCs w:val="16"/>
        </w:rPr>
      </w:pPr>
      <w:proofErr w:type="gramStart"/>
      <w:r>
        <w:rPr>
          <w:sz w:val="16"/>
          <w:szCs w:val="16"/>
        </w:rPr>
        <w:t>All rows and columns from separate models.</w:t>
      </w:r>
      <w:proofErr w:type="gramEnd"/>
      <w:r>
        <w:rPr>
          <w:sz w:val="16"/>
          <w:szCs w:val="16"/>
        </w:rPr>
        <w:t xml:space="preserve"> </w:t>
      </w:r>
      <w:proofErr w:type="gramStart"/>
      <w:r w:rsidRPr="00A8076F">
        <w:rPr>
          <w:sz w:val="16"/>
          <w:szCs w:val="16"/>
        </w:rPr>
        <w:t>Robust standard errors in parenthesis.</w:t>
      </w:r>
      <w:proofErr w:type="gramEnd"/>
      <w:r w:rsidRPr="00A8076F">
        <w:rPr>
          <w:sz w:val="16"/>
          <w:szCs w:val="16"/>
        </w:rPr>
        <w:t xml:space="preserve"> * 90% confidence</w:t>
      </w:r>
      <w:proofErr w:type="gramStart"/>
      <w:r w:rsidRPr="00A8076F">
        <w:rPr>
          <w:sz w:val="16"/>
          <w:szCs w:val="16"/>
        </w:rPr>
        <w:t>,  *</w:t>
      </w:r>
      <w:proofErr w:type="gramEnd"/>
      <w:r w:rsidRPr="00A8076F">
        <w:rPr>
          <w:sz w:val="16"/>
          <w:szCs w:val="16"/>
        </w:rPr>
        <w:t xml:space="preserve">* 95% confidence, *** 99% confidence. </w:t>
      </w:r>
    </w:p>
    <w:p w:rsidR="00A6094C" w:rsidRDefault="00A6094C" w:rsidP="004E222A">
      <w:pPr>
        <w:spacing w:after="200"/>
        <w:rPr>
          <w:b/>
        </w:rPr>
      </w:pPr>
    </w:p>
    <w:p w:rsidR="00A6094C" w:rsidRDefault="00A6094C" w:rsidP="004E222A">
      <w:pPr>
        <w:spacing w:after="200"/>
        <w:rPr>
          <w:b/>
        </w:rPr>
      </w:pPr>
    </w:p>
    <w:p w:rsidR="001C1E13" w:rsidRPr="00A8076F" w:rsidRDefault="001C1E13" w:rsidP="004E222A">
      <w:pPr>
        <w:spacing w:after="200"/>
      </w:pPr>
      <w:r w:rsidRPr="00A8076F">
        <w:rPr>
          <w:b/>
        </w:rPr>
        <w:t>Table</w:t>
      </w:r>
      <w:r w:rsidR="00931F48">
        <w:rPr>
          <w:b/>
        </w:rPr>
        <w:t xml:space="preserve"> </w:t>
      </w:r>
      <w:r w:rsidR="00A6094C">
        <w:rPr>
          <w:b/>
        </w:rPr>
        <w:t>4</w:t>
      </w:r>
      <w:r w:rsidRPr="00A8076F">
        <w:rPr>
          <w:b/>
        </w:rPr>
        <w:t xml:space="preserve">: </w:t>
      </w:r>
      <w:r w:rsidR="001E041A">
        <w:t xml:space="preserve">Parameter estimates of intergenerational worklessness for </w:t>
      </w:r>
      <w:r>
        <w:t xml:space="preserve">the NCDS and BCS </w:t>
      </w:r>
      <w:r w:rsidR="001E041A">
        <w:t xml:space="preserve">assessing the impact of life-cycle bias by comparing </w:t>
      </w:r>
      <w:r>
        <w:t>a longer</w:t>
      </w:r>
      <w:r w:rsidR="001E041A">
        <w:t xml:space="preserve"> and shorter </w:t>
      </w:r>
      <w:r>
        <w:t xml:space="preserve">window of data </w:t>
      </w:r>
      <w:r w:rsidR="001E041A">
        <w:t>for sons</w:t>
      </w:r>
    </w:p>
    <w:tbl>
      <w:tblPr>
        <w:tblW w:w="0" w:type="auto"/>
        <w:tblLook w:val="04A0"/>
      </w:tblPr>
      <w:tblGrid>
        <w:gridCol w:w="3085"/>
        <w:gridCol w:w="1485"/>
        <w:gridCol w:w="1485"/>
        <w:gridCol w:w="1485"/>
        <w:gridCol w:w="1485"/>
      </w:tblGrid>
      <w:tr w:rsidR="001C1E13" w:rsidRPr="00A8076F" w:rsidTr="00A33B20">
        <w:tc>
          <w:tcPr>
            <w:tcW w:w="3085" w:type="dxa"/>
            <w:tcBorders>
              <w:top w:val="single" w:sz="4" w:space="0" w:color="auto"/>
              <w:left w:val="nil"/>
              <w:bottom w:val="single" w:sz="4" w:space="0" w:color="auto"/>
              <w:right w:val="nil"/>
            </w:tcBorders>
          </w:tcPr>
          <w:p w:rsidR="001C1E13" w:rsidRPr="00094C25" w:rsidRDefault="001C1E13" w:rsidP="004E222A">
            <w:pPr>
              <w:jc w:val="right"/>
              <w:rPr>
                <w:b/>
              </w:rPr>
            </w:pPr>
            <w:r>
              <w:rPr>
                <w:b/>
              </w:rPr>
              <w:t>Data source</w:t>
            </w:r>
            <w:r w:rsidR="00415DFB">
              <w:rPr>
                <w:b/>
              </w:rPr>
              <w:t>:</w:t>
            </w:r>
          </w:p>
          <w:p w:rsidR="001C1E13" w:rsidRPr="00A8076F" w:rsidRDefault="00415DFB" w:rsidP="004E222A">
            <w:pPr>
              <w:jc w:val="right"/>
            </w:pPr>
            <w:r>
              <w:t>Fathers’ measure:</w:t>
            </w:r>
          </w:p>
        </w:tc>
        <w:tc>
          <w:tcPr>
            <w:tcW w:w="2970" w:type="dxa"/>
            <w:gridSpan w:val="2"/>
            <w:tcBorders>
              <w:top w:val="single" w:sz="4" w:space="0" w:color="auto"/>
              <w:left w:val="nil"/>
              <w:bottom w:val="single" w:sz="4" w:space="0" w:color="auto"/>
              <w:right w:val="nil"/>
            </w:tcBorders>
          </w:tcPr>
          <w:p w:rsidR="001C1E13" w:rsidRPr="00A8076F" w:rsidRDefault="001C1E13" w:rsidP="002101E9">
            <w:pPr>
              <w:rPr>
                <w:b/>
              </w:rPr>
            </w:pPr>
            <w:r w:rsidRPr="00A8076F">
              <w:rPr>
                <w:b/>
              </w:rPr>
              <w:t>NCDS</w:t>
            </w:r>
          </w:p>
          <w:p w:rsidR="001C1E13" w:rsidRPr="00A8076F" w:rsidRDefault="001C1E13" w:rsidP="002101E9">
            <w:pPr>
              <w:rPr>
                <w:b/>
              </w:rPr>
            </w:pPr>
            <w:r>
              <w:t>Not in work</w:t>
            </w:r>
            <w:r w:rsidRPr="00A8076F">
              <w:t xml:space="preserve"> </w:t>
            </w:r>
            <w:r>
              <w:t xml:space="preserve">when son is </w:t>
            </w:r>
            <w:r w:rsidRPr="00A8076F">
              <w:t>11</w:t>
            </w:r>
            <w:r w:rsidR="004E222A">
              <w:t xml:space="preserve"> &amp; </w:t>
            </w:r>
            <w:r w:rsidRPr="00A8076F">
              <w:t xml:space="preserve">16 </w:t>
            </w:r>
          </w:p>
        </w:tc>
        <w:tc>
          <w:tcPr>
            <w:tcW w:w="2970" w:type="dxa"/>
            <w:gridSpan w:val="2"/>
            <w:tcBorders>
              <w:top w:val="single" w:sz="4" w:space="0" w:color="auto"/>
              <w:left w:val="nil"/>
              <w:bottom w:val="single" w:sz="4" w:space="0" w:color="auto"/>
              <w:right w:val="nil"/>
            </w:tcBorders>
          </w:tcPr>
          <w:p w:rsidR="001C1E13" w:rsidRPr="00A8076F" w:rsidRDefault="001C1E13" w:rsidP="002101E9">
            <w:pPr>
              <w:rPr>
                <w:b/>
              </w:rPr>
            </w:pPr>
            <w:r w:rsidRPr="00A8076F">
              <w:rPr>
                <w:b/>
              </w:rPr>
              <w:t>BCS</w:t>
            </w:r>
          </w:p>
          <w:p w:rsidR="001C1E13" w:rsidRPr="00A8076F" w:rsidRDefault="001C1E13" w:rsidP="002101E9">
            <w:pPr>
              <w:rPr>
                <w:b/>
              </w:rPr>
            </w:pPr>
            <w:r>
              <w:t>Not in work</w:t>
            </w:r>
            <w:r w:rsidRPr="00A8076F">
              <w:t xml:space="preserve"> </w:t>
            </w:r>
            <w:r>
              <w:t xml:space="preserve">when son is </w:t>
            </w:r>
            <w:r w:rsidRPr="00A8076F">
              <w:t>10</w:t>
            </w:r>
            <w:r w:rsidR="004E222A">
              <w:t xml:space="preserve"> &amp; </w:t>
            </w:r>
            <w:r w:rsidRPr="00A8076F">
              <w:t xml:space="preserve">16 </w:t>
            </w:r>
          </w:p>
        </w:tc>
      </w:tr>
      <w:tr w:rsidR="001C1E13" w:rsidRPr="00A8076F" w:rsidTr="00A33B20">
        <w:tc>
          <w:tcPr>
            <w:tcW w:w="3085" w:type="dxa"/>
            <w:tcBorders>
              <w:top w:val="single" w:sz="4" w:space="0" w:color="auto"/>
              <w:left w:val="nil"/>
              <w:bottom w:val="single" w:sz="4" w:space="0" w:color="auto"/>
              <w:right w:val="nil"/>
            </w:tcBorders>
          </w:tcPr>
          <w:p w:rsidR="001C1E13" w:rsidRPr="00A8076F" w:rsidRDefault="00415DFB" w:rsidP="004E222A">
            <w:pPr>
              <w:jc w:val="right"/>
            </w:pPr>
            <w:r>
              <w:t xml:space="preserve">Sons’ </w:t>
            </w:r>
            <w:r w:rsidR="001C1E13" w:rsidRPr="00A8076F">
              <w:t>age</w:t>
            </w:r>
            <w:r w:rsidR="001C1E13">
              <w:t xml:space="preserve"> across the window of data</w:t>
            </w:r>
            <w:r>
              <w:t>:</w:t>
            </w:r>
          </w:p>
        </w:tc>
        <w:tc>
          <w:tcPr>
            <w:tcW w:w="1485" w:type="dxa"/>
            <w:tcBorders>
              <w:top w:val="single" w:sz="4" w:space="0" w:color="auto"/>
              <w:left w:val="nil"/>
              <w:bottom w:val="single" w:sz="4" w:space="0" w:color="auto"/>
              <w:right w:val="nil"/>
            </w:tcBorders>
          </w:tcPr>
          <w:p w:rsidR="001C1E13" w:rsidRPr="00A8076F" w:rsidRDefault="00080DE1" w:rsidP="002101E9">
            <w:r>
              <w:t>Leaving FT</w:t>
            </w:r>
            <w:r w:rsidR="00394978">
              <w:t xml:space="preserve"> ed-</w:t>
            </w:r>
            <w:r w:rsidR="001C1E13" w:rsidRPr="00A8076F">
              <w:t>23</w:t>
            </w:r>
          </w:p>
        </w:tc>
        <w:tc>
          <w:tcPr>
            <w:tcW w:w="1485" w:type="dxa"/>
            <w:tcBorders>
              <w:top w:val="single" w:sz="4" w:space="0" w:color="auto"/>
              <w:left w:val="nil"/>
              <w:bottom w:val="single" w:sz="4" w:space="0" w:color="auto"/>
              <w:right w:val="nil"/>
            </w:tcBorders>
          </w:tcPr>
          <w:p w:rsidR="001C1E13" w:rsidRDefault="001C1E13" w:rsidP="002101E9"/>
          <w:p w:rsidR="001C1E13" w:rsidRPr="00A8076F" w:rsidRDefault="00394978" w:rsidP="00394978">
            <w:r>
              <w:t>23</w:t>
            </w:r>
            <w:r w:rsidR="001C1E13" w:rsidRPr="00A8076F">
              <w:t xml:space="preserve"> - 29</w:t>
            </w:r>
          </w:p>
        </w:tc>
        <w:tc>
          <w:tcPr>
            <w:tcW w:w="1485" w:type="dxa"/>
            <w:tcBorders>
              <w:top w:val="single" w:sz="4" w:space="0" w:color="auto"/>
              <w:left w:val="nil"/>
              <w:bottom w:val="single" w:sz="4" w:space="0" w:color="auto"/>
              <w:right w:val="nil"/>
            </w:tcBorders>
          </w:tcPr>
          <w:p w:rsidR="001C1E13" w:rsidRPr="00A8076F" w:rsidRDefault="00080DE1" w:rsidP="002101E9">
            <w:r>
              <w:t>Leaving FT ed-</w:t>
            </w:r>
            <w:r w:rsidRPr="00A8076F">
              <w:t>23</w:t>
            </w:r>
          </w:p>
        </w:tc>
        <w:tc>
          <w:tcPr>
            <w:tcW w:w="1485" w:type="dxa"/>
            <w:tcBorders>
              <w:top w:val="single" w:sz="4" w:space="0" w:color="auto"/>
              <w:left w:val="nil"/>
              <w:bottom w:val="single" w:sz="4" w:space="0" w:color="auto"/>
              <w:right w:val="nil"/>
            </w:tcBorders>
          </w:tcPr>
          <w:p w:rsidR="001C1E13" w:rsidRDefault="001C1E13" w:rsidP="002101E9"/>
          <w:p w:rsidR="001C1E13" w:rsidRPr="00A8076F" w:rsidRDefault="00394978" w:rsidP="002101E9">
            <w:r>
              <w:t>23</w:t>
            </w:r>
            <w:r w:rsidR="001C1E13" w:rsidRPr="00A8076F">
              <w:t xml:space="preserve"> - 29</w:t>
            </w:r>
          </w:p>
        </w:tc>
      </w:tr>
      <w:tr w:rsidR="00394978" w:rsidRPr="00A8076F" w:rsidTr="00A33B20">
        <w:tc>
          <w:tcPr>
            <w:tcW w:w="3085" w:type="dxa"/>
            <w:tcBorders>
              <w:top w:val="single" w:sz="4" w:space="0" w:color="auto"/>
              <w:left w:val="nil"/>
              <w:bottom w:val="nil"/>
              <w:right w:val="nil"/>
            </w:tcBorders>
          </w:tcPr>
          <w:p w:rsidR="00394978" w:rsidRPr="00A8076F" w:rsidRDefault="00394978" w:rsidP="004E222A">
            <w:pPr>
              <w:jc w:val="right"/>
            </w:pPr>
            <w:r w:rsidRPr="00A8076F">
              <w:t xml:space="preserve">Proportion of time out of work </w:t>
            </w:r>
          </w:p>
        </w:tc>
        <w:tc>
          <w:tcPr>
            <w:tcW w:w="1485" w:type="dxa"/>
            <w:tcBorders>
              <w:top w:val="single" w:sz="4" w:space="0" w:color="auto"/>
              <w:left w:val="nil"/>
              <w:bottom w:val="nil"/>
              <w:right w:val="nil"/>
            </w:tcBorders>
          </w:tcPr>
          <w:p w:rsidR="00394978" w:rsidRPr="00A8076F" w:rsidRDefault="00394978" w:rsidP="004A57B1">
            <w:r w:rsidRPr="00A8076F">
              <w:t>0.0</w:t>
            </w:r>
            <w:r>
              <w:t>671</w:t>
            </w:r>
          </w:p>
          <w:p w:rsidR="00394978" w:rsidRPr="00A8076F" w:rsidRDefault="00394978" w:rsidP="004A57B1">
            <w:r>
              <w:t>(.024</w:t>
            </w:r>
            <w:r w:rsidRPr="00A8076F">
              <w:t>)***</w:t>
            </w:r>
          </w:p>
        </w:tc>
        <w:tc>
          <w:tcPr>
            <w:tcW w:w="1485" w:type="dxa"/>
            <w:tcBorders>
              <w:top w:val="single" w:sz="4" w:space="0" w:color="auto"/>
              <w:left w:val="nil"/>
              <w:bottom w:val="nil"/>
              <w:right w:val="nil"/>
            </w:tcBorders>
          </w:tcPr>
          <w:p w:rsidR="00394978" w:rsidRPr="00A8076F" w:rsidRDefault="00394978" w:rsidP="002101E9">
            <w:r>
              <w:t>0.0715</w:t>
            </w:r>
          </w:p>
          <w:p w:rsidR="00394978" w:rsidRPr="00A8076F" w:rsidRDefault="00394978" w:rsidP="002101E9">
            <w:r>
              <w:t>(.026</w:t>
            </w:r>
            <w:r w:rsidRPr="00A8076F">
              <w:t>)***</w:t>
            </w:r>
          </w:p>
        </w:tc>
        <w:tc>
          <w:tcPr>
            <w:tcW w:w="1485" w:type="dxa"/>
            <w:tcBorders>
              <w:top w:val="single" w:sz="4" w:space="0" w:color="auto"/>
              <w:left w:val="nil"/>
              <w:bottom w:val="nil"/>
              <w:right w:val="nil"/>
            </w:tcBorders>
          </w:tcPr>
          <w:p w:rsidR="00394978" w:rsidRPr="00A8076F" w:rsidRDefault="00394978" w:rsidP="004A57B1">
            <w:r w:rsidRPr="00A8076F">
              <w:t>0.1</w:t>
            </w:r>
            <w:r>
              <w:t>120</w:t>
            </w:r>
          </w:p>
          <w:p w:rsidR="00394978" w:rsidRPr="00A8076F" w:rsidRDefault="00394978" w:rsidP="004A57B1">
            <w:r>
              <w:t>(.019</w:t>
            </w:r>
            <w:r w:rsidRPr="00A8076F">
              <w:t>)***</w:t>
            </w:r>
          </w:p>
        </w:tc>
        <w:tc>
          <w:tcPr>
            <w:tcW w:w="1485" w:type="dxa"/>
            <w:tcBorders>
              <w:top w:val="single" w:sz="4" w:space="0" w:color="auto"/>
              <w:left w:val="nil"/>
              <w:bottom w:val="nil"/>
              <w:right w:val="nil"/>
            </w:tcBorders>
          </w:tcPr>
          <w:p w:rsidR="00394978" w:rsidRPr="00A8076F" w:rsidRDefault="00394978" w:rsidP="002101E9">
            <w:r>
              <w:t>0.1639</w:t>
            </w:r>
          </w:p>
          <w:p w:rsidR="00394978" w:rsidRPr="00A8076F" w:rsidRDefault="00394978" w:rsidP="002101E9">
            <w:r>
              <w:t>(.025</w:t>
            </w:r>
            <w:r w:rsidRPr="00A8076F">
              <w:t>)***</w:t>
            </w:r>
          </w:p>
        </w:tc>
      </w:tr>
      <w:tr w:rsidR="00394978" w:rsidRPr="00A8076F" w:rsidTr="00A33B20">
        <w:tc>
          <w:tcPr>
            <w:tcW w:w="3085" w:type="dxa"/>
            <w:tcBorders>
              <w:top w:val="nil"/>
              <w:left w:val="nil"/>
              <w:bottom w:val="nil"/>
              <w:right w:val="nil"/>
            </w:tcBorders>
          </w:tcPr>
          <w:p w:rsidR="00394978" w:rsidRPr="00A8076F" w:rsidRDefault="00394978" w:rsidP="004E222A">
            <w:pPr>
              <w:jc w:val="right"/>
            </w:pPr>
            <w:r w:rsidRPr="00A8076F">
              <w:t xml:space="preserve">A year or more workless </w:t>
            </w:r>
          </w:p>
        </w:tc>
        <w:tc>
          <w:tcPr>
            <w:tcW w:w="1485" w:type="dxa"/>
            <w:tcBorders>
              <w:top w:val="nil"/>
              <w:left w:val="nil"/>
              <w:bottom w:val="nil"/>
              <w:right w:val="nil"/>
            </w:tcBorders>
          </w:tcPr>
          <w:p w:rsidR="00394978" w:rsidRPr="00A8076F" w:rsidRDefault="00394978" w:rsidP="004A57B1">
            <w:r w:rsidRPr="00A8076F">
              <w:t>0.149</w:t>
            </w:r>
            <w:r>
              <w:t>0</w:t>
            </w:r>
          </w:p>
          <w:p w:rsidR="00394978" w:rsidRPr="00A8076F" w:rsidRDefault="00394978" w:rsidP="004A57B1">
            <w:r>
              <w:t>(.040</w:t>
            </w:r>
            <w:r w:rsidRPr="00A8076F">
              <w:t>)***</w:t>
            </w:r>
          </w:p>
        </w:tc>
        <w:tc>
          <w:tcPr>
            <w:tcW w:w="1485" w:type="dxa"/>
            <w:tcBorders>
              <w:top w:val="nil"/>
              <w:left w:val="nil"/>
              <w:bottom w:val="nil"/>
              <w:right w:val="nil"/>
            </w:tcBorders>
          </w:tcPr>
          <w:p w:rsidR="00394978" w:rsidRPr="00A8076F" w:rsidRDefault="00394978" w:rsidP="002101E9">
            <w:r>
              <w:t>0.0992</w:t>
            </w:r>
          </w:p>
          <w:p w:rsidR="00394978" w:rsidRPr="00A8076F" w:rsidRDefault="00394978" w:rsidP="002101E9">
            <w:r>
              <w:t>(.039</w:t>
            </w:r>
            <w:r w:rsidRPr="00A8076F">
              <w:t>)***</w:t>
            </w:r>
          </w:p>
        </w:tc>
        <w:tc>
          <w:tcPr>
            <w:tcW w:w="1485" w:type="dxa"/>
            <w:tcBorders>
              <w:top w:val="nil"/>
              <w:left w:val="nil"/>
              <w:bottom w:val="nil"/>
              <w:right w:val="nil"/>
            </w:tcBorders>
          </w:tcPr>
          <w:p w:rsidR="00394978" w:rsidRPr="00A8076F" w:rsidRDefault="00394978" w:rsidP="004A57B1">
            <w:r w:rsidRPr="00A8076F">
              <w:t>0.17</w:t>
            </w:r>
            <w:r>
              <w:t>18</w:t>
            </w:r>
          </w:p>
          <w:p w:rsidR="00394978" w:rsidRPr="00A8076F" w:rsidRDefault="00394978" w:rsidP="004A57B1">
            <w:r>
              <w:t>(.031</w:t>
            </w:r>
            <w:r w:rsidRPr="00A8076F">
              <w:t>)***</w:t>
            </w:r>
          </w:p>
        </w:tc>
        <w:tc>
          <w:tcPr>
            <w:tcW w:w="1485" w:type="dxa"/>
            <w:tcBorders>
              <w:top w:val="nil"/>
              <w:left w:val="nil"/>
              <w:bottom w:val="nil"/>
              <w:right w:val="nil"/>
            </w:tcBorders>
          </w:tcPr>
          <w:p w:rsidR="00394978" w:rsidRPr="00A8076F" w:rsidRDefault="00394978" w:rsidP="002101E9">
            <w:r>
              <w:t>0.2270</w:t>
            </w:r>
          </w:p>
          <w:p w:rsidR="00394978" w:rsidRPr="00A8076F" w:rsidRDefault="00394978" w:rsidP="002101E9">
            <w:r>
              <w:t>(.033</w:t>
            </w:r>
            <w:r w:rsidRPr="00A8076F">
              <w:t>)***</w:t>
            </w:r>
          </w:p>
        </w:tc>
      </w:tr>
      <w:tr w:rsidR="00394978" w:rsidRPr="00A8076F" w:rsidTr="00A33B20">
        <w:tc>
          <w:tcPr>
            <w:tcW w:w="3085" w:type="dxa"/>
            <w:tcBorders>
              <w:top w:val="nil"/>
              <w:left w:val="nil"/>
              <w:bottom w:val="single" w:sz="4" w:space="0" w:color="auto"/>
              <w:right w:val="nil"/>
            </w:tcBorders>
          </w:tcPr>
          <w:p w:rsidR="00394978" w:rsidRPr="00A8076F" w:rsidRDefault="00394978" w:rsidP="008E0977">
            <w:pPr>
              <w:jc w:val="right"/>
            </w:pPr>
            <w:r>
              <w:t>Not in employment or training (NET)</w:t>
            </w:r>
          </w:p>
        </w:tc>
        <w:tc>
          <w:tcPr>
            <w:tcW w:w="1485" w:type="dxa"/>
            <w:tcBorders>
              <w:top w:val="nil"/>
              <w:left w:val="nil"/>
              <w:bottom w:val="single" w:sz="4" w:space="0" w:color="auto"/>
              <w:right w:val="nil"/>
            </w:tcBorders>
          </w:tcPr>
          <w:p w:rsidR="00394978" w:rsidRPr="00A8076F" w:rsidRDefault="00394978" w:rsidP="004A57B1">
            <w:r w:rsidRPr="00A8076F">
              <w:t>0.003</w:t>
            </w:r>
            <w:r>
              <w:t>5</w:t>
            </w:r>
          </w:p>
          <w:p w:rsidR="00394978" w:rsidRPr="00A8076F" w:rsidRDefault="00394978" w:rsidP="004A57B1">
            <w:r>
              <w:t>(.014</w:t>
            </w:r>
            <w:r w:rsidRPr="00A8076F">
              <w:t>)</w:t>
            </w:r>
          </w:p>
        </w:tc>
        <w:tc>
          <w:tcPr>
            <w:tcW w:w="1485" w:type="dxa"/>
            <w:tcBorders>
              <w:top w:val="nil"/>
              <w:left w:val="nil"/>
              <w:bottom w:val="single" w:sz="4" w:space="0" w:color="auto"/>
              <w:right w:val="nil"/>
            </w:tcBorders>
          </w:tcPr>
          <w:p w:rsidR="00394978" w:rsidRPr="00A8076F" w:rsidRDefault="00394978" w:rsidP="002101E9">
            <w:r>
              <w:t>0.0289</w:t>
            </w:r>
          </w:p>
          <w:p w:rsidR="00394978" w:rsidRPr="00A8076F" w:rsidRDefault="00394978" w:rsidP="002101E9">
            <w:r>
              <w:t>(.019</w:t>
            </w:r>
            <w:r w:rsidRPr="00A8076F">
              <w:t>)</w:t>
            </w:r>
          </w:p>
        </w:tc>
        <w:tc>
          <w:tcPr>
            <w:tcW w:w="1485" w:type="dxa"/>
            <w:tcBorders>
              <w:top w:val="nil"/>
              <w:left w:val="nil"/>
              <w:bottom w:val="single" w:sz="4" w:space="0" w:color="auto"/>
              <w:right w:val="nil"/>
            </w:tcBorders>
          </w:tcPr>
          <w:p w:rsidR="00394978" w:rsidRPr="00A8076F" w:rsidRDefault="00394978" w:rsidP="004A57B1">
            <w:r w:rsidRPr="00A8076F">
              <w:t>0.0</w:t>
            </w:r>
            <w:r>
              <w:t>428</w:t>
            </w:r>
          </w:p>
          <w:p w:rsidR="00394978" w:rsidRPr="00A8076F" w:rsidRDefault="00394978" w:rsidP="004A57B1">
            <w:r>
              <w:t>(.017</w:t>
            </w:r>
            <w:r w:rsidRPr="00A8076F">
              <w:t>)**</w:t>
            </w:r>
          </w:p>
        </w:tc>
        <w:tc>
          <w:tcPr>
            <w:tcW w:w="1485" w:type="dxa"/>
            <w:tcBorders>
              <w:top w:val="nil"/>
              <w:left w:val="nil"/>
              <w:bottom w:val="single" w:sz="4" w:space="0" w:color="auto"/>
              <w:right w:val="nil"/>
            </w:tcBorders>
          </w:tcPr>
          <w:p w:rsidR="00394978" w:rsidRPr="00A8076F" w:rsidRDefault="00394978" w:rsidP="002101E9">
            <w:r>
              <w:t>0.0771</w:t>
            </w:r>
          </w:p>
          <w:p w:rsidR="00394978" w:rsidRPr="00A8076F" w:rsidRDefault="00394978" w:rsidP="002101E9">
            <w:r>
              <w:t>(.021</w:t>
            </w:r>
            <w:r w:rsidRPr="00A8076F">
              <w:t>)**</w:t>
            </w:r>
          </w:p>
        </w:tc>
      </w:tr>
      <w:tr w:rsidR="00394978" w:rsidRPr="00A8076F" w:rsidTr="00A33B20">
        <w:tc>
          <w:tcPr>
            <w:tcW w:w="3085" w:type="dxa"/>
            <w:tcBorders>
              <w:top w:val="single" w:sz="4" w:space="0" w:color="auto"/>
              <w:left w:val="nil"/>
              <w:bottom w:val="single" w:sz="4" w:space="0" w:color="auto"/>
              <w:right w:val="nil"/>
            </w:tcBorders>
          </w:tcPr>
          <w:p w:rsidR="00394978" w:rsidRPr="00A8076F" w:rsidRDefault="00394978" w:rsidP="004E222A">
            <w:pPr>
              <w:jc w:val="right"/>
            </w:pPr>
            <w:r w:rsidRPr="00A8076F">
              <w:t>N</w:t>
            </w:r>
          </w:p>
        </w:tc>
        <w:tc>
          <w:tcPr>
            <w:tcW w:w="1485" w:type="dxa"/>
            <w:tcBorders>
              <w:top w:val="single" w:sz="4" w:space="0" w:color="auto"/>
              <w:left w:val="nil"/>
              <w:bottom w:val="single" w:sz="4" w:space="0" w:color="auto"/>
              <w:right w:val="nil"/>
            </w:tcBorders>
          </w:tcPr>
          <w:p w:rsidR="00394978" w:rsidRPr="00A8076F" w:rsidRDefault="00394978" w:rsidP="004A57B1">
            <w:r w:rsidRPr="00A8076F">
              <w:t>4</w:t>
            </w:r>
            <w:r>
              <w:t>570</w:t>
            </w:r>
          </w:p>
        </w:tc>
        <w:tc>
          <w:tcPr>
            <w:tcW w:w="1485" w:type="dxa"/>
            <w:tcBorders>
              <w:top w:val="single" w:sz="4" w:space="0" w:color="auto"/>
              <w:left w:val="nil"/>
              <w:bottom w:val="single" w:sz="4" w:space="0" w:color="auto"/>
              <w:right w:val="nil"/>
            </w:tcBorders>
          </w:tcPr>
          <w:p w:rsidR="00394978" w:rsidRPr="00A8076F" w:rsidRDefault="00394978" w:rsidP="002101E9">
            <w:r>
              <w:t>4570</w:t>
            </w:r>
          </w:p>
        </w:tc>
        <w:tc>
          <w:tcPr>
            <w:tcW w:w="1485" w:type="dxa"/>
            <w:tcBorders>
              <w:top w:val="single" w:sz="4" w:space="0" w:color="auto"/>
              <w:left w:val="nil"/>
              <w:bottom w:val="single" w:sz="4" w:space="0" w:color="auto"/>
              <w:right w:val="nil"/>
            </w:tcBorders>
          </w:tcPr>
          <w:p w:rsidR="00394978" w:rsidRPr="00A8076F" w:rsidRDefault="00394978" w:rsidP="004A57B1">
            <w:r w:rsidRPr="00A8076F">
              <w:t>4</w:t>
            </w:r>
            <w:r>
              <w:t>331</w:t>
            </w:r>
          </w:p>
        </w:tc>
        <w:tc>
          <w:tcPr>
            <w:tcW w:w="1485" w:type="dxa"/>
            <w:tcBorders>
              <w:top w:val="single" w:sz="4" w:space="0" w:color="auto"/>
              <w:left w:val="nil"/>
              <w:bottom w:val="single" w:sz="4" w:space="0" w:color="auto"/>
              <w:right w:val="nil"/>
            </w:tcBorders>
          </w:tcPr>
          <w:p w:rsidR="00394978" w:rsidRPr="00A8076F" w:rsidRDefault="00394978" w:rsidP="002101E9">
            <w:r>
              <w:t>4331</w:t>
            </w:r>
          </w:p>
        </w:tc>
      </w:tr>
    </w:tbl>
    <w:p w:rsidR="001C1E13" w:rsidRPr="00A8076F" w:rsidRDefault="005805B0" w:rsidP="004E222A">
      <w:pPr>
        <w:rPr>
          <w:sz w:val="16"/>
          <w:szCs w:val="16"/>
        </w:rPr>
      </w:pPr>
      <w:proofErr w:type="gramStart"/>
      <w:r>
        <w:rPr>
          <w:sz w:val="16"/>
          <w:szCs w:val="16"/>
        </w:rPr>
        <w:t>All rows and columns from separate models.</w:t>
      </w:r>
      <w:proofErr w:type="gramEnd"/>
      <w:r>
        <w:rPr>
          <w:sz w:val="16"/>
          <w:szCs w:val="16"/>
        </w:rPr>
        <w:t xml:space="preserve"> </w:t>
      </w:r>
      <w:proofErr w:type="gramStart"/>
      <w:r w:rsidR="001C1E13" w:rsidRPr="00A8076F">
        <w:rPr>
          <w:sz w:val="16"/>
          <w:szCs w:val="16"/>
        </w:rPr>
        <w:t xml:space="preserve">Robust standard errors in </w:t>
      </w:r>
      <w:r w:rsidR="001C1E13">
        <w:rPr>
          <w:sz w:val="16"/>
          <w:szCs w:val="16"/>
        </w:rPr>
        <w:t>parenthesis.</w:t>
      </w:r>
      <w:proofErr w:type="gramEnd"/>
      <w:r w:rsidR="001C1E13">
        <w:rPr>
          <w:sz w:val="16"/>
          <w:szCs w:val="16"/>
        </w:rPr>
        <w:t xml:space="preserve"> * 90% confidence, </w:t>
      </w:r>
      <w:r w:rsidR="001C1E13" w:rsidRPr="00A8076F">
        <w:rPr>
          <w:sz w:val="16"/>
          <w:szCs w:val="16"/>
        </w:rPr>
        <w:t>** 95% confidence, *** 99% confidence.</w:t>
      </w:r>
      <w:r w:rsidR="001C1E13">
        <w:rPr>
          <w:sz w:val="16"/>
          <w:szCs w:val="16"/>
        </w:rPr>
        <w:t xml:space="preserve"> </w:t>
      </w:r>
    </w:p>
    <w:p w:rsidR="006C686C" w:rsidRDefault="006C686C" w:rsidP="007D0783">
      <w:pPr>
        <w:spacing w:after="200"/>
        <w:rPr>
          <w:b/>
        </w:rPr>
      </w:pPr>
    </w:p>
    <w:p w:rsidR="00AC2DE0" w:rsidRDefault="00AC2DE0" w:rsidP="00AC2DE0">
      <w:pPr>
        <w:spacing w:after="200" w:line="276" w:lineRule="auto"/>
        <w:rPr>
          <w:b/>
        </w:rPr>
      </w:pPr>
    </w:p>
    <w:p w:rsidR="00A6094C" w:rsidRDefault="00A6094C">
      <w:pPr>
        <w:spacing w:after="200" w:line="276" w:lineRule="auto"/>
        <w:rPr>
          <w:b/>
        </w:rPr>
      </w:pPr>
      <w:r>
        <w:rPr>
          <w:b/>
        </w:rPr>
        <w:br w:type="page"/>
      </w:r>
    </w:p>
    <w:p w:rsidR="007D0783" w:rsidRPr="00AC2DE0" w:rsidRDefault="007D0783" w:rsidP="00AC2DE0">
      <w:pPr>
        <w:spacing w:after="200" w:line="276" w:lineRule="auto"/>
        <w:rPr>
          <w:b/>
        </w:rPr>
      </w:pPr>
      <w:r w:rsidRPr="00A8076F">
        <w:rPr>
          <w:b/>
        </w:rPr>
        <w:lastRenderedPageBreak/>
        <w:t xml:space="preserve">Table </w:t>
      </w:r>
      <w:r w:rsidR="00A6094C">
        <w:rPr>
          <w:b/>
        </w:rPr>
        <w:t>5</w:t>
      </w:r>
      <w:r w:rsidRPr="00A8076F">
        <w:rPr>
          <w:b/>
        </w:rPr>
        <w:t xml:space="preserve">: </w:t>
      </w:r>
      <w:r w:rsidR="001E041A">
        <w:t xml:space="preserve">Parameter estimates of intergenerational worklessness </w:t>
      </w:r>
      <w:r>
        <w:t xml:space="preserve">for the BCS </w:t>
      </w:r>
      <w:r w:rsidR="001E041A">
        <w:t>assessing the impact of local labour market conditions experienced by sons</w:t>
      </w:r>
      <w:r w:rsidR="00AC2DE0">
        <w:t xml:space="preserve"> from age 23-29</w:t>
      </w:r>
    </w:p>
    <w:tbl>
      <w:tblPr>
        <w:tblW w:w="8689" w:type="dxa"/>
        <w:tblLook w:val="04A0"/>
      </w:tblPr>
      <w:tblGrid>
        <w:gridCol w:w="5211"/>
        <w:gridCol w:w="1856"/>
        <w:gridCol w:w="1622"/>
      </w:tblGrid>
      <w:tr w:rsidR="007D0783" w:rsidRPr="00A8076F" w:rsidTr="00634FCE">
        <w:tc>
          <w:tcPr>
            <w:tcW w:w="5211" w:type="dxa"/>
            <w:tcBorders>
              <w:top w:val="single" w:sz="4" w:space="0" w:color="auto"/>
              <w:left w:val="nil"/>
              <w:bottom w:val="single" w:sz="4" w:space="0" w:color="auto"/>
              <w:right w:val="nil"/>
            </w:tcBorders>
          </w:tcPr>
          <w:p w:rsidR="007D0783" w:rsidRPr="00A8076F" w:rsidRDefault="007D0783" w:rsidP="001E2671">
            <w:pPr>
              <w:jc w:val="right"/>
            </w:pPr>
            <w:r w:rsidRPr="00A8076F">
              <w:t>1</w:t>
            </w:r>
            <w:r w:rsidRPr="00A8076F">
              <w:rPr>
                <w:vertAlign w:val="superscript"/>
              </w:rPr>
              <w:t>st</w:t>
            </w:r>
            <w:r w:rsidRPr="00A8076F">
              <w:t xml:space="preserve"> generation measure</w:t>
            </w:r>
          </w:p>
        </w:tc>
        <w:tc>
          <w:tcPr>
            <w:tcW w:w="3478" w:type="dxa"/>
            <w:gridSpan w:val="2"/>
            <w:tcBorders>
              <w:top w:val="single" w:sz="4" w:space="0" w:color="auto"/>
              <w:left w:val="nil"/>
              <w:bottom w:val="single" w:sz="4" w:space="0" w:color="auto"/>
              <w:right w:val="nil"/>
            </w:tcBorders>
          </w:tcPr>
          <w:p w:rsidR="007D0783" w:rsidRPr="00A8076F" w:rsidRDefault="007D0783" w:rsidP="002101E9">
            <w:pPr>
              <w:rPr>
                <w:b/>
              </w:rPr>
            </w:pPr>
            <w:r>
              <w:t>Not in work</w:t>
            </w:r>
            <w:r w:rsidRPr="00A8076F">
              <w:t xml:space="preserve"> </w:t>
            </w:r>
            <w:r>
              <w:t xml:space="preserve">when son is </w:t>
            </w:r>
            <w:r w:rsidRPr="00A8076F">
              <w:t>10</w:t>
            </w:r>
            <w:r>
              <w:t xml:space="preserve"> &amp; </w:t>
            </w:r>
            <w:r w:rsidRPr="00A8076F">
              <w:t>16</w:t>
            </w:r>
          </w:p>
        </w:tc>
      </w:tr>
      <w:tr w:rsidR="007D0783" w:rsidRPr="00A8076F" w:rsidTr="00634FCE">
        <w:tc>
          <w:tcPr>
            <w:tcW w:w="5211" w:type="dxa"/>
            <w:tcBorders>
              <w:top w:val="single" w:sz="4" w:space="0" w:color="auto"/>
              <w:left w:val="nil"/>
              <w:bottom w:val="single" w:sz="4" w:space="0" w:color="auto"/>
              <w:right w:val="nil"/>
            </w:tcBorders>
          </w:tcPr>
          <w:p w:rsidR="007D0783" w:rsidRPr="00A8076F" w:rsidRDefault="007D0783" w:rsidP="001E2671">
            <w:pPr>
              <w:jc w:val="right"/>
            </w:pPr>
            <w:r w:rsidRPr="00A8076F">
              <w:t>Model type</w:t>
            </w:r>
          </w:p>
        </w:tc>
        <w:tc>
          <w:tcPr>
            <w:tcW w:w="1856" w:type="dxa"/>
            <w:tcBorders>
              <w:top w:val="single" w:sz="4" w:space="0" w:color="auto"/>
              <w:left w:val="nil"/>
              <w:bottom w:val="single" w:sz="4" w:space="0" w:color="auto"/>
              <w:right w:val="nil"/>
            </w:tcBorders>
          </w:tcPr>
          <w:p w:rsidR="007D0783" w:rsidRPr="00A8076F" w:rsidRDefault="007D0783" w:rsidP="002101E9">
            <w:r w:rsidRPr="00A8076F">
              <w:t>Intergenerational correlation (</w:t>
            </w:r>
            <m:oMath>
              <m:acc>
                <m:accPr>
                  <m:ctrlPr>
                    <w:rPr>
                      <w:rFonts w:ascii="Cambria Math" w:hAnsi="Cambria Math"/>
                      <w:i/>
                    </w:rPr>
                  </m:ctrlPr>
                </m:accPr>
                <m:e>
                  <m:r>
                    <w:rPr>
                      <w:rFonts w:ascii="Cambria Math" w:hAnsi="Cambria Math"/>
                    </w:rPr>
                    <m:t>β</m:t>
                  </m:r>
                </m:e>
              </m:acc>
            </m:oMath>
            <w:r w:rsidRPr="00A8076F">
              <w:t>)</w:t>
            </w:r>
          </w:p>
        </w:tc>
        <w:tc>
          <w:tcPr>
            <w:tcW w:w="1622" w:type="dxa"/>
            <w:tcBorders>
              <w:top w:val="single" w:sz="4" w:space="0" w:color="auto"/>
              <w:left w:val="nil"/>
              <w:bottom w:val="single" w:sz="4" w:space="0" w:color="auto"/>
              <w:right w:val="nil"/>
            </w:tcBorders>
          </w:tcPr>
          <w:p w:rsidR="007D0783" w:rsidRPr="00A8076F" w:rsidRDefault="007D0783" w:rsidP="002101E9">
            <w:r w:rsidRPr="00A8076F">
              <w:t>Interaction (</w:t>
            </w:r>
            <m:oMath>
              <m:acc>
                <m:accPr>
                  <m:ctrlPr>
                    <w:rPr>
                      <w:rFonts w:ascii="Cambria Math" w:hAnsi="Cambria Math"/>
                      <w:i/>
                    </w:rPr>
                  </m:ctrlPr>
                </m:accPr>
                <m:e>
                  <m:r>
                    <w:rPr>
                      <w:rFonts w:ascii="Cambria Math" w:hAnsi="Cambria Math"/>
                    </w:rPr>
                    <m:t>θ</m:t>
                  </m:r>
                </m:e>
              </m:acc>
            </m:oMath>
            <w:r w:rsidRPr="00A8076F">
              <w:t>)</w:t>
            </w:r>
          </w:p>
        </w:tc>
      </w:tr>
      <w:tr w:rsidR="007D0783" w:rsidRPr="00A8076F" w:rsidTr="00634FCE">
        <w:tc>
          <w:tcPr>
            <w:tcW w:w="5211" w:type="dxa"/>
            <w:tcBorders>
              <w:top w:val="nil"/>
              <w:left w:val="nil"/>
              <w:bottom w:val="single" w:sz="4" w:space="0" w:color="auto"/>
              <w:right w:val="nil"/>
            </w:tcBorders>
          </w:tcPr>
          <w:p w:rsidR="007D0783" w:rsidRPr="00A8076F" w:rsidRDefault="007D0783" w:rsidP="002101E9">
            <w:pPr>
              <w:jc w:val="right"/>
            </w:pPr>
            <w:r w:rsidRPr="00A33B20">
              <w:rPr>
                <w:b/>
              </w:rPr>
              <w:t>OLS model</w:t>
            </w:r>
            <w:r>
              <w:t xml:space="preserve">: restricted BCS sample - </w:t>
            </w:r>
            <w:r w:rsidRPr="00A8076F">
              <w:t>obs</w:t>
            </w:r>
            <w:r>
              <w:t>erved LEA and county level data</w:t>
            </w:r>
          </w:p>
        </w:tc>
        <w:tc>
          <w:tcPr>
            <w:tcW w:w="1856" w:type="dxa"/>
            <w:tcBorders>
              <w:top w:val="nil"/>
              <w:left w:val="nil"/>
              <w:bottom w:val="single" w:sz="4" w:space="0" w:color="auto"/>
              <w:right w:val="nil"/>
            </w:tcBorders>
          </w:tcPr>
          <w:p w:rsidR="007D0783" w:rsidRPr="00A8076F" w:rsidRDefault="00AC2DE0" w:rsidP="002101E9">
            <w:r>
              <w:t>0.1450</w:t>
            </w:r>
          </w:p>
          <w:p w:rsidR="007D0783" w:rsidRPr="00A8076F" w:rsidRDefault="00AC2DE0" w:rsidP="002101E9">
            <w:r>
              <w:t>(.026</w:t>
            </w:r>
            <w:r w:rsidR="007D0783" w:rsidRPr="00A8076F">
              <w:t>)***</w:t>
            </w:r>
          </w:p>
        </w:tc>
        <w:tc>
          <w:tcPr>
            <w:tcW w:w="1622" w:type="dxa"/>
            <w:tcBorders>
              <w:top w:val="nil"/>
              <w:left w:val="nil"/>
              <w:bottom w:val="single" w:sz="4" w:space="0" w:color="auto"/>
              <w:right w:val="nil"/>
            </w:tcBorders>
          </w:tcPr>
          <w:p w:rsidR="007D0783" w:rsidRPr="00A8076F" w:rsidRDefault="007D0783" w:rsidP="002101E9"/>
        </w:tc>
      </w:tr>
      <w:tr w:rsidR="00634FCE" w:rsidRPr="00A8076F" w:rsidTr="00634FCE">
        <w:tc>
          <w:tcPr>
            <w:tcW w:w="5211" w:type="dxa"/>
            <w:tcBorders>
              <w:top w:val="single" w:sz="4" w:space="0" w:color="auto"/>
              <w:left w:val="nil"/>
              <w:bottom w:val="nil"/>
              <w:right w:val="nil"/>
            </w:tcBorders>
          </w:tcPr>
          <w:p w:rsidR="00634FCE" w:rsidRPr="00A8076F" w:rsidRDefault="00634FCE" w:rsidP="002101E9">
            <w:pPr>
              <w:jc w:val="right"/>
            </w:pPr>
            <w:r w:rsidRPr="00A33B20">
              <w:rPr>
                <w:b/>
              </w:rPr>
              <w:t>Fixed effects model</w:t>
            </w:r>
            <w:r>
              <w:rPr>
                <w:b/>
              </w:rPr>
              <w:t>s</w:t>
            </w:r>
            <w:r>
              <w:t>: w</w:t>
            </w:r>
            <w:r w:rsidRPr="00A8076F">
              <w:t xml:space="preserve">ithin </w:t>
            </w:r>
            <w:r>
              <w:t>LEA</w:t>
            </w:r>
            <w:r w:rsidRPr="00A8076F">
              <w:t xml:space="preserve"> (</w:t>
            </w:r>
            <m:oMath>
              <m:sSub>
                <m:sSubPr>
                  <m:ctrlPr>
                    <w:rPr>
                      <w:rFonts w:ascii="Cambria Math" w:hAnsi="Cambria Math"/>
                      <w:i/>
                    </w:rPr>
                  </m:ctrlPr>
                </m:sSubPr>
                <m:e>
                  <m:r>
                    <w:rPr>
                      <w:rFonts w:ascii="Cambria Math" w:hAnsi="Cambria Math"/>
                    </w:rPr>
                    <m:t>δ</m:t>
                  </m:r>
                </m:e>
                <m:sub>
                  <m:r>
                    <w:rPr>
                      <w:rFonts w:ascii="Cambria Math" w:hAnsi="Cambria Math"/>
                    </w:rPr>
                    <m:t>r</m:t>
                  </m:r>
                </m:sub>
              </m:sSub>
            </m:oMath>
            <w:r w:rsidRPr="00A8076F">
              <w:t>)</w:t>
            </w:r>
          </w:p>
        </w:tc>
        <w:tc>
          <w:tcPr>
            <w:tcW w:w="1856" w:type="dxa"/>
            <w:tcBorders>
              <w:top w:val="single" w:sz="4" w:space="0" w:color="auto"/>
              <w:left w:val="nil"/>
              <w:bottom w:val="nil"/>
              <w:right w:val="nil"/>
            </w:tcBorders>
          </w:tcPr>
          <w:p w:rsidR="00634FCE" w:rsidRPr="00A8076F" w:rsidRDefault="00AC2DE0" w:rsidP="002101E9">
            <w:r>
              <w:t>0.1393</w:t>
            </w:r>
          </w:p>
          <w:p w:rsidR="00634FCE" w:rsidRPr="00A8076F" w:rsidRDefault="00AC2DE0" w:rsidP="002101E9">
            <w:r>
              <w:t>(.026</w:t>
            </w:r>
            <w:r w:rsidR="00634FCE" w:rsidRPr="00A8076F">
              <w:t>)***</w:t>
            </w:r>
          </w:p>
        </w:tc>
        <w:tc>
          <w:tcPr>
            <w:tcW w:w="1622" w:type="dxa"/>
            <w:tcBorders>
              <w:top w:val="single" w:sz="4" w:space="0" w:color="auto"/>
              <w:left w:val="nil"/>
              <w:bottom w:val="nil"/>
              <w:right w:val="nil"/>
            </w:tcBorders>
          </w:tcPr>
          <w:p w:rsidR="00634FCE" w:rsidRPr="00A8076F" w:rsidRDefault="00634FCE" w:rsidP="002101E9"/>
        </w:tc>
      </w:tr>
      <w:tr w:rsidR="00634FCE" w:rsidRPr="00A8076F" w:rsidTr="00634FCE">
        <w:tc>
          <w:tcPr>
            <w:tcW w:w="5211" w:type="dxa"/>
            <w:tcBorders>
              <w:top w:val="nil"/>
              <w:left w:val="nil"/>
              <w:bottom w:val="single" w:sz="4" w:space="0" w:color="auto"/>
              <w:right w:val="nil"/>
            </w:tcBorders>
          </w:tcPr>
          <w:p w:rsidR="00634FCE" w:rsidRPr="00A8076F" w:rsidRDefault="00634FCE" w:rsidP="002101E9">
            <w:pPr>
              <w:jc w:val="right"/>
            </w:pPr>
            <w:r w:rsidRPr="00A33B20">
              <w:rPr>
                <w:b/>
              </w:rPr>
              <w:t>Fixed effects model</w:t>
            </w:r>
            <w:r>
              <w:rPr>
                <w:b/>
              </w:rPr>
              <w:t>s</w:t>
            </w:r>
            <w:r>
              <w:t>: w</w:t>
            </w:r>
            <w:r w:rsidRPr="00A8076F">
              <w:t xml:space="preserve">ithin </w:t>
            </w:r>
            <w:r>
              <w:t>county</w:t>
            </w:r>
            <w:r w:rsidRPr="00A8076F">
              <w:t xml:space="preserve"> (</w:t>
            </w:r>
            <m:oMath>
              <m:sSub>
                <m:sSubPr>
                  <m:ctrlPr>
                    <w:rPr>
                      <w:rFonts w:ascii="Cambria Math" w:hAnsi="Cambria Math"/>
                      <w:i/>
                    </w:rPr>
                  </m:ctrlPr>
                </m:sSubPr>
                <m:e>
                  <m:r>
                    <w:rPr>
                      <w:rFonts w:ascii="Cambria Math" w:hAnsi="Cambria Math"/>
                    </w:rPr>
                    <m:t>δ</m:t>
                  </m:r>
                </m:e>
                <m:sub>
                  <m:r>
                    <w:rPr>
                      <w:rFonts w:ascii="Cambria Math" w:hAnsi="Cambria Math"/>
                    </w:rPr>
                    <m:t>r</m:t>
                  </m:r>
                </m:sub>
              </m:sSub>
            </m:oMath>
            <w:r w:rsidRPr="00A8076F">
              <w:t>)</w:t>
            </w:r>
          </w:p>
        </w:tc>
        <w:tc>
          <w:tcPr>
            <w:tcW w:w="1856" w:type="dxa"/>
            <w:tcBorders>
              <w:top w:val="nil"/>
              <w:left w:val="nil"/>
              <w:bottom w:val="single" w:sz="4" w:space="0" w:color="auto"/>
              <w:right w:val="nil"/>
            </w:tcBorders>
          </w:tcPr>
          <w:p w:rsidR="00634FCE" w:rsidRPr="00A8076F" w:rsidRDefault="00AC2DE0" w:rsidP="002101E9">
            <w:r>
              <w:t>0.1360</w:t>
            </w:r>
          </w:p>
          <w:p w:rsidR="00634FCE" w:rsidRPr="00A8076F" w:rsidRDefault="00AC2DE0" w:rsidP="002101E9">
            <w:r>
              <w:t>(.026</w:t>
            </w:r>
            <w:r w:rsidR="00634FCE" w:rsidRPr="00A8076F">
              <w:t>)***</w:t>
            </w:r>
          </w:p>
        </w:tc>
        <w:tc>
          <w:tcPr>
            <w:tcW w:w="1622" w:type="dxa"/>
            <w:tcBorders>
              <w:top w:val="nil"/>
              <w:left w:val="nil"/>
              <w:bottom w:val="single" w:sz="4" w:space="0" w:color="auto"/>
              <w:right w:val="nil"/>
            </w:tcBorders>
          </w:tcPr>
          <w:p w:rsidR="00634FCE" w:rsidRPr="00A8076F" w:rsidRDefault="00634FCE" w:rsidP="002101E9"/>
        </w:tc>
      </w:tr>
      <w:tr w:rsidR="00634FCE" w:rsidRPr="00A8076F" w:rsidTr="00634FCE">
        <w:tc>
          <w:tcPr>
            <w:tcW w:w="5211" w:type="dxa"/>
            <w:tcBorders>
              <w:top w:val="single" w:sz="4" w:space="0" w:color="auto"/>
              <w:left w:val="nil"/>
              <w:right w:val="nil"/>
            </w:tcBorders>
          </w:tcPr>
          <w:p w:rsidR="00634FCE" w:rsidRPr="00A33B20" w:rsidRDefault="00634FCE" w:rsidP="002101E9">
            <w:pPr>
              <w:jc w:val="right"/>
              <w:rPr>
                <w:b/>
              </w:rPr>
            </w:pPr>
            <w:r w:rsidRPr="00A33B20">
              <w:rPr>
                <w:b/>
              </w:rPr>
              <w:t>Interaction model</w:t>
            </w:r>
            <w:r>
              <w:t>:</w:t>
            </w:r>
            <w:r w:rsidRPr="00A8076F">
              <w:t xml:space="preserve"> </w:t>
            </w:r>
            <w:r>
              <w:t>c</w:t>
            </w:r>
            <w:r w:rsidRPr="00A8076F">
              <w:t>ontrolling for county level unemployment (</w:t>
            </w:r>
            <m:oMath>
              <m:sSub>
                <m:sSubPr>
                  <m:ctrlPr>
                    <w:rPr>
                      <w:rFonts w:ascii="Cambria Math" w:hAnsi="Cambria Math"/>
                      <w:i/>
                    </w:rPr>
                  </m:ctrlPr>
                </m:sSubPr>
                <m:e>
                  <m:r>
                    <w:rPr>
                      <w:rFonts w:ascii="Cambria Math" w:hAnsi="Cambria Math"/>
                    </w:rPr>
                    <m:t>u</m:t>
                  </m:r>
                </m:e>
                <m:sub>
                  <m:r>
                    <w:rPr>
                      <w:rFonts w:ascii="Cambria Math" w:hAnsi="Cambria Math"/>
                    </w:rPr>
                    <m:t>rt</m:t>
                  </m:r>
                </m:sub>
              </m:sSub>
            </m:oMath>
            <w:r w:rsidRPr="00A8076F">
              <w:t>)</w:t>
            </w:r>
          </w:p>
        </w:tc>
        <w:tc>
          <w:tcPr>
            <w:tcW w:w="1856" w:type="dxa"/>
            <w:tcBorders>
              <w:top w:val="single" w:sz="4" w:space="0" w:color="auto"/>
              <w:left w:val="nil"/>
              <w:right w:val="nil"/>
            </w:tcBorders>
          </w:tcPr>
          <w:p w:rsidR="00634FCE" w:rsidRPr="00A8076F" w:rsidRDefault="00AC2DE0" w:rsidP="002101E9">
            <w:r>
              <w:t>0.1419</w:t>
            </w:r>
          </w:p>
          <w:p w:rsidR="00634FCE" w:rsidRPr="00A8076F" w:rsidRDefault="00AC2DE0" w:rsidP="002101E9">
            <w:r>
              <w:t>(.026</w:t>
            </w:r>
            <w:r w:rsidR="00634FCE" w:rsidRPr="00A8076F">
              <w:t>)***</w:t>
            </w:r>
          </w:p>
        </w:tc>
        <w:tc>
          <w:tcPr>
            <w:tcW w:w="1622" w:type="dxa"/>
            <w:tcBorders>
              <w:top w:val="single" w:sz="4" w:space="0" w:color="auto"/>
              <w:left w:val="nil"/>
              <w:right w:val="nil"/>
            </w:tcBorders>
          </w:tcPr>
          <w:p w:rsidR="00634FCE" w:rsidRPr="00A8076F" w:rsidRDefault="00634FCE" w:rsidP="002101E9"/>
        </w:tc>
      </w:tr>
      <w:tr w:rsidR="00634FCE" w:rsidRPr="00A8076F" w:rsidTr="00634FCE">
        <w:tc>
          <w:tcPr>
            <w:tcW w:w="5211" w:type="dxa"/>
            <w:tcBorders>
              <w:left w:val="nil"/>
              <w:bottom w:val="single" w:sz="4" w:space="0" w:color="auto"/>
              <w:right w:val="nil"/>
            </w:tcBorders>
          </w:tcPr>
          <w:p w:rsidR="00634FCE" w:rsidRPr="00A8076F" w:rsidRDefault="00634FCE" w:rsidP="002101E9">
            <w:pPr>
              <w:jc w:val="right"/>
            </w:pPr>
            <w:r w:rsidRPr="00A33B20">
              <w:rPr>
                <w:b/>
              </w:rPr>
              <w:t>Interaction model</w:t>
            </w:r>
            <w:r>
              <w:t>:</w:t>
            </w:r>
            <w:r w:rsidRPr="00A8076F">
              <w:t xml:space="preserve"> </w:t>
            </w:r>
            <w:r>
              <w:t>c</w:t>
            </w:r>
            <w:r w:rsidRPr="00A8076F">
              <w:t>ontrolling for county level unemployment (</w:t>
            </w:r>
            <m:oMath>
              <m:sSub>
                <m:sSubPr>
                  <m:ctrlPr>
                    <w:rPr>
                      <w:rFonts w:ascii="Cambria Math" w:hAnsi="Cambria Math"/>
                      <w:i/>
                    </w:rPr>
                  </m:ctrlPr>
                </m:sSubPr>
                <m:e>
                  <m:r>
                    <w:rPr>
                      <w:rFonts w:ascii="Cambria Math" w:hAnsi="Cambria Math"/>
                    </w:rPr>
                    <m:t>u</m:t>
                  </m:r>
                </m:e>
                <m:sub>
                  <m:r>
                    <w:rPr>
                      <w:rFonts w:ascii="Cambria Math" w:hAnsi="Cambria Math"/>
                    </w:rPr>
                    <m:t>rt</m:t>
                  </m:r>
                </m:sub>
              </m:sSub>
            </m:oMath>
            <w:r w:rsidRPr="00A8076F">
              <w:t>)</w:t>
            </w:r>
            <w:r>
              <w:t xml:space="preserve"> and an interaction (</w:t>
            </w:r>
            <m:oMath>
              <m:sSubSup>
                <m:sSubSupPr>
                  <m:ctrlPr>
                    <w:rPr>
                      <w:rFonts w:ascii="Cambria Math" w:hAnsi="Cambria Math"/>
                      <w:i/>
                    </w:rPr>
                  </m:ctrlPr>
                </m:sSubSupPr>
                <m:e>
                  <m:r>
                    <w:rPr>
                      <w:rFonts w:ascii="Cambria Math" w:hAnsi="Cambria Math"/>
                    </w:rPr>
                    <m:t>w</m:t>
                  </m:r>
                </m:e>
                <m:sub>
                  <m:r>
                    <w:rPr>
                      <w:rFonts w:ascii="Cambria Math" w:hAnsi="Cambria Math"/>
                    </w:rPr>
                    <m:t>ir</m:t>
                  </m:r>
                </m:sub>
                <m:sup>
                  <m:r>
                    <w:rPr>
                      <w:rFonts w:ascii="Cambria Math" w:hAnsi="Cambria Math"/>
                    </w:rPr>
                    <m:t>f</m:t>
                  </m:r>
                </m:sup>
              </m:sSub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rt</m:t>
                  </m:r>
                </m:sub>
              </m:sSub>
            </m:oMath>
            <w:r>
              <w:t>)</w:t>
            </w:r>
          </w:p>
        </w:tc>
        <w:tc>
          <w:tcPr>
            <w:tcW w:w="1856" w:type="dxa"/>
            <w:tcBorders>
              <w:left w:val="nil"/>
              <w:bottom w:val="single" w:sz="4" w:space="0" w:color="auto"/>
              <w:right w:val="nil"/>
            </w:tcBorders>
          </w:tcPr>
          <w:p w:rsidR="00634FCE" w:rsidRPr="00A8076F" w:rsidRDefault="00AC2DE0" w:rsidP="002101E9">
            <w:r>
              <w:t>0.1270</w:t>
            </w:r>
          </w:p>
          <w:p w:rsidR="00634FCE" w:rsidRPr="00A8076F" w:rsidRDefault="00AC2DE0" w:rsidP="002101E9">
            <w:r>
              <w:t>(.024</w:t>
            </w:r>
            <w:r w:rsidR="00634FCE" w:rsidRPr="00A8076F">
              <w:t>)***</w:t>
            </w:r>
          </w:p>
        </w:tc>
        <w:tc>
          <w:tcPr>
            <w:tcW w:w="1622" w:type="dxa"/>
            <w:tcBorders>
              <w:left w:val="nil"/>
              <w:bottom w:val="single" w:sz="4" w:space="0" w:color="auto"/>
              <w:right w:val="nil"/>
            </w:tcBorders>
          </w:tcPr>
          <w:p w:rsidR="00634FCE" w:rsidRPr="00A8076F" w:rsidRDefault="00AC2DE0" w:rsidP="002101E9">
            <w:r>
              <w:t>0.0343</w:t>
            </w:r>
          </w:p>
          <w:p w:rsidR="00634FCE" w:rsidRPr="00A8076F" w:rsidRDefault="00AC2DE0" w:rsidP="00AC2DE0">
            <w:r>
              <w:t>(.011</w:t>
            </w:r>
            <w:r w:rsidR="00634FCE" w:rsidRPr="00A8076F">
              <w:t>)***</w:t>
            </w:r>
          </w:p>
        </w:tc>
      </w:tr>
      <w:tr w:rsidR="00634FCE" w:rsidRPr="00A8076F" w:rsidTr="00634FCE">
        <w:tc>
          <w:tcPr>
            <w:tcW w:w="5211" w:type="dxa"/>
            <w:tcBorders>
              <w:top w:val="single" w:sz="4" w:space="0" w:color="auto"/>
              <w:left w:val="nil"/>
              <w:bottom w:val="single" w:sz="4" w:space="0" w:color="auto"/>
              <w:right w:val="nil"/>
            </w:tcBorders>
          </w:tcPr>
          <w:p w:rsidR="00634FCE" w:rsidRPr="00A8076F" w:rsidRDefault="00634FCE" w:rsidP="001E2671">
            <w:pPr>
              <w:jc w:val="right"/>
            </w:pPr>
            <w:r w:rsidRPr="00A8076F">
              <w:t>N</w:t>
            </w:r>
          </w:p>
        </w:tc>
        <w:tc>
          <w:tcPr>
            <w:tcW w:w="1856" w:type="dxa"/>
            <w:tcBorders>
              <w:top w:val="single" w:sz="4" w:space="0" w:color="auto"/>
              <w:left w:val="nil"/>
              <w:bottom w:val="single" w:sz="4" w:space="0" w:color="auto"/>
              <w:right w:val="nil"/>
            </w:tcBorders>
          </w:tcPr>
          <w:p w:rsidR="00634FCE" w:rsidRPr="00A8076F" w:rsidRDefault="00634FCE" w:rsidP="002101E9">
            <w:r w:rsidRPr="00A8076F">
              <w:t>3</w:t>
            </w:r>
            <w:r w:rsidR="00AC2DE0">
              <w:t>416</w:t>
            </w:r>
          </w:p>
        </w:tc>
        <w:tc>
          <w:tcPr>
            <w:tcW w:w="1622" w:type="dxa"/>
            <w:tcBorders>
              <w:top w:val="single" w:sz="4" w:space="0" w:color="auto"/>
              <w:left w:val="nil"/>
              <w:bottom w:val="single" w:sz="4" w:space="0" w:color="auto"/>
              <w:right w:val="nil"/>
            </w:tcBorders>
          </w:tcPr>
          <w:p w:rsidR="00634FCE" w:rsidRPr="00A8076F" w:rsidRDefault="00634FCE" w:rsidP="002101E9"/>
        </w:tc>
      </w:tr>
    </w:tbl>
    <w:p w:rsidR="007D0783" w:rsidRPr="00A8076F" w:rsidRDefault="007D0783" w:rsidP="007D0783">
      <w:pPr>
        <w:jc w:val="both"/>
      </w:pPr>
      <w:r>
        <w:rPr>
          <w:sz w:val="16"/>
          <w:szCs w:val="16"/>
        </w:rPr>
        <w:t xml:space="preserve">All rows from separate models. </w:t>
      </w:r>
      <w:proofErr w:type="gramStart"/>
      <w:r>
        <w:rPr>
          <w:sz w:val="16"/>
          <w:szCs w:val="16"/>
        </w:rPr>
        <w:t xml:space="preserve">Robust or clustered standard errors at the region level for the FE model and the individual level for interaction model * 90% confidence, </w:t>
      </w:r>
      <w:r w:rsidRPr="00A8076F">
        <w:rPr>
          <w:sz w:val="16"/>
          <w:szCs w:val="16"/>
        </w:rPr>
        <w:t>** 95% confidence, *** 99% confidence.</w:t>
      </w:r>
      <w:proofErr w:type="gramEnd"/>
    </w:p>
    <w:p w:rsidR="006646DF" w:rsidRPr="006646DF" w:rsidRDefault="006646DF" w:rsidP="006646DF">
      <w:pPr>
        <w:rPr>
          <w:b/>
        </w:rPr>
      </w:pPr>
    </w:p>
    <w:p w:rsidR="001C1E13" w:rsidRDefault="001C1E13">
      <w:pPr>
        <w:spacing w:after="200" w:line="276" w:lineRule="auto"/>
      </w:pPr>
      <w:r>
        <w:br w:type="page"/>
      </w:r>
    </w:p>
    <w:p w:rsidR="001C1E13" w:rsidRPr="00A8076F" w:rsidRDefault="001C1E13" w:rsidP="001C1E13">
      <w:r w:rsidRPr="00A8076F">
        <w:rPr>
          <w:b/>
        </w:rPr>
        <w:lastRenderedPageBreak/>
        <w:t xml:space="preserve">Figure </w:t>
      </w:r>
      <w:r>
        <w:rPr>
          <w:b/>
        </w:rPr>
        <w:t>1</w:t>
      </w:r>
      <w:r w:rsidRPr="00A8076F">
        <w:rPr>
          <w:b/>
        </w:rPr>
        <w:t xml:space="preserve">: </w:t>
      </w:r>
      <w:r w:rsidR="001E041A" w:rsidRPr="001E041A">
        <w:t>Quas</w:t>
      </w:r>
      <w:r w:rsidR="001E041A">
        <w:t>i-</w:t>
      </w:r>
      <w:r w:rsidR="001E041A" w:rsidRPr="001E041A">
        <w:t>cohort analysis of a</w:t>
      </w:r>
      <w:r>
        <w:t>ge-workless profiles</w:t>
      </w:r>
      <w:r w:rsidR="001E2671">
        <w:t xml:space="preserve"> for the Labour Force Survey</w:t>
      </w:r>
      <w:r>
        <w:t xml:space="preserve"> </w:t>
      </w:r>
      <w:r w:rsidR="001E041A">
        <w:t>assessing</w:t>
      </w:r>
      <w:r>
        <w:t xml:space="preserve"> the average proportion of time </w:t>
      </w:r>
      <w:r w:rsidR="001E041A">
        <w:t>spent w</w:t>
      </w:r>
      <w:r>
        <w:t xml:space="preserve">orkless by education level </w:t>
      </w:r>
      <w:r w:rsidR="002101E9">
        <w:rPr>
          <w:noProof/>
        </w:rPr>
        <w:drawing>
          <wp:inline distT="0" distB="0" distL="0" distR="0">
            <wp:extent cx="5270831" cy="3828475"/>
            <wp:effectExtent l="19050" t="0" r="60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2768" cy="3829882"/>
                    </a:xfrm>
                    <a:prstGeom prst="rect">
                      <a:avLst/>
                    </a:prstGeom>
                    <a:noFill/>
                    <a:ln w="9525">
                      <a:noFill/>
                      <a:miter lim="800000"/>
                      <a:headEnd/>
                      <a:tailEnd/>
                    </a:ln>
                  </pic:spPr>
                </pic:pic>
              </a:graphicData>
            </a:graphic>
          </wp:inline>
        </w:drawing>
      </w:r>
    </w:p>
    <w:p w:rsidR="00114AC2" w:rsidRDefault="00114AC2" w:rsidP="006646DF"/>
    <w:p w:rsidR="00525C12" w:rsidRDefault="00525C12" w:rsidP="006646DF"/>
    <w:p w:rsidR="00525C12" w:rsidRPr="00A8076F" w:rsidRDefault="00525C12" w:rsidP="00525C12">
      <w:r w:rsidRPr="00A8076F">
        <w:rPr>
          <w:b/>
        </w:rPr>
        <w:t xml:space="preserve">Figure </w:t>
      </w:r>
      <w:r>
        <w:rPr>
          <w:b/>
        </w:rPr>
        <w:t>2</w:t>
      </w:r>
      <w:r w:rsidRPr="00A8076F">
        <w:rPr>
          <w:b/>
        </w:rPr>
        <w:t>:</w:t>
      </w:r>
      <w:r w:rsidRPr="00A8076F">
        <w:t xml:space="preserve"> Variation in the </w:t>
      </w:r>
      <w:r w:rsidR="001E2671">
        <w:t>parameter estimate of intergenerational worklessness for the BCS by the county-</w:t>
      </w:r>
      <w:r w:rsidRPr="00A8076F">
        <w:t xml:space="preserve">level unemployment rate </w:t>
      </w:r>
    </w:p>
    <w:p w:rsidR="00525C12" w:rsidRPr="00A8076F" w:rsidRDefault="00797FD0" w:rsidP="00525C12">
      <w:r w:rsidRPr="00797FD0">
        <w:rPr>
          <w:noProof/>
        </w:rPr>
        <w:drawing>
          <wp:inline distT="0" distB="0" distL="0" distR="0">
            <wp:extent cx="5731510" cy="3742015"/>
            <wp:effectExtent l="19050" t="0" r="2159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7DC6" w:rsidRDefault="00525C12" w:rsidP="00797FD0">
      <w:r>
        <w:rPr>
          <w:sz w:val="16"/>
          <w:szCs w:val="16"/>
        </w:rPr>
        <w:t>Dotted lines represent the 95% confidence intervals</w:t>
      </w:r>
      <w:r w:rsidR="001E2671">
        <w:rPr>
          <w:sz w:val="16"/>
          <w:szCs w:val="16"/>
        </w:rPr>
        <w:t>. All estimates based on the families’ LEA of residence in 1986.</w:t>
      </w:r>
      <w:r w:rsidR="00E77DC6">
        <w:br w:type="page"/>
      </w:r>
    </w:p>
    <w:p w:rsidR="00E77DC6" w:rsidRPr="008E09D1" w:rsidRDefault="00E77DC6" w:rsidP="00E77DC6">
      <w:pPr>
        <w:spacing w:line="360" w:lineRule="auto"/>
        <w:jc w:val="both"/>
        <w:rPr>
          <w:b/>
          <w:i/>
        </w:rPr>
      </w:pPr>
      <w:r w:rsidRPr="008E09D1">
        <w:rPr>
          <w:b/>
          <w:i/>
        </w:rPr>
        <w:lastRenderedPageBreak/>
        <w:t>Appendix: Data issues</w:t>
      </w:r>
    </w:p>
    <w:p w:rsidR="00E77DC6" w:rsidRDefault="00E77DC6" w:rsidP="00E77DC6">
      <w:pPr>
        <w:spacing w:line="360" w:lineRule="auto"/>
        <w:jc w:val="both"/>
        <w:rPr>
          <w:b/>
          <w:i/>
        </w:rPr>
      </w:pPr>
    </w:p>
    <w:p w:rsidR="00E77DC6" w:rsidRPr="008E09D1" w:rsidRDefault="00E77DC6" w:rsidP="00E77DC6">
      <w:pPr>
        <w:spacing w:line="360" w:lineRule="auto"/>
        <w:jc w:val="both"/>
        <w:rPr>
          <w:b/>
        </w:rPr>
      </w:pPr>
      <w:r>
        <w:rPr>
          <w:b/>
        </w:rPr>
        <w:t>Attrition in the cohort studies</w:t>
      </w:r>
    </w:p>
    <w:p w:rsidR="00E77DC6" w:rsidRPr="00A8076F" w:rsidRDefault="00E77DC6" w:rsidP="00E77DC6">
      <w:pPr>
        <w:spacing w:line="360" w:lineRule="auto"/>
        <w:jc w:val="both"/>
      </w:pPr>
      <w:r w:rsidRPr="00A8076F">
        <w:t xml:space="preserve">All three data sources used are nationally representative although there may be some concern that they suffer from attrition, particularly in the cohort studies due to their longitudinal nature. Selection bias in samples can also lead to attenuation bias as discussed in </w:t>
      </w:r>
      <w:proofErr w:type="spellStart"/>
      <w:r w:rsidRPr="00A8076F">
        <w:t>Solon</w:t>
      </w:r>
      <w:proofErr w:type="spellEnd"/>
      <w:r w:rsidRPr="00A8076F">
        <w:t xml:space="preserve"> (1992).</w:t>
      </w:r>
      <w:r>
        <w:t xml:space="preserve"> Table A</w:t>
      </w:r>
      <w:r w:rsidRPr="00A8076F">
        <w:t>1 compares the 1</w:t>
      </w:r>
      <w:r w:rsidRPr="00A8076F">
        <w:rPr>
          <w:vertAlign w:val="superscript"/>
        </w:rPr>
        <w:t>st</w:t>
      </w:r>
      <w:r w:rsidRPr="00A8076F">
        <w:t xml:space="preserve"> generation unemployment rates in the cohort studies to the national unemployment rates for men aged 16 and over for corresponding years. Although this comparison is not perfect, the rates are very similar which is reassuring. There may also be issues if the 2</w:t>
      </w:r>
      <w:r w:rsidRPr="00A8076F">
        <w:rPr>
          <w:vertAlign w:val="superscript"/>
        </w:rPr>
        <w:t>nd</w:t>
      </w:r>
      <w:r w:rsidRPr="00A8076F">
        <w:t xml:space="preserve"> generation are no longer representative. At birth, the cohort members were a nationally representative group but the concern is that the individuals for whom monthly work history data is available might vary systematically from those individuals for whom this data is not available due to attrition.</w:t>
      </w:r>
      <w:r>
        <w:t xml:space="preserve"> Table </w:t>
      </w:r>
      <w:r w:rsidRPr="00A8076F">
        <w:t>A</w:t>
      </w:r>
      <w:r>
        <w:t>2</w:t>
      </w:r>
      <w:r w:rsidRPr="00A8076F">
        <w:t xml:space="preserve"> compares parental education, fathers’ class and 2</w:t>
      </w:r>
      <w:r w:rsidRPr="00A8076F">
        <w:rPr>
          <w:vertAlign w:val="superscript"/>
        </w:rPr>
        <w:t>nd</w:t>
      </w:r>
      <w:r w:rsidRPr="00A8076F">
        <w:t xml:space="preserve"> generation IQ test score measures for the cohort members that have work history information and the cohort members that do not. These measures are from early in the sample to limit the impact of attrition. The two samples are very similar in terms of characteristics although there is a suggestion that those who do not have work history information are from slightly less educated parents in lower social classes who do slightly worse on their IQ test at age 10 in both cohorts. If those families with lower socio-economic status are more likely to be workless then this may lead to an understating of the true intergenerational correlation. We can say nothing about the potential differences in the unobserved characteristics between the work history and non-work history sample.</w:t>
      </w:r>
    </w:p>
    <w:p w:rsidR="00E77DC6" w:rsidRDefault="00E77DC6" w:rsidP="00E77DC6">
      <w:pPr>
        <w:spacing w:line="360" w:lineRule="auto"/>
        <w:jc w:val="both"/>
      </w:pPr>
    </w:p>
    <w:p w:rsidR="00E77DC6" w:rsidRPr="008E09D1" w:rsidRDefault="00E77DC6" w:rsidP="00E77DC6">
      <w:pPr>
        <w:spacing w:line="360" w:lineRule="auto"/>
        <w:jc w:val="both"/>
        <w:rPr>
          <w:b/>
        </w:rPr>
      </w:pPr>
      <w:r>
        <w:rPr>
          <w:b/>
        </w:rPr>
        <w:t>Father’s worklessness measures</w:t>
      </w:r>
    </w:p>
    <w:p w:rsidR="00E77DC6" w:rsidRPr="008E09D1" w:rsidRDefault="00E77DC6" w:rsidP="00E77DC6">
      <w:pPr>
        <w:spacing w:line="360" w:lineRule="auto"/>
        <w:ind w:firstLine="720"/>
        <w:jc w:val="both"/>
      </w:pPr>
      <w:r w:rsidRPr="00A8076F">
        <w:t xml:space="preserve">Table </w:t>
      </w:r>
      <w:r>
        <w:t>A3</w:t>
      </w:r>
      <w:r w:rsidRPr="00A8076F">
        <w:t xml:space="preserve"> illustrates the sample composition of the two observed employment status variables for the 1</w:t>
      </w:r>
      <w:r w:rsidRPr="00A8076F">
        <w:rPr>
          <w:vertAlign w:val="superscript"/>
        </w:rPr>
        <w:t>st</w:t>
      </w:r>
      <w:r w:rsidRPr="00A8076F">
        <w:t xml:space="preserve"> generation. For the three data sources, there are three states that the father can be observed in at the time the employment status is measured</w:t>
      </w:r>
      <w:r>
        <w:t>:</w:t>
      </w:r>
      <w:r w:rsidRPr="00A8076F">
        <w:t xml:space="preserve"> employed, workless or missing. Given the large amount of missing data in the cohort studies, particularly the BCS when the cohort members (sons) are age 16, </w:t>
      </w:r>
      <w:r>
        <w:t>I</w:t>
      </w:r>
      <w:r w:rsidRPr="00A8076F">
        <w:t xml:space="preserve"> construct a measure of father’s worklessness to be 1 if the father is only ever observed as workless and 0 otherwise. The aim is to create a measure which proxies a lifetime measure of work experience well and limits the impact of measurement error. By restricting this measure to those only ever observed as workless </w:t>
      </w:r>
      <w:r>
        <w:t>I am</w:t>
      </w:r>
      <w:r w:rsidRPr="00A8076F">
        <w:t xml:space="preserve"> making the assumption that for those</w:t>
      </w:r>
      <w:r>
        <w:t xml:space="preserve"> fathers who are</w:t>
      </w:r>
      <w:r w:rsidRPr="00A8076F">
        <w:t xml:space="preserve"> observed workless in one period and missing in the other, the</w:t>
      </w:r>
      <w:r>
        <w:t>ir</w:t>
      </w:r>
      <w:r w:rsidRPr="00A8076F">
        <w:t xml:space="preserve"> underlying propensity to experience workless spells is higher than </w:t>
      </w:r>
      <w:r>
        <w:lastRenderedPageBreak/>
        <w:t xml:space="preserve">for </w:t>
      </w:r>
      <w:r w:rsidRPr="00A8076F">
        <w:t xml:space="preserve">those </w:t>
      </w:r>
      <w:r>
        <w:t xml:space="preserve">fathers who are </w:t>
      </w:r>
      <w:r w:rsidRPr="00A8076F">
        <w:t>observed employed in one period and workless in the other</w:t>
      </w:r>
      <w:r>
        <w:t>,</w:t>
      </w:r>
      <w:r w:rsidRPr="00A8076F">
        <w:t xml:space="preserve"> and </w:t>
      </w:r>
      <w:r>
        <w:t xml:space="preserve">for </w:t>
      </w:r>
      <w:r w:rsidRPr="00A8076F">
        <w:t>those</w:t>
      </w:r>
      <w:r>
        <w:t xml:space="preserve"> fathers who are</w:t>
      </w:r>
      <w:r w:rsidRPr="00A8076F">
        <w:t xml:space="preserve"> observed employed in one period and missing in the other.</w:t>
      </w:r>
    </w:p>
    <w:p w:rsidR="00E77DC6" w:rsidRDefault="00E77DC6" w:rsidP="00E77DC6">
      <w:pPr>
        <w:spacing w:line="360" w:lineRule="auto"/>
        <w:jc w:val="both"/>
      </w:pPr>
      <w:r w:rsidRPr="00A8076F">
        <w:tab/>
        <w:t xml:space="preserve">Given that a longer window of work history data of the father is available in the BHPS, this assumption can be tested by summarising the average proportion of time </w:t>
      </w:r>
      <w:r>
        <w:t xml:space="preserve">that the father </w:t>
      </w:r>
      <w:r w:rsidRPr="00A8076F">
        <w:t>spent out o</w:t>
      </w:r>
      <w:r>
        <w:t>f work in the longer window for</w:t>
      </w:r>
      <w:r w:rsidRPr="00A8076F">
        <w:t xml:space="preserve"> three different </w:t>
      </w:r>
      <w:r>
        <w:t>groups: father</w:t>
      </w:r>
      <w:r w:rsidRPr="00A8076F">
        <w:t>s</w:t>
      </w:r>
      <w:r>
        <w:t xml:space="preserve"> who are</w:t>
      </w:r>
      <w:r w:rsidRPr="00A8076F">
        <w:t xml:space="preserve"> observed workless </w:t>
      </w:r>
      <w:r>
        <w:t>when the son is</w:t>
      </w:r>
      <w:r w:rsidRPr="00A8076F">
        <w:t xml:space="preserve"> 16 who are mi</w:t>
      </w:r>
      <w:r>
        <w:t>ssing information on their work history when the son is 12; father</w:t>
      </w:r>
      <w:r w:rsidRPr="00A8076F">
        <w:t xml:space="preserve">s </w:t>
      </w:r>
      <w:r>
        <w:t xml:space="preserve">who are </w:t>
      </w:r>
      <w:r w:rsidRPr="00A8076F">
        <w:t xml:space="preserve">observed employed </w:t>
      </w:r>
      <w:r>
        <w:t>when the son is</w:t>
      </w:r>
      <w:r w:rsidRPr="00A8076F">
        <w:t xml:space="preserve"> 16 who are missing i</w:t>
      </w:r>
      <w:r>
        <w:t>nformation on their work history when the son is 12; and father</w:t>
      </w:r>
      <w:r w:rsidRPr="00A8076F">
        <w:t>s</w:t>
      </w:r>
      <w:r>
        <w:t xml:space="preserve"> who are</w:t>
      </w:r>
      <w:r w:rsidRPr="00A8076F">
        <w:t xml:space="preserve"> observed employed in one period</w:t>
      </w:r>
      <w:r>
        <w:t xml:space="preserve"> (son age 12 or 16)</w:t>
      </w:r>
      <w:r w:rsidRPr="00A8076F">
        <w:t xml:space="preserve"> and workless in the other. The average proportion of time </w:t>
      </w:r>
      <w:r>
        <w:t xml:space="preserve">that fathers </w:t>
      </w:r>
      <w:r w:rsidRPr="00A8076F">
        <w:t xml:space="preserve">who are missing </w:t>
      </w:r>
      <w:r>
        <w:t>work history information when the son is</w:t>
      </w:r>
      <w:r w:rsidRPr="00A8076F">
        <w:t xml:space="preserve"> 12 and</w:t>
      </w:r>
      <w:r>
        <w:t xml:space="preserve"> who are observed employed when the son is</w:t>
      </w:r>
      <w:r w:rsidRPr="00A8076F">
        <w:t xml:space="preserve"> 16</w:t>
      </w:r>
      <w:r w:rsidRPr="00CE0E6A">
        <w:t xml:space="preserve"> </w:t>
      </w:r>
      <w:r w:rsidR="0012240C">
        <w:t>spent workless is 0.053</w:t>
      </w:r>
      <w:r w:rsidRPr="00A8076F">
        <w:t xml:space="preserve">. For those fathers who are observed in both states, employed and workless at either age the proportion </w:t>
      </w:r>
      <w:r>
        <w:t xml:space="preserve">of time spent workless over the longer window </w:t>
      </w:r>
      <w:r w:rsidR="0012240C">
        <w:t>is 0.304</w:t>
      </w:r>
      <w:r w:rsidRPr="00A8076F">
        <w:t>. By contrast the proportion of time spent workless for fathers who are missing</w:t>
      </w:r>
      <w:r>
        <w:t xml:space="preserve"> work history information when the son is age</w:t>
      </w:r>
      <w:r w:rsidRPr="00A8076F">
        <w:t xml:space="preserve"> 12 and observed workless </w:t>
      </w:r>
      <w:r>
        <w:t>when the son is age</w:t>
      </w:r>
      <w:r w:rsidR="0012240C">
        <w:t>16 is 0.76</w:t>
      </w:r>
      <w:r w:rsidRPr="00A8076F">
        <w:t>3. This suggests that the underlying propensity to experience spells out of work is much higher for those observed workless in one period and missing in the other than those who are observed employed for one period and either missing or workless in the other.</w:t>
      </w:r>
    </w:p>
    <w:p w:rsidR="0012240C" w:rsidRDefault="0012240C" w:rsidP="00E77DC6">
      <w:pPr>
        <w:spacing w:line="360" w:lineRule="auto"/>
        <w:jc w:val="both"/>
      </w:pPr>
    </w:p>
    <w:p w:rsidR="00E77DC6" w:rsidRDefault="00E77DC6" w:rsidP="00E77DC6">
      <w:pPr>
        <w:spacing w:line="360" w:lineRule="auto"/>
        <w:jc w:val="both"/>
        <w:rPr>
          <w:b/>
        </w:rPr>
      </w:pPr>
      <w:r>
        <w:rPr>
          <w:b/>
        </w:rPr>
        <w:t>Other data issues</w:t>
      </w:r>
    </w:p>
    <w:p w:rsidR="00E77DC6" w:rsidRDefault="00E77DC6" w:rsidP="00E77DC6">
      <w:pPr>
        <w:spacing w:line="360" w:lineRule="auto"/>
        <w:ind w:firstLine="720"/>
        <w:jc w:val="both"/>
      </w:pPr>
      <w:r w:rsidRPr="00A8076F">
        <w:t>Problems with recall bias may occur if the 1</w:t>
      </w:r>
      <w:r w:rsidRPr="00A8076F">
        <w:rPr>
          <w:vertAlign w:val="superscript"/>
        </w:rPr>
        <w:t>st</w:t>
      </w:r>
      <w:r w:rsidRPr="00A8076F">
        <w:t xml:space="preserve"> generation is asked to provide retrospective information on their work histories. In the cohort studies the father responds to questions about his current employment status and so this is unlikely to cause a problem. In the BHPS some of the information used in the work history data is retrospective, although </w:t>
      </w:r>
      <w:r>
        <w:t xml:space="preserve">I limit this </w:t>
      </w:r>
      <w:r w:rsidRPr="00A8076F">
        <w:t>to only as far back as 1975 to minimize the impact of recall bias. Despite this restriction, there may be some bias from those reporting work histories retrospectively. An important point is that recall bias will only affect the estimate of the intergenerational correlation if employed fathers recall things in a different way to workless fathers. In this case the estimates from the BHPS would be attenuated creating a lower bound estimate of the intergenerational correlation.</w:t>
      </w:r>
    </w:p>
    <w:p w:rsidR="00E77DC6" w:rsidRPr="00A8076F" w:rsidRDefault="00E77DC6" w:rsidP="00E77DC6">
      <w:pPr>
        <w:spacing w:line="360" w:lineRule="auto"/>
        <w:jc w:val="both"/>
      </w:pPr>
      <w:r w:rsidRPr="00A8076F">
        <w:tab/>
        <w:t xml:space="preserve">When the life-cycle trajectories are considered using the LFS quasi-cohort analysis there are two issues that need to be considered. First, as the LFS is a cross-sectional survey and the analysis is of quasi-cohorts, the workless status of the father is not observable. Education is therefore used to proxy having a workless father in childhood, as it is in the </w:t>
      </w:r>
      <w:r w:rsidRPr="00A8076F">
        <w:lastRenderedPageBreak/>
        <w:t>mobility literature to proxy income. In the BCS, sons with employed fathers are 12</w:t>
      </w:r>
      <w:r>
        <w:t>%</w:t>
      </w:r>
      <w:r w:rsidRPr="00A8076F">
        <w:t xml:space="preserve"> more likely to continue in education past age 16, 12</w:t>
      </w:r>
      <w:r>
        <w:t>%</w:t>
      </w:r>
      <w:r w:rsidRPr="00A8076F">
        <w:t xml:space="preserve"> more likely to get any A-levels, </w:t>
      </w:r>
      <w:proofErr w:type="gramStart"/>
      <w:r>
        <w:t>9</w:t>
      </w:r>
      <w:proofErr w:type="gramEnd"/>
      <w:r>
        <w:t>%</w:t>
      </w:r>
      <w:r w:rsidRPr="00A8076F">
        <w:t xml:space="preserve"> more likely to continue in education p</w:t>
      </w:r>
      <w:r>
        <w:t>ast age 18 and 8%</w:t>
      </w:r>
      <w:r w:rsidRPr="00A8076F">
        <w:t xml:space="preserve"> more likely to get a degree than sons with workless fathers. Secondly, given that the education groups are defined by their highest qualification, males who are age 16 and 17 will automatically fall into the lower educated category given that they will not hav</w:t>
      </w:r>
      <w:r>
        <w:t>e had the opportunity to reach L</w:t>
      </w:r>
      <w:r w:rsidRPr="00A8076F">
        <w:t xml:space="preserve">evel 3 yet. Therefore to allow all individuals to reach the </w:t>
      </w:r>
      <w:r>
        <w:t>L</w:t>
      </w:r>
      <w:r w:rsidRPr="00A8076F">
        <w:t>evel 3 qualification the analysis is restricted to age 18 to 65.</w:t>
      </w:r>
    </w:p>
    <w:p w:rsidR="00E77DC6" w:rsidRPr="00A8076F" w:rsidRDefault="00E77DC6" w:rsidP="00E77DC6">
      <w:pPr>
        <w:spacing w:line="360" w:lineRule="auto"/>
        <w:jc w:val="both"/>
      </w:pPr>
      <w:r w:rsidRPr="00A8076F">
        <w:tab/>
        <w:t>Finally, while the BCS data provides an opportunity to explore the impact of local labour market conditions</w:t>
      </w:r>
      <w:r>
        <w:t>,</w:t>
      </w:r>
      <w:r w:rsidRPr="00A8076F">
        <w:t xml:space="preserve"> as information is available on the LEA that the 2</w:t>
      </w:r>
      <w:r w:rsidRPr="00A8076F">
        <w:rPr>
          <w:vertAlign w:val="superscript"/>
        </w:rPr>
        <w:t>nd</w:t>
      </w:r>
      <w:r w:rsidRPr="00A8076F">
        <w:t xml:space="preserve"> generation lived in at age 16, there are a couple of issues with the local labour market data. LEA unemployment rates were not available so the use of county level data involves aggregating the LEA data up slightly. In addition not everyone in the working sample has LEA information. 21</w:t>
      </w:r>
      <w:r>
        <w:t>%</w:t>
      </w:r>
      <w:r w:rsidRPr="00A8076F">
        <w:t xml:space="preserve"> of individuals in the final sample do not have LEA information available. The implications of this are small and discussed</w:t>
      </w:r>
      <w:r>
        <w:t xml:space="preserve"> in more detail in the results S</w:t>
      </w:r>
      <w:r w:rsidRPr="00A8076F">
        <w:t>ection 3.</w:t>
      </w:r>
      <w:r>
        <w:t>5</w:t>
      </w:r>
      <w:r w:rsidRPr="00A8076F">
        <w:t>iii). Unemployment rates for every year from 1986</w:t>
      </w:r>
      <w:r>
        <w:t>,</w:t>
      </w:r>
      <w:r w:rsidRPr="00A8076F">
        <w:t xml:space="preserve"> when the LEA is observed</w:t>
      </w:r>
      <w:r>
        <w:t>,</w:t>
      </w:r>
      <w:r w:rsidRPr="00A8076F">
        <w:t xml:space="preserve"> until 1998, the last full year of complete work history data in the BCS, were matched into the data. An implicit assumption when using this data is that individuals stayed in the same county they were observed in at 16 to experience this county level unemployment rate across time. The data suggests that 80</w:t>
      </w:r>
      <w:r>
        <w:t>%</w:t>
      </w:r>
      <w:r w:rsidRPr="00A8076F">
        <w:t xml:space="preserve"> of the sample were observed to be residents in the same county in 2000 as they were observed in 1986.</w:t>
      </w:r>
    </w:p>
    <w:p w:rsidR="00E77DC6" w:rsidRDefault="00E77DC6" w:rsidP="00E77DC6">
      <w:pPr>
        <w:spacing w:after="200" w:line="276" w:lineRule="auto"/>
      </w:pPr>
      <w:r>
        <w:br w:type="page"/>
      </w:r>
    </w:p>
    <w:p w:rsidR="00E77DC6" w:rsidRPr="00A8076F" w:rsidRDefault="00E77DC6" w:rsidP="00E77DC6">
      <w:pPr>
        <w:rPr>
          <w:b/>
        </w:rPr>
      </w:pPr>
      <w:r w:rsidRPr="00A8076F">
        <w:rPr>
          <w:b/>
        </w:rPr>
        <w:lastRenderedPageBreak/>
        <w:t>Table A1</w:t>
      </w:r>
      <w:r>
        <w:rPr>
          <w:b/>
        </w:rPr>
        <w:t>:</w:t>
      </w:r>
      <w:r w:rsidRPr="00A8076F">
        <w:rPr>
          <w:b/>
        </w:rPr>
        <w:t xml:space="preserve"> </w:t>
      </w:r>
      <w:r>
        <w:t>Comparing u</w:t>
      </w:r>
      <w:r w:rsidRPr="00A8076F">
        <w:t>nemployment rates for the 1</w:t>
      </w:r>
      <w:r w:rsidRPr="00A8076F">
        <w:rPr>
          <w:vertAlign w:val="superscript"/>
        </w:rPr>
        <w:t>st</w:t>
      </w:r>
      <w:r>
        <w:t xml:space="preserve"> generation NCDS and BCS data and national unemployment rates from the Office for National Statistics</w:t>
      </w:r>
    </w:p>
    <w:p w:rsidR="00E77DC6" w:rsidRPr="00A8076F" w:rsidRDefault="00E77DC6" w:rsidP="00E77DC6"/>
    <w:tbl>
      <w:tblPr>
        <w:tblW w:w="0" w:type="auto"/>
        <w:tblLook w:val="04A0"/>
      </w:tblPr>
      <w:tblGrid>
        <w:gridCol w:w="1668"/>
        <w:gridCol w:w="1701"/>
        <w:gridCol w:w="1701"/>
        <w:gridCol w:w="1842"/>
      </w:tblGrid>
      <w:tr w:rsidR="00E77DC6" w:rsidRPr="00A8076F" w:rsidTr="00073326">
        <w:tc>
          <w:tcPr>
            <w:tcW w:w="1668" w:type="dxa"/>
            <w:tcBorders>
              <w:top w:val="single" w:sz="4" w:space="0" w:color="auto"/>
              <w:left w:val="nil"/>
              <w:bottom w:val="single" w:sz="4" w:space="0" w:color="auto"/>
              <w:right w:val="single" w:sz="4" w:space="0" w:color="auto"/>
            </w:tcBorders>
          </w:tcPr>
          <w:p w:rsidR="00E77DC6" w:rsidRPr="00A8076F" w:rsidRDefault="00E77DC6" w:rsidP="001E2671">
            <w:pPr>
              <w:jc w:val="right"/>
            </w:pPr>
          </w:p>
        </w:tc>
        <w:tc>
          <w:tcPr>
            <w:tcW w:w="1701" w:type="dxa"/>
            <w:tcBorders>
              <w:top w:val="single" w:sz="4" w:space="0" w:color="auto"/>
              <w:left w:val="single" w:sz="4" w:space="0" w:color="auto"/>
              <w:bottom w:val="single" w:sz="4" w:space="0" w:color="auto"/>
              <w:right w:val="single" w:sz="4" w:space="0" w:color="auto"/>
            </w:tcBorders>
            <w:hideMark/>
          </w:tcPr>
          <w:p w:rsidR="00E77DC6" w:rsidRPr="00A8076F" w:rsidRDefault="00E77DC6" w:rsidP="001E2671">
            <w:pPr>
              <w:jc w:val="right"/>
              <w:rPr>
                <w:b/>
              </w:rPr>
            </w:pPr>
            <w:r w:rsidRPr="00A8076F">
              <w:rPr>
                <w:b/>
              </w:rPr>
              <w:t>Cohorts – all</w:t>
            </w:r>
          </w:p>
        </w:tc>
        <w:tc>
          <w:tcPr>
            <w:tcW w:w="1701" w:type="dxa"/>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Cohorts – sample</w:t>
            </w:r>
          </w:p>
        </w:tc>
        <w:tc>
          <w:tcPr>
            <w:tcW w:w="1842" w:type="dxa"/>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National unemp</w:t>
            </w:r>
            <w:r>
              <w:rPr>
                <w:b/>
              </w:rPr>
              <w:t xml:space="preserve">loyment </w:t>
            </w:r>
            <w:r w:rsidRPr="00A8076F">
              <w:rPr>
                <w:b/>
              </w:rPr>
              <w:t>Rate</w:t>
            </w:r>
            <w:r>
              <w:rPr>
                <w:b/>
              </w:rPr>
              <w:t>*</w:t>
            </w:r>
          </w:p>
        </w:tc>
      </w:tr>
      <w:tr w:rsidR="00E77DC6" w:rsidRPr="00A8076F" w:rsidTr="00073326">
        <w:tc>
          <w:tcPr>
            <w:tcW w:w="1668" w:type="dxa"/>
            <w:tcBorders>
              <w:top w:val="single" w:sz="4" w:space="0" w:color="auto"/>
              <w:left w:val="nil"/>
              <w:bottom w:val="single" w:sz="4" w:space="0" w:color="auto"/>
              <w:right w:val="single" w:sz="4" w:space="0" w:color="auto"/>
            </w:tcBorders>
          </w:tcPr>
          <w:p w:rsidR="00E77DC6" w:rsidRPr="00A8076F" w:rsidRDefault="00E77DC6" w:rsidP="001E2671">
            <w:pPr>
              <w:jc w:val="right"/>
              <w:rPr>
                <w:b/>
              </w:rPr>
            </w:pPr>
          </w:p>
        </w:tc>
        <w:tc>
          <w:tcPr>
            <w:tcW w:w="3402" w:type="dxa"/>
            <w:gridSpan w:val="2"/>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 xml:space="preserve">Father-son pairs </w:t>
            </w:r>
          </w:p>
        </w:tc>
        <w:tc>
          <w:tcPr>
            <w:tcW w:w="1842" w:type="dxa"/>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Males 16+</w:t>
            </w:r>
          </w:p>
        </w:tc>
      </w:tr>
      <w:tr w:rsidR="00E77DC6" w:rsidRPr="00A8076F" w:rsidTr="00073326">
        <w:tc>
          <w:tcPr>
            <w:tcW w:w="1668" w:type="dxa"/>
            <w:tcBorders>
              <w:top w:val="single" w:sz="4" w:space="0" w:color="auto"/>
              <w:left w:val="nil"/>
              <w:bottom w:val="nil"/>
              <w:right w:val="single" w:sz="4" w:space="0" w:color="auto"/>
            </w:tcBorders>
            <w:hideMark/>
          </w:tcPr>
          <w:p w:rsidR="00E77DC6" w:rsidRPr="00A8076F" w:rsidRDefault="00E77DC6" w:rsidP="001E2671">
            <w:pPr>
              <w:jc w:val="right"/>
              <w:rPr>
                <w:b/>
              </w:rPr>
            </w:pPr>
            <w:r w:rsidRPr="00A8076F">
              <w:rPr>
                <w:b/>
              </w:rPr>
              <w:t>NCDS</w:t>
            </w:r>
          </w:p>
        </w:tc>
        <w:tc>
          <w:tcPr>
            <w:tcW w:w="1701" w:type="dxa"/>
            <w:tcBorders>
              <w:top w:val="single" w:sz="4" w:space="0" w:color="auto"/>
              <w:left w:val="single" w:sz="4" w:space="0" w:color="auto"/>
              <w:bottom w:val="nil"/>
              <w:right w:val="single" w:sz="4" w:space="0" w:color="auto"/>
            </w:tcBorders>
          </w:tcPr>
          <w:p w:rsidR="00E77DC6" w:rsidRPr="00A8076F" w:rsidRDefault="00E77DC6" w:rsidP="001E2671">
            <w:pPr>
              <w:jc w:val="right"/>
            </w:pPr>
          </w:p>
        </w:tc>
        <w:tc>
          <w:tcPr>
            <w:tcW w:w="1701" w:type="dxa"/>
            <w:tcBorders>
              <w:top w:val="single" w:sz="4" w:space="0" w:color="auto"/>
              <w:left w:val="single" w:sz="4" w:space="0" w:color="auto"/>
              <w:bottom w:val="nil"/>
              <w:right w:val="nil"/>
            </w:tcBorders>
          </w:tcPr>
          <w:p w:rsidR="00E77DC6" w:rsidRPr="00A8076F" w:rsidRDefault="00E77DC6" w:rsidP="001E2671">
            <w:pPr>
              <w:jc w:val="right"/>
            </w:pPr>
          </w:p>
        </w:tc>
        <w:tc>
          <w:tcPr>
            <w:tcW w:w="1842" w:type="dxa"/>
            <w:tcBorders>
              <w:top w:val="single" w:sz="4" w:space="0" w:color="auto"/>
              <w:left w:val="single" w:sz="4" w:space="0" w:color="auto"/>
              <w:bottom w:val="nil"/>
              <w:right w:val="nil"/>
            </w:tcBorders>
          </w:tcPr>
          <w:p w:rsidR="00E77DC6" w:rsidRPr="00A8076F" w:rsidRDefault="00E77DC6" w:rsidP="001E2671">
            <w:pPr>
              <w:jc w:val="right"/>
            </w:pPr>
          </w:p>
        </w:tc>
      </w:tr>
      <w:tr w:rsidR="00E77DC6" w:rsidRPr="00A8076F" w:rsidTr="00073326">
        <w:tc>
          <w:tcPr>
            <w:tcW w:w="1668" w:type="dxa"/>
            <w:tcBorders>
              <w:top w:val="nil"/>
              <w:left w:val="nil"/>
              <w:bottom w:val="nil"/>
              <w:right w:val="single" w:sz="4" w:space="0" w:color="auto"/>
            </w:tcBorders>
            <w:hideMark/>
          </w:tcPr>
          <w:p w:rsidR="00E77DC6" w:rsidRPr="00A8076F" w:rsidRDefault="00E77DC6" w:rsidP="001E2671">
            <w:pPr>
              <w:jc w:val="right"/>
              <w:rPr>
                <w:b/>
              </w:rPr>
            </w:pPr>
            <w:r w:rsidRPr="00A8076F">
              <w:rPr>
                <w:b/>
              </w:rPr>
              <w:t xml:space="preserve">1969 </w:t>
            </w:r>
          </w:p>
        </w:tc>
        <w:tc>
          <w:tcPr>
            <w:tcW w:w="1701" w:type="dxa"/>
            <w:tcBorders>
              <w:top w:val="nil"/>
              <w:left w:val="single" w:sz="4" w:space="0" w:color="auto"/>
              <w:bottom w:val="nil"/>
              <w:right w:val="single" w:sz="4" w:space="0" w:color="auto"/>
            </w:tcBorders>
            <w:hideMark/>
          </w:tcPr>
          <w:p w:rsidR="00E77DC6" w:rsidRPr="00A8076F" w:rsidRDefault="00E77DC6" w:rsidP="001E2671">
            <w:pPr>
              <w:jc w:val="right"/>
            </w:pPr>
            <w:r w:rsidRPr="00A8076F">
              <w:t>3.9</w:t>
            </w:r>
          </w:p>
        </w:tc>
        <w:tc>
          <w:tcPr>
            <w:tcW w:w="1701" w:type="dxa"/>
            <w:tcBorders>
              <w:top w:val="nil"/>
              <w:left w:val="single" w:sz="4" w:space="0" w:color="auto"/>
              <w:bottom w:val="nil"/>
              <w:right w:val="nil"/>
            </w:tcBorders>
            <w:hideMark/>
          </w:tcPr>
          <w:p w:rsidR="00E77DC6" w:rsidRPr="00A8076F" w:rsidRDefault="00E77DC6" w:rsidP="001E2671">
            <w:pPr>
              <w:jc w:val="right"/>
            </w:pPr>
            <w:r w:rsidRPr="00A8076F">
              <w:t>2.7</w:t>
            </w:r>
          </w:p>
        </w:tc>
        <w:tc>
          <w:tcPr>
            <w:tcW w:w="1842" w:type="dxa"/>
            <w:tcBorders>
              <w:top w:val="nil"/>
              <w:left w:val="single" w:sz="4" w:space="0" w:color="auto"/>
              <w:bottom w:val="nil"/>
              <w:right w:val="nil"/>
            </w:tcBorders>
            <w:hideMark/>
          </w:tcPr>
          <w:p w:rsidR="00E77DC6" w:rsidRPr="00A8076F" w:rsidRDefault="00E77DC6" w:rsidP="001E2671">
            <w:pPr>
              <w:jc w:val="right"/>
            </w:pPr>
            <w:r w:rsidRPr="00A8076F">
              <w:t>2.8*</w:t>
            </w:r>
          </w:p>
        </w:tc>
      </w:tr>
      <w:tr w:rsidR="00E77DC6" w:rsidRPr="00A8076F" w:rsidTr="00073326">
        <w:tc>
          <w:tcPr>
            <w:tcW w:w="1668" w:type="dxa"/>
            <w:tcBorders>
              <w:top w:val="nil"/>
              <w:left w:val="nil"/>
              <w:bottom w:val="single" w:sz="4" w:space="0" w:color="auto"/>
              <w:right w:val="single" w:sz="4" w:space="0" w:color="auto"/>
            </w:tcBorders>
            <w:hideMark/>
          </w:tcPr>
          <w:p w:rsidR="00E77DC6" w:rsidRPr="00A8076F" w:rsidRDefault="00E77DC6" w:rsidP="001E2671">
            <w:pPr>
              <w:jc w:val="right"/>
              <w:rPr>
                <w:b/>
              </w:rPr>
            </w:pPr>
            <w:r w:rsidRPr="00A8076F">
              <w:rPr>
                <w:b/>
              </w:rPr>
              <w:t>1974</w:t>
            </w:r>
          </w:p>
        </w:tc>
        <w:tc>
          <w:tcPr>
            <w:tcW w:w="1701" w:type="dxa"/>
            <w:tcBorders>
              <w:top w:val="nil"/>
              <w:left w:val="single" w:sz="4" w:space="0" w:color="auto"/>
              <w:bottom w:val="single" w:sz="4" w:space="0" w:color="auto"/>
              <w:right w:val="single" w:sz="4" w:space="0" w:color="auto"/>
            </w:tcBorders>
            <w:hideMark/>
          </w:tcPr>
          <w:p w:rsidR="00E77DC6" w:rsidRPr="00A8076F" w:rsidRDefault="00E77DC6" w:rsidP="001E2671">
            <w:pPr>
              <w:jc w:val="right"/>
            </w:pPr>
            <w:r w:rsidRPr="00A8076F">
              <w:t>6.</w:t>
            </w:r>
            <w:r w:rsidR="001E2671">
              <w:t>5</w:t>
            </w:r>
          </w:p>
        </w:tc>
        <w:tc>
          <w:tcPr>
            <w:tcW w:w="1701" w:type="dxa"/>
            <w:tcBorders>
              <w:top w:val="nil"/>
              <w:left w:val="single" w:sz="4" w:space="0" w:color="auto"/>
              <w:bottom w:val="single" w:sz="4" w:space="0" w:color="auto"/>
              <w:right w:val="nil"/>
            </w:tcBorders>
            <w:hideMark/>
          </w:tcPr>
          <w:p w:rsidR="00E77DC6" w:rsidRPr="00A8076F" w:rsidRDefault="00E77DC6" w:rsidP="001E2671">
            <w:pPr>
              <w:jc w:val="right"/>
            </w:pPr>
            <w:r w:rsidRPr="00A8076F">
              <w:t>5.</w:t>
            </w:r>
            <w:r w:rsidR="001E2671">
              <w:t>4</w:t>
            </w:r>
          </w:p>
        </w:tc>
        <w:tc>
          <w:tcPr>
            <w:tcW w:w="1842" w:type="dxa"/>
            <w:tcBorders>
              <w:top w:val="nil"/>
              <w:left w:val="single" w:sz="4" w:space="0" w:color="auto"/>
              <w:bottom w:val="single" w:sz="4" w:space="0" w:color="auto"/>
              <w:right w:val="nil"/>
            </w:tcBorders>
            <w:hideMark/>
          </w:tcPr>
          <w:p w:rsidR="00E77DC6" w:rsidRPr="00A8076F" w:rsidRDefault="00E77DC6" w:rsidP="001E2671">
            <w:pPr>
              <w:jc w:val="right"/>
            </w:pPr>
            <w:r w:rsidRPr="00A8076F">
              <w:t>3.0</w:t>
            </w:r>
          </w:p>
        </w:tc>
      </w:tr>
      <w:tr w:rsidR="00E77DC6" w:rsidRPr="00A8076F" w:rsidTr="00073326">
        <w:tc>
          <w:tcPr>
            <w:tcW w:w="1668" w:type="dxa"/>
            <w:tcBorders>
              <w:top w:val="single" w:sz="4" w:space="0" w:color="auto"/>
              <w:left w:val="nil"/>
              <w:bottom w:val="nil"/>
              <w:right w:val="single" w:sz="4" w:space="0" w:color="auto"/>
            </w:tcBorders>
            <w:hideMark/>
          </w:tcPr>
          <w:p w:rsidR="00E77DC6" w:rsidRPr="00A8076F" w:rsidRDefault="00E77DC6" w:rsidP="001E2671">
            <w:pPr>
              <w:jc w:val="right"/>
              <w:rPr>
                <w:b/>
              </w:rPr>
            </w:pPr>
            <w:r w:rsidRPr="00A8076F">
              <w:rPr>
                <w:b/>
              </w:rPr>
              <w:t>BCS</w:t>
            </w:r>
          </w:p>
        </w:tc>
        <w:tc>
          <w:tcPr>
            <w:tcW w:w="1701" w:type="dxa"/>
            <w:tcBorders>
              <w:top w:val="single" w:sz="4" w:space="0" w:color="auto"/>
              <w:left w:val="single" w:sz="4" w:space="0" w:color="auto"/>
              <w:bottom w:val="nil"/>
              <w:right w:val="single" w:sz="4" w:space="0" w:color="auto"/>
            </w:tcBorders>
          </w:tcPr>
          <w:p w:rsidR="00E77DC6" w:rsidRPr="00A8076F" w:rsidRDefault="00E77DC6" w:rsidP="001E2671">
            <w:pPr>
              <w:jc w:val="right"/>
            </w:pPr>
          </w:p>
        </w:tc>
        <w:tc>
          <w:tcPr>
            <w:tcW w:w="1701" w:type="dxa"/>
            <w:tcBorders>
              <w:top w:val="single" w:sz="4" w:space="0" w:color="auto"/>
              <w:left w:val="single" w:sz="4" w:space="0" w:color="auto"/>
              <w:bottom w:val="nil"/>
              <w:right w:val="nil"/>
            </w:tcBorders>
          </w:tcPr>
          <w:p w:rsidR="00E77DC6" w:rsidRPr="00A8076F" w:rsidRDefault="00E77DC6" w:rsidP="001E2671">
            <w:pPr>
              <w:jc w:val="right"/>
            </w:pPr>
          </w:p>
        </w:tc>
        <w:tc>
          <w:tcPr>
            <w:tcW w:w="1842" w:type="dxa"/>
            <w:tcBorders>
              <w:top w:val="single" w:sz="4" w:space="0" w:color="auto"/>
              <w:left w:val="single" w:sz="4" w:space="0" w:color="auto"/>
              <w:bottom w:val="nil"/>
              <w:right w:val="nil"/>
            </w:tcBorders>
          </w:tcPr>
          <w:p w:rsidR="00E77DC6" w:rsidRPr="00A8076F" w:rsidRDefault="00E77DC6" w:rsidP="001E2671">
            <w:pPr>
              <w:jc w:val="right"/>
            </w:pPr>
          </w:p>
        </w:tc>
      </w:tr>
      <w:tr w:rsidR="00E77DC6" w:rsidRPr="00A8076F" w:rsidTr="00073326">
        <w:tc>
          <w:tcPr>
            <w:tcW w:w="1668" w:type="dxa"/>
            <w:tcBorders>
              <w:top w:val="nil"/>
              <w:left w:val="nil"/>
              <w:bottom w:val="nil"/>
              <w:right w:val="single" w:sz="4" w:space="0" w:color="auto"/>
            </w:tcBorders>
            <w:hideMark/>
          </w:tcPr>
          <w:p w:rsidR="00E77DC6" w:rsidRPr="00A8076F" w:rsidRDefault="00E77DC6" w:rsidP="001E2671">
            <w:pPr>
              <w:jc w:val="right"/>
              <w:rPr>
                <w:b/>
              </w:rPr>
            </w:pPr>
            <w:r w:rsidRPr="00A8076F">
              <w:rPr>
                <w:b/>
              </w:rPr>
              <w:t>1980</w:t>
            </w:r>
          </w:p>
        </w:tc>
        <w:tc>
          <w:tcPr>
            <w:tcW w:w="1701" w:type="dxa"/>
            <w:tcBorders>
              <w:top w:val="nil"/>
              <w:left w:val="single" w:sz="4" w:space="0" w:color="auto"/>
              <w:bottom w:val="nil"/>
              <w:right w:val="single" w:sz="4" w:space="0" w:color="auto"/>
            </w:tcBorders>
            <w:hideMark/>
          </w:tcPr>
          <w:p w:rsidR="00E77DC6" w:rsidRPr="00A8076F" w:rsidRDefault="00E77DC6" w:rsidP="001E2671">
            <w:pPr>
              <w:jc w:val="right"/>
            </w:pPr>
            <w:r w:rsidRPr="00A8076F">
              <w:t>5.</w:t>
            </w:r>
            <w:r w:rsidR="001E2671">
              <w:t>9</w:t>
            </w:r>
          </w:p>
        </w:tc>
        <w:tc>
          <w:tcPr>
            <w:tcW w:w="1701" w:type="dxa"/>
            <w:tcBorders>
              <w:top w:val="nil"/>
              <w:left w:val="single" w:sz="4" w:space="0" w:color="auto"/>
              <w:bottom w:val="nil"/>
              <w:right w:val="nil"/>
            </w:tcBorders>
            <w:hideMark/>
          </w:tcPr>
          <w:p w:rsidR="00E77DC6" w:rsidRPr="00A8076F" w:rsidRDefault="00E77DC6" w:rsidP="001E2671">
            <w:pPr>
              <w:jc w:val="right"/>
            </w:pPr>
            <w:r w:rsidRPr="00A8076F">
              <w:t>4.3</w:t>
            </w:r>
          </w:p>
        </w:tc>
        <w:tc>
          <w:tcPr>
            <w:tcW w:w="1842" w:type="dxa"/>
            <w:tcBorders>
              <w:top w:val="nil"/>
              <w:left w:val="single" w:sz="4" w:space="0" w:color="auto"/>
              <w:bottom w:val="nil"/>
              <w:right w:val="nil"/>
            </w:tcBorders>
            <w:hideMark/>
          </w:tcPr>
          <w:p w:rsidR="00E77DC6" w:rsidRPr="00A8076F" w:rsidRDefault="00E77DC6" w:rsidP="001E2671">
            <w:pPr>
              <w:jc w:val="right"/>
            </w:pPr>
            <w:r w:rsidRPr="00A8076F">
              <w:t>6.6</w:t>
            </w:r>
          </w:p>
        </w:tc>
      </w:tr>
      <w:tr w:rsidR="00E77DC6" w:rsidRPr="00A8076F" w:rsidTr="00073326">
        <w:tc>
          <w:tcPr>
            <w:tcW w:w="1668" w:type="dxa"/>
            <w:tcBorders>
              <w:top w:val="nil"/>
              <w:left w:val="nil"/>
              <w:bottom w:val="single" w:sz="4" w:space="0" w:color="auto"/>
              <w:right w:val="single" w:sz="4" w:space="0" w:color="auto"/>
            </w:tcBorders>
            <w:hideMark/>
          </w:tcPr>
          <w:p w:rsidR="00E77DC6" w:rsidRPr="00A8076F" w:rsidRDefault="00E77DC6" w:rsidP="001E2671">
            <w:pPr>
              <w:jc w:val="right"/>
              <w:rPr>
                <w:b/>
              </w:rPr>
            </w:pPr>
            <w:r w:rsidRPr="00A8076F">
              <w:rPr>
                <w:b/>
              </w:rPr>
              <w:t>1986</w:t>
            </w:r>
          </w:p>
        </w:tc>
        <w:tc>
          <w:tcPr>
            <w:tcW w:w="1701" w:type="dxa"/>
            <w:tcBorders>
              <w:top w:val="nil"/>
              <w:left w:val="single" w:sz="4" w:space="0" w:color="auto"/>
              <w:bottom w:val="single" w:sz="4" w:space="0" w:color="auto"/>
              <w:right w:val="single" w:sz="4" w:space="0" w:color="auto"/>
            </w:tcBorders>
            <w:hideMark/>
          </w:tcPr>
          <w:p w:rsidR="00E77DC6" w:rsidRPr="00A8076F" w:rsidRDefault="00E77DC6" w:rsidP="001E2671">
            <w:pPr>
              <w:jc w:val="right"/>
            </w:pPr>
            <w:r w:rsidRPr="00A8076F">
              <w:t>14.2</w:t>
            </w:r>
          </w:p>
        </w:tc>
        <w:tc>
          <w:tcPr>
            <w:tcW w:w="1701" w:type="dxa"/>
            <w:tcBorders>
              <w:top w:val="nil"/>
              <w:left w:val="single" w:sz="4" w:space="0" w:color="auto"/>
              <w:bottom w:val="single" w:sz="4" w:space="0" w:color="auto"/>
              <w:right w:val="nil"/>
            </w:tcBorders>
            <w:hideMark/>
          </w:tcPr>
          <w:p w:rsidR="00E77DC6" w:rsidRPr="00A8076F" w:rsidRDefault="00E77DC6" w:rsidP="001E2671">
            <w:pPr>
              <w:jc w:val="right"/>
            </w:pPr>
            <w:r w:rsidRPr="00A8076F">
              <w:t>12.2</w:t>
            </w:r>
          </w:p>
        </w:tc>
        <w:tc>
          <w:tcPr>
            <w:tcW w:w="1842" w:type="dxa"/>
            <w:tcBorders>
              <w:top w:val="nil"/>
              <w:left w:val="single" w:sz="4" w:space="0" w:color="auto"/>
              <w:bottom w:val="single" w:sz="4" w:space="0" w:color="auto"/>
              <w:right w:val="nil"/>
            </w:tcBorders>
            <w:hideMark/>
          </w:tcPr>
          <w:p w:rsidR="00E77DC6" w:rsidRPr="00A8076F" w:rsidRDefault="00E77DC6" w:rsidP="001E2671">
            <w:pPr>
              <w:jc w:val="right"/>
            </w:pPr>
            <w:r w:rsidRPr="00A8076F">
              <w:t>11.7</w:t>
            </w:r>
          </w:p>
        </w:tc>
      </w:tr>
    </w:tbl>
    <w:p w:rsidR="00E77DC6" w:rsidRPr="00DB3F17" w:rsidRDefault="00E77DC6" w:rsidP="00E77DC6">
      <w:pPr>
        <w:rPr>
          <w:sz w:val="16"/>
          <w:szCs w:val="16"/>
        </w:rPr>
      </w:pPr>
      <w:r>
        <w:rPr>
          <w:sz w:val="16"/>
          <w:szCs w:val="16"/>
        </w:rPr>
        <w:t>*National unemployment rate taken from the Office for National statistics time trend annual unemployment rate for males 16+</w:t>
      </w:r>
    </w:p>
    <w:p w:rsidR="00E77DC6" w:rsidRPr="00A8076F" w:rsidRDefault="00E77DC6" w:rsidP="00E77DC6"/>
    <w:p w:rsidR="00E77DC6" w:rsidRPr="00A8076F" w:rsidRDefault="00E77DC6" w:rsidP="00E77DC6">
      <w:r w:rsidRPr="00A8076F">
        <w:rPr>
          <w:b/>
        </w:rPr>
        <w:t>Table A2</w:t>
      </w:r>
      <w:r w:rsidRPr="00767554">
        <w:rPr>
          <w:b/>
        </w:rPr>
        <w:t>:</w:t>
      </w:r>
      <w:r w:rsidRPr="00A8076F">
        <w:t xml:space="preserve"> </w:t>
      </w:r>
      <w:r>
        <w:t>Comparing the background characteristics of sons with and without available work history data in the NCDS and BCS data</w:t>
      </w:r>
    </w:p>
    <w:p w:rsidR="00E77DC6" w:rsidRPr="00A8076F" w:rsidRDefault="00E77DC6" w:rsidP="00E77DC6"/>
    <w:tbl>
      <w:tblPr>
        <w:tblW w:w="0" w:type="auto"/>
        <w:tblLook w:val="04A0"/>
      </w:tblPr>
      <w:tblGrid>
        <w:gridCol w:w="2623"/>
        <w:gridCol w:w="1568"/>
        <w:gridCol w:w="1405"/>
        <w:gridCol w:w="1521"/>
        <w:gridCol w:w="1405"/>
      </w:tblGrid>
      <w:tr w:rsidR="00E77DC6" w:rsidRPr="00A8076F" w:rsidTr="00073326">
        <w:tc>
          <w:tcPr>
            <w:tcW w:w="2623" w:type="dxa"/>
            <w:tcBorders>
              <w:top w:val="single" w:sz="4" w:space="0" w:color="auto"/>
              <w:left w:val="nil"/>
              <w:bottom w:val="single" w:sz="4" w:space="0" w:color="auto"/>
              <w:right w:val="single" w:sz="4" w:space="0" w:color="auto"/>
            </w:tcBorders>
          </w:tcPr>
          <w:p w:rsidR="00E77DC6" w:rsidRPr="00A8076F" w:rsidRDefault="00E77DC6" w:rsidP="001E2671">
            <w:pPr>
              <w:jc w:val="right"/>
            </w:pPr>
          </w:p>
        </w:tc>
        <w:tc>
          <w:tcPr>
            <w:tcW w:w="2973" w:type="dxa"/>
            <w:gridSpan w:val="2"/>
            <w:tcBorders>
              <w:top w:val="single" w:sz="4" w:space="0" w:color="auto"/>
              <w:left w:val="single" w:sz="4" w:space="0" w:color="auto"/>
              <w:bottom w:val="single" w:sz="4" w:space="0" w:color="auto"/>
              <w:right w:val="single" w:sz="4" w:space="0" w:color="auto"/>
            </w:tcBorders>
          </w:tcPr>
          <w:p w:rsidR="00E77DC6" w:rsidRPr="00A8076F" w:rsidRDefault="00E77DC6" w:rsidP="001E2671">
            <w:pPr>
              <w:jc w:val="right"/>
              <w:rPr>
                <w:b/>
              </w:rPr>
            </w:pPr>
            <w:r w:rsidRPr="00A8076F">
              <w:rPr>
                <w:b/>
              </w:rPr>
              <w:t>NCDS</w:t>
            </w:r>
          </w:p>
          <w:p w:rsidR="00E77DC6" w:rsidRPr="00A8076F" w:rsidRDefault="00E77DC6" w:rsidP="001E2671">
            <w:pPr>
              <w:jc w:val="right"/>
              <w:rPr>
                <w:b/>
              </w:rPr>
            </w:pPr>
          </w:p>
        </w:tc>
        <w:tc>
          <w:tcPr>
            <w:tcW w:w="2926" w:type="dxa"/>
            <w:gridSpan w:val="2"/>
            <w:tcBorders>
              <w:top w:val="single" w:sz="4" w:space="0" w:color="auto"/>
              <w:left w:val="single" w:sz="4" w:space="0" w:color="auto"/>
              <w:bottom w:val="single" w:sz="4" w:space="0" w:color="auto"/>
              <w:right w:val="nil"/>
            </w:tcBorders>
          </w:tcPr>
          <w:p w:rsidR="00E77DC6" w:rsidRPr="00A8076F" w:rsidRDefault="00E77DC6" w:rsidP="001E2671">
            <w:pPr>
              <w:jc w:val="right"/>
              <w:rPr>
                <w:b/>
              </w:rPr>
            </w:pPr>
            <w:r w:rsidRPr="00A8076F">
              <w:rPr>
                <w:b/>
              </w:rPr>
              <w:t xml:space="preserve">BCS </w:t>
            </w:r>
          </w:p>
          <w:p w:rsidR="00E77DC6" w:rsidRPr="00A8076F" w:rsidRDefault="00E77DC6" w:rsidP="001E2671">
            <w:pPr>
              <w:jc w:val="right"/>
              <w:rPr>
                <w:b/>
              </w:rPr>
            </w:pPr>
          </w:p>
        </w:tc>
      </w:tr>
      <w:tr w:rsidR="00E77DC6" w:rsidRPr="00A8076F" w:rsidTr="00073326">
        <w:trPr>
          <w:trHeight w:val="96"/>
        </w:trPr>
        <w:tc>
          <w:tcPr>
            <w:tcW w:w="2623" w:type="dxa"/>
            <w:tcBorders>
              <w:top w:val="single" w:sz="4" w:space="0" w:color="auto"/>
              <w:left w:val="nil"/>
              <w:bottom w:val="single" w:sz="4" w:space="0" w:color="auto"/>
              <w:right w:val="single" w:sz="4" w:space="0" w:color="auto"/>
            </w:tcBorders>
          </w:tcPr>
          <w:p w:rsidR="00E77DC6" w:rsidRPr="00A8076F" w:rsidRDefault="00E77DC6" w:rsidP="001E2671">
            <w:pPr>
              <w:jc w:val="right"/>
              <w:rPr>
                <w:b/>
              </w:rPr>
            </w:pPr>
          </w:p>
        </w:tc>
        <w:tc>
          <w:tcPr>
            <w:tcW w:w="1568" w:type="dxa"/>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Work history</w:t>
            </w:r>
          </w:p>
        </w:tc>
        <w:tc>
          <w:tcPr>
            <w:tcW w:w="1405" w:type="dxa"/>
            <w:tcBorders>
              <w:top w:val="single" w:sz="4" w:space="0" w:color="auto"/>
              <w:left w:val="single" w:sz="4" w:space="0" w:color="auto"/>
              <w:bottom w:val="single" w:sz="4" w:space="0" w:color="auto"/>
              <w:right w:val="single" w:sz="4" w:space="0" w:color="auto"/>
            </w:tcBorders>
            <w:hideMark/>
          </w:tcPr>
          <w:p w:rsidR="00E77DC6" w:rsidRPr="00A8076F" w:rsidRDefault="00E77DC6" w:rsidP="001E2671">
            <w:pPr>
              <w:jc w:val="right"/>
              <w:rPr>
                <w:b/>
              </w:rPr>
            </w:pPr>
            <w:r w:rsidRPr="00A8076F">
              <w:rPr>
                <w:b/>
              </w:rPr>
              <w:t>No work history</w:t>
            </w:r>
          </w:p>
        </w:tc>
        <w:tc>
          <w:tcPr>
            <w:tcW w:w="1521" w:type="dxa"/>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Work history</w:t>
            </w:r>
          </w:p>
        </w:tc>
        <w:tc>
          <w:tcPr>
            <w:tcW w:w="1405" w:type="dxa"/>
            <w:tcBorders>
              <w:top w:val="single" w:sz="4" w:space="0" w:color="auto"/>
              <w:left w:val="single" w:sz="4" w:space="0" w:color="auto"/>
              <w:bottom w:val="single" w:sz="4" w:space="0" w:color="auto"/>
              <w:right w:val="nil"/>
            </w:tcBorders>
            <w:hideMark/>
          </w:tcPr>
          <w:p w:rsidR="00E77DC6" w:rsidRPr="00A8076F" w:rsidRDefault="00E77DC6" w:rsidP="001E2671">
            <w:pPr>
              <w:jc w:val="right"/>
              <w:rPr>
                <w:b/>
              </w:rPr>
            </w:pPr>
            <w:r w:rsidRPr="00A8076F">
              <w:rPr>
                <w:b/>
              </w:rPr>
              <w:t>No work history</w:t>
            </w:r>
          </w:p>
        </w:tc>
      </w:tr>
      <w:tr w:rsidR="00E77DC6" w:rsidRPr="00A8076F" w:rsidTr="00073326">
        <w:tc>
          <w:tcPr>
            <w:tcW w:w="2623" w:type="dxa"/>
            <w:tcBorders>
              <w:top w:val="single" w:sz="4" w:space="0" w:color="auto"/>
              <w:left w:val="nil"/>
              <w:bottom w:val="single" w:sz="4" w:space="0" w:color="auto"/>
              <w:right w:val="single" w:sz="4" w:space="0" w:color="auto"/>
            </w:tcBorders>
            <w:hideMark/>
          </w:tcPr>
          <w:p w:rsidR="00E77DC6" w:rsidRPr="00A8076F" w:rsidRDefault="00E77DC6" w:rsidP="001E2671">
            <w:pPr>
              <w:jc w:val="right"/>
              <w:rPr>
                <w:b/>
              </w:rPr>
            </w:pPr>
            <w:r w:rsidRPr="00A8076F">
              <w:rPr>
                <w:b/>
              </w:rPr>
              <w:t>Father’s education</w:t>
            </w:r>
          </w:p>
        </w:tc>
        <w:tc>
          <w:tcPr>
            <w:tcW w:w="1568"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single" w:sz="4" w:space="0" w:color="auto"/>
            </w:tcBorders>
          </w:tcPr>
          <w:p w:rsidR="00E77DC6" w:rsidRPr="00A8076F" w:rsidRDefault="00E77DC6" w:rsidP="001E2671">
            <w:pPr>
              <w:jc w:val="right"/>
              <w:rPr>
                <w:b/>
              </w:rPr>
            </w:pPr>
          </w:p>
        </w:tc>
        <w:tc>
          <w:tcPr>
            <w:tcW w:w="1521"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r>
      <w:tr w:rsidR="00E77DC6" w:rsidRPr="00A8076F" w:rsidTr="00073326">
        <w:tc>
          <w:tcPr>
            <w:tcW w:w="2623" w:type="dxa"/>
            <w:tcBorders>
              <w:top w:val="single" w:sz="4" w:space="0" w:color="auto"/>
              <w:left w:val="nil"/>
              <w:bottom w:val="nil"/>
              <w:right w:val="single" w:sz="4" w:space="0" w:color="auto"/>
            </w:tcBorders>
            <w:hideMark/>
          </w:tcPr>
          <w:p w:rsidR="00E77DC6" w:rsidRPr="00A8076F" w:rsidRDefault="00E77DC6" w:rsidP="001E2671">
            <w:pPr>
              <w:jc w:val="right"/>
            </w:pPr>
            <w:r w:rsidRPr="00A8076F">
              <w:t>Before school leaving age</w:t>
            </w:r>
          </w:p>
        </w:tc>
        <w:tc>
          <w:tcPr>
            <w:tcW w:w="1568" w:type="dxa"/>
            <w:tcBorders>
              <w:top w:val="single" w:sz="4" w:space="0" w:color="auto"/>
              <w:left w:val="single" w:sz="4" w:space="0" w:color="auto"/>
              <w:bottom w:val="nil"/>
              <w:right w:val="nil"/>
            </w:tcBorders>
            <w:hideMark/>
          </w:tcPr>
          <w:p w:rsidR="00E77DC6" w:rsidRPr="00A8076F" w:rsidRDefault="00E77DC6" w:rsidP="001E2671">
            <w:pPr>
              <w:jc w:val="right"/>
            </w:pPr>
            <w:r w:rsidRPr="00A8076F">
              <w:t>2.0</w:t>
            </w:r>
          </w:p>
        </w:tc>
        <w:tc>
          <w:tcPr>
            <w:tcW w:w="1405" w:type="dxa"/>
            <w:tcBorders>
              <w:top w:val="single" w:sz="4" w:space="0" w:color="auto"/>
              <w:left w:val="single" w:sz="4" w:space="0" w:color="auto"/>
              <w:bottom w:val="nil"/>
              <w:right w:val="single" w:sz="4" w:space="0" w:color="auto"/>
            </w:tcBorders>
            <w:hideMark/>
          </w:tcPr>
          <w:p w:rsidR="00E77DC6" w:rsidRPr="00A8076F" w:rsidRDefault="00E77DC6" w:rsidP="001E2671">
            <w:pPr>
              <w:jc w:val="right"/>
            </w:pPr>
            <w:r w:rsidRPr="00A8076F">
              <w:t>3.9</w:t>
            </w:r>
          </w:p>
        </w:tc>
        <w:tc>
          <w:tcPr>
            <w:tcW w:w="1521" w:type="dxa"/>
            <w:tcBorders>
              <w:top w:val="single" w:sz="4" w:space="0" w:color="auto"/>
              <w:left w:val="single" w:sz="4" w:space="0" w:color="auto"/>
              <w:bottom w:val="nil"/>
              <w:right w:val="nil"/>
            </w:tcBorders>
            <w:hideMark/>
          </w:tcPr>
          <w:p w:rsidR="00E77DC6" w:rsidRPr="00A8076F" w:rsidRDefault="00E77DC6" w:rsidP="001E2671">
            <w:pPr>
              <w:jc w:val="right"/>
            </w:pPr>
            <w:r w:rsidRPr="00A8076F">
              <w:t>0.</w:t>
            </w:r>
            <w:r w:rsidR="001E2671">
              <w:t>6</w:t>
            </w:r>
          </w:p>
        </w:tc>
        <w:tc>
          <w:tcPr>
            <w:tcW w:w="1405" w:type="dxa"/>
            <w:tcBorders>
              <w:top w:val="single" w:sz="4" w:space="0" w:color="auto"/>
              <w:left w:val="single" w:sz="4" w:space="0" w:color="auto"/>
              <w:bottom w:val="nil"/>
              <w:right w:val="nil"/>
            </w:tcBorders>
            <w:hideMark/>
          </w:tcPr>
          <w:p w:rsidR="00E77DC6" w:rsidRPr="00A8076F" w:rsidRDefault="00E77DC6" w:rsidP="001E2671">
            <w:pPr>
              <w:jc w:val="right"/>
            </w:pPr>
            <w:r w:rsidRPr="00A8076F">
              <w:t>0.</w:t>
            </w:r>
            <w:r w:rsidR="001E2671">
              <w:t>9</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School leaving age</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57.</w:t>
            </w:r>
            <w:r w:rsidR="001E2671">
              <w:t>3</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57.</w:t>
            </w:r>
            <w:r w:rsidR="001E2671">
              <w:t>5</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64.</w:t>
            </w:r>
            <w:r w:rsidR="001E2671">
              <w:t>7</w:t>
            </w:r>
          </w:p>
        </w:tc>
        <w:tc>
          <w:tcPr>
            <w:tcW w:w="1405" w:type="dxa"/>
            <w:tcBorders>
              <w:top w:val="nil"/>
              <w:left w:val="single" w:sz="4" w:space="0" w:color="auto"/>
              <w:bottom w:val="nil"/>
              <w:right w:val="nil"/>
            </w:tcBorders>
            <w:hideMark/>
          </w:tcPr>
          <w:p w:rsidR="00E77DC6" w:rsidRPr="00A8076F" w:rsidRDefault="001E2671" w:rsidP="001E2671">
            <w:pPr>
              <w:jc w:val="right"/>
            </w:pPr>
            <w:r>
              <w:t>69.4</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O-levels</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17.</w:t>
            </w:r>
            <w:r w:rsidR="001E2671">
              <w:t>5</w:t>
            </w:r>
          </w:p>
        </w:tc>
        <w:tc>
          <w:tcPr>
            <w:tcW w:w="1405" w:type="dxa"/>
            <w:tcBorders>
              <w:top w:val="nil"/>
              <w:left w:val="single" w:sz="4" w:space="0" w:color="auto"/>
              <w:bottom w:val="nil"/>
              <w:right w:val="single" w:sz="4" w:space="0" w:color="auto"/>
            </w:tcBorders>
            <w:hideMark/>
          </w:tcPr>
          <w:p w:rsidR="00E77DC6" w:rsidRPr="00A8076F" w:rsidRDefault="001E2671" w:rsidP="001E2671">
            <w:pPr>
              <w:jc w:val="right"/>
            </w:pPr>
            <w:r>
              <w:t>20.0</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14.1</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13.2</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A-levels</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14</w:t>
            </w:r>
            <w:r w:rsidR="001E2671">
              <w:t>6</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11.7</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11.3</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9.3</w:t>
            </w:r>
          </w:p>
        </w:tc>
      </w:tr>
      <w:tr w:rsidR="00E77DC6" w:rsidRPr="00A8076F" w:rsidTr="00073326">
        <w:tc>
          <w:tcPr>
            <w:tcW w:w="2623" w:type="dxa"/>
            <w:tcBorders>
              <w:top w:val="nil"/>
              <w:left w:val="nil"/>
              <w:bottom w:val="single" w:sz="4" w:space="0" w:color="auto"/>
              <w:right w:val="single" w:sz="4" w:space="0" w:color="auto"/>
            </w:tcBorders>
            <w:hideMark/>
          </w:tcPr>
          <w:p w:rsidR="00E77DC6" w:rsidRPr="00A8076F" w:rsidRDefault="00E77DC6" w:rsidP="001E2671">
            <w:pPr>
              <w:jc w:val="right"/>
            </w:pPr>
            <w:r w:rsidRPr="00A8076F">
              <w:t>Higher education</w:t>
            </w:r>
          </w:p>
        </w:tc>
        <w:tc>
          <w:tcPr>
            <w:tcW w:w="1568" w:type="dxa"/>
            <w:tcBorders>
              <w:top w:val="nil"/>
              <w:left w:val="single" w:sz="4" w:space="0" w:color="auto"/>
              <w:bottom w:val="single" w:sz="4" w:space="0" w:color="auto"/>
              <w:right w:val="nil"/>
            </w:tcBorders>
            <w:hideMark/>
          </w:tcPr>
          <w:p w:rsidR="00E77DC6" w:rsidRPr="00A8076F" w:rsidRDefault="00E77DC6" w:rsidP="001E2671">
            <w:pPr>
              <w:jc w:val="right"/>
            </w:pPr>
            <w:r w:rsidRPr="00A8076F">
              <w:t>8.</w:t>
            </w:r>
            <w:r w:rsidR="001E2671">
              <w:t>7</w:t>
            </w:r>
          </w:p>
        </w:tc>
        <w:tc>
          <w:tcPr>
            <w:tcW w:w="1405" w:type="dxa"/>
            <w:tcBorders>
              <w:top w:val="nil"/>
              <w:left w:val="single" w:sz="4" w:space="0" w:color="auto"/>
              <w:bottom w:val="single" w:sz="4" w:space="0" w:color="auto"/>
              <w:right w:val="single" w:sz="4" w:space="0" w:color="auto"/>
            </w:tcBorders>
            <w:hideMark/>
          </w:tcPr>
          <w:p w:rsidR="00E77DC6" w:rsidRPr="00A8076F" w:rsidRDefault="00E77DC6" w:rsidP="001E2671">
            <w:pPr>
              <w:jc w:val="right"/>
            </w:pPr>
            <w:r w:rsidRPr="00A8076F">
              <w:t>6.9</w:t>
            </w:r>
          </w:p>
        </w:tc>
        <w:tc>
          <w:tcPr>
            <w:tcW w:w="1521" w:type="dxa"/>
            <w:tcBorders>
              <w:top w:val="nil"/>
              <w:left w:val="single" w:sz="4" w:space="0" w:color="auto"/>
              <w:bottom w:val="single" w:sz="4" w:space="0" w:color="auto"/>
              <w:right w:val="nil"/>
            </w:tcBorders>
            <w:hideMark/>
          </w:tcPr>
          <w:p w:rsidR="00E77DC6" w:rsidRPr="00A8076F" w:rsidRDefault="00E77DC6" w:rsidP="001E2671">
            <w:pPr>
              <w:jc w:val="right"/>
            </w:pPr>
            <w:r w:rsidRPr="00A8076F">
              <w:t>9.3</w:t>
            </w:r>
          </w:p>
        </w:tc>
        <w:tc>
          <w:tcPr>
            <w:tcW w:w="1405" w:type="dxa"/>
            <w:tcBorders>
              <w:top w:val="nil"/>
              <w:left w:val="single" w:sz="4" w:space="0" w:color="auto"/>
              <w:bottom w:val="single" w:sz="4" w:space="0" w:color="auto"/>
              <w:right w:val="nil"/>
            </w:tcBorders>
            <w:hideMark/>
          </w:tcPr>
          <w:p w:rsidR="00E77DC6" w:rsidRPr="00A8076F" w:rsidRDefault="00E77DC6" w:rsidP="001E2671">
            <w:pPr>
              <w:jc w:val="right"/>
            </w:pPr>
            <w:r w:rsidRPr="00A8076F">
              <w:t>7.</w:t>
            </w:r>
            <w:r w:rsidR="001E2671">
              <w:t>3</w:t>
            </w:r>
          </w:p>
        </w:tc>
      </w:tr>
      <w:tr w:rsidR="00E77DC6" w:rsidRPr="00A8076F" w:rsidTr="00073326">
        <w:tc>
          <w:tcPr>
            <w:tcW w:w="2623" w:type="dxa"/>
            <w:tcBorders>
              <w:top w:val="single" w:sz="4" w:space="0" w:color="auto"/>
              <w:left w:val="nil"/>
              <w:bottom w:val="single" w:sz="4" w:space="0" w:color="auto"/>
              <w:right w:val="single" w:sz="4" w:space="0" w:color="auto"/>
            </w:tcBorders>
            <w:hideMark/>
          </w:tcPr>
          <w:p w:rsidR="00E77DC6" w:rsidRPr="00A8076F" w:rsidRDefault="00E77DC6" w:rsidP="001E2671">
            <w:pPr>
              <w:jc w:val="right"/>
              <w:rPr>
                <w:b/>
              </w:rPr>
            </w:pPr>
            <w:r w:rsidRPr="00A8076F">
              <w:rPr>
                <w:b/>
              </w:rPr>
              <w:t>Mother’s education</w:t>
            </w:r>
          </w:p>
        </w:tc>
        <w:tc>
          <w:tcPr>
            <w:tcW w:w="1568"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single" w:sz="4" w:space="0" w:color="auto"/>
            </w:tcBorders>
          </w:tcPr>
          <w:p w:rsidR="00E77DC6" w:rsidRPr="00A8076F" w:rsidRDefault="00E77DC6" w:rsidP="001E2671">
            <w:pPr>
              <w:jc w:val="right"/>
              <w:rPr>
                <w:b/>
              </w:rPr>
            </w:pPr>
          </w:p>
        </w:tc>
        <w:tc>
          <w:tcPr>
            <w:tcW w:w="1521"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r>
      <w:tr w:rsidR="00E77DC6" w:rsidRPr="00A8076F" w:rsidTr="00073326">
        <w:tc>
          <w:tcPr>
            <w:tcW w:w="2623" w:type="dxa"/>
            <w:tcBorders>
              <w:top w:val="single" w:sz="4" w:space="0" w:color="auto"/>
              <w:left w:val="nil"/>
              <w:bottom w:val="nil"/>
              <w:right w:val="single" w:sz="4" w:space="0" w:color="auto"/>
            </w:tcBorders>
            <w:hideMark/>
          </w:tcPr>
          <w:p w:rsidR="00E77DC6" w:rsidRPr="00A8076F" w:rsidRDefault="00E77DC6" w:rsidP="001E2671">
            <w:pPr>
              <w:jc w:val="right"/>
            </w:pPr>
            <w:r w:rsidRPr="00A8076F">
              <w:t>Before school leaving age</w:t>
            </w:r>
          </w:p>
        </w:tc>
        <w:tc>
          <w:tcPr>
            <w:tcW w:w="1568" w:type="dxa"/>
            <w:tcBorders>
              <w:top w:val="single" w:sz="4" w:space="0" w:color="auto"/>
              <w:left w:val="single" w:sz="4" w:space="0" w:color="auto"/>
              <w:bottom w:val="nil"/>
              <w:right w:val="nil"/>
            </w:tcBorders>
            <w:hideMark/>
          </w:tcPr>
          <w:p w:rsidR="00E77DC6" w:rsidRPr="00A8076F" w:rsidRDefault="00E77DC6" w:rsidP="001E2671">
            <w:pPr>
              <w:jc w:val="right"/>
            </w:pPr>
            <w:r w:rsidRPr="00A8076F">
              <w:t>1.</w:t>
            </w:r>
            <w:r w:rsidR="001E2671">
              <w:t>7</w:t>
            </w:r>
          </w:p>
        </w:tc>
        <w:tc>
          <w:tcPr>
            <w:tcW w:w="1405" w:type="dxa"/>
            <w:tcBorders>
              <w:top w:val="single" w:sz="4" w:space="0" w:color="auto"/>
              <w:left w:val="single" w:sz="4" w:space="0" w:color="auto"/>
              <w:bottom w:val="nil"/>
              <w:right w:val="single" w:sz="4" w:space="0" w:color="auto"/>
            </w:tcBorders>
            <w:hideMark/>
          </w:tcPr>
          <w:p w:rsidR="00E77DC6" w:rsidRPr="00A8076F" w:rsidRDefault="00E77DC6" w:rsidP="001E2671">
            <w:pPr>
              <w:jc w:val="right"/>
            </w:pPr>
            <w:r w:rsidRPr="00A8076F">
              <w:t>3.7</w:t>
            </w:r>
          </w:p>
        </w:tc>
        <w:tc>
          <w:tcPr>
            <w:tcW w:w="1521" w:type="dxa"/>
            <w:tcBorders>
              <w:top w:val="single" w:sz="4" w:space="0" w:color="auto"/>
              <w:left w:val="single" w:sz="4" w:space="0" w:color="auto"/>
              <w:bottom w:val="nil"/>
              <w:right w:val="nil"/>
            </w:tcBorders>
            <w:hideMark/>
          </w:tcPr>
          <w:p w:rsidR="00E77DC6" w:rsidRPr="00A8076F" w:rsidRDefault="00E77DC6" w:rsidP="001E2671">
            <w:pPr>
              <w:jc w:val="right"/>
            </w:pPr>
            <w:r w:rsidRPr="00A8076F">
              <w:t>0.</w:t>
            </w:r>
            <w:r w:rsidR="001E2671">
              <w:t>9</w:t>
            </w:r>
          </w:p>
        </w:tc>
        <w:tc>
          <w:tcPr>
            <w:tcW w:w="1405" w:type="dxa"/>
            <w:tcBorders>
              <w:top w:val="single" w:sz="4" w:space="0" w:color="auto"/>
              <w:left w:val="single" w:sz="4" w:space="0" w:color="auto"/>
              <w:bottom w:val="nil"/>
              <w:right w:val="nil"/>
            </w:tcBorders>
            <w:hideMark/>
          </w:tcPr>
          <w:p w:rsidR="00E77DC6" w:rsidRPr="00A8076F" w:rsidRDefault="00E77DC6" w:rsidP="001E2671">
            <w:pPr>
              <w:jc w:val="right"/>
            </w:pPr>
            <w:r w:rsidRPr="00A8076F">
              <w:t>1.</w:t>
            </w:r>
            <w:r w:rsidR="001E2671">
              <w:t>2</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School leaving age</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46.</w:t>
            </w:r>
            <w:r w:rsidR="001E2671">
              <w:t>8</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46.</w:t>
            </w:r>
            <w:r w:rsidR="001E2671">
              <w:t>6</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63.7</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68.</w:t>
            </w:r>
            <w:r w:rsidR="001E2671">
              <w:t>1</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O-levels</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29.</w:t>
            </w:r>
            <w:r w:rsidR="001E2671">
              <w:t>3</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30.</w:t>
            </w:r>
            <w:r w:rsidR="001E2671">
              <w:t>6</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16.7</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16.0</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A-levels</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16.5</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14.</w:t>
            </w:r>
            <w:r w:rsidR="001E2671">
              <w:t>5</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12.3</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9.9</w:t>
            </w:r>
          </w:p>
        </w:tc>
      </w:tr>
      <w:tr w:rsidR="00E77DC6" w:rsidRPr="00A8076F" w:rsidTr="00073326">
        <w:tc>
          <w:tcPr>
            <w:tcW w:w="2623" w:type="dxa"/>
            <w:tcBorders>
              <w:top w:val="nil"/>
              <w:left w:val="nil"/>
              <w:bottom w:val="single" w:sz="4" w:space="0" w:color="auto"/>
              <w:right w:val="single" w:sz="4" w:space="0" w:color="auto"/>
            </w:tcBorders>
            <w:hideMark/>
          </w:tcPr>
          <w:p w:rsidR="00E77DC6" w:rsidRPr="00A8076F" w:rsidRDefault="00E77DC6" w:rsidP="001E2671">
            <w:pPr>
              <w:jc w:val="right"/>
            </w:pPr>
            <w:r w:rsidRPr="00A8076F">
              <w:t>Higher education</w:t>
            </w:r>
          </w:p>
        </w:tc>
        <w:tc>
          <w:tcPr>
            <w:tcW w:w="1568" w:type="dxa"/>
            <w:tcBorders>
              <w:top w:val="nil"/>
              <w:left w:val="single" w:sz="4" w:space="0" w:color="auto"/>
              <w:bottom w:val="single" w:sz="4" w:space="0" w:color="auto"/>
              <w:right w:val="nil"/>
            </w:tcBorders>
            <w:hideMark/>
          </w:tcPr>
          <w:p w:rsidR="00E77DC6" w:rsidRPr="00A8076F" w:rsidRDefault="00E77DC6" w:rsidP="001E2671">
            <w:pPr>
              <w:jc w:val="right"/>
            </w:pPr>
            <w:r w:rsidRPr="00A8076F">
              <w:t>5.7</w:t>
            </w:r>
          </w:p>
        </w:tc>
        <w:tc>
          <w:tcPr>
            <w:tcW w:w="1405" w:type="dxa"/>
            <w:tcBorders>
              <w:top w:val="nil"/>
              <w:left w:val="single" w:sz="4" w:space="0" w:color="auto"/>
              <w:bottom w:val="single" w:sz="4" w:space="0" w:color="auto"/>
              <w:right w:val="single" w:sz="4" w:space="0" w:color="auto"/>
            </w:tcBorders>
            <w:hideMark/>
          </w:tcPr>
          <w:p w:rsidR="00E77DC6" w:rsidRPr="00A8076F" w:rsidRDefault="00E77DC6" w:rsidP="001E2671">
            <w:pPr>
              <w:jc w:val="right"/>
            </w:pPr>
            <w:r w:rsidRPr="00A8076F">
              <w:t>4.7</w:t>
            </w:r>
          </w:p>
        </w:tc>
        <w:tc>
          <w:tcPr>
            <w:tcW w:w="1521" w:type="dxa"/>
            <w:tcBorders>
              <w:top w:val="nil"/>
              <w:left w:val="single" w:sz="4" w:space="0" w:color="auto"/>
              <w:bottom w:val="single" w:sz="4" w:space="0" w:color="auto"/>
              <w:right w:val="nil"/>
            </w:tcBorders>
            <w:hideMark/>
          </w:tcPr>
          <w:p w:rsidR="00E77DC6" w:rsidRPr="00A8076F" w:rsidRDefault="00E77DC6" w:rsidP="001E2671">
            <w:pPr>
              <w:jc w:val="right"/>
            </w:pPr>
            <w:r w:rsidRPr="00A8076F">
              <w:t>6.3</w:t>
            </w:r>
          </w:p>
        </w:tc>
        <w:tc>
          <w:tcPr>
            <w:tcW w:w="1405" w:type="dxa"/>
            <w:tcBorders>
              <w:top w:val="nil"/>
              <w:left w:val="single" w:sz="4" w:space="0" w:color="auto"/>
              <w:bottom w:val="single" w:sz="4" w:space="0" w:color="auto"/>
              <w:right w:val="nil"/>
            </w:tcBorders>
            <w:hideMark/>
          </w:tcPr>
          <w:p w:rsidR="00E77DC6" w:rsidRPr="00A8076F" w:rsidRDefault="001E2671" w:rsidP="001E2671">
            <w:pPr>
              <w:jc w:val="right"/>
            </w:pPr>
            <w:r>
              <w:t>4.</w:t>
            </w:r>
            <w:r w:rsidR="00E77DC6" w:rsidRPr="00A8076F">
              <w:t>2</w:t>
            </w:r>
          </w:p>
        </w:tc>
      </w:tr>
      <w:tr w:rsidR="00E77DC6" w:rsidRPr="00A8076F" w:rsidTr="00073326">
        <w:tc>
          <w:tcPr>
            <w:tcW w:w="2623" w:type="dxa"/>
            <w:tcBorders>
              <w:top w:val="single" w:sz="4" w:space="0" w:color="auto"/>
              <w:left w:val="nil"/>
              <w:bottom w:val="single" w:sz="4" w:space="0" w:color="auto"/>
              <w:right w:val="single" w:sz="4" w:space="0" w:color="auto"/>
            </w:tcBorders>
            <w:hideMark/>
          </w:tcPr>
          <w:p w:rsidR="00E77DC6" w:rsidRPr="00A8076F" w:rsidRDefault="00E77DC6" w:rsidP="001E2671">
            <w:pPr>
              <w:jc w:val="right"/>
              <w:rPr>
                <w:b/>
              </w:rPr>
            </w:pPr>
            <w:r w:rsidRPr="00A8076F">
              <w:rPr>
                <w:b/>
              </w:rPr>
              <w:t>Father’s social class</w:t>
            </w:r>
          </w:p>
        </w:tc>
        <w:tc>
          <w:tcPr>
            <w:tcW w:w="1568"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single" w:sz="4" w:space="0" w:color="auto"/>
            </w:tcBorders>
          </w:tcPr>
          <w:p w:rsidR="00E77DC6" w:rsidRPr="00A8076F" w:rsidRDefault="00E77DC6" w:rsidP="001E2671">
            <w:pPr>
              <w:jc w:val="right"/>
              <w:rPr>
                <w:b/>
              </w:rPr>
            </w:pPr>
          </w:p>
        </w:tc>
        <w:tc>
          <w:tcPr>
            <w:tcW w:w="1521"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r>
      <w:tr w:rsidR="00E77DC6" w:rsidRPr="00A8076F" w:rsidTr="00073326">
        <w:tc>
          <w:tcPr>
            <w:tcW w:w="2623" w:type="dxa"/>
            <w:tcBorders>
              <w:top w:val="single" w:sz="4" w:space="0" w:color="auto"/>
              <w:left w:val="nil"/>
              <w:bottom w:val="nil"/>
              <w:right w:val="single" w:sz="4" w:space="0" w:color="auto"/>
            </w:tcBorders>
            <w:hideMark/>
          </w:tcPr>
          <w:p w:rsidR="00E77DC6" w:rsidRPr="00A8076F" w:rsidRDefault="00E77DC6" w:rsidP="001E2671">
            <w:pPr>
              <w:jc w:val="right"/>
            </w:pPr>
            <w:r w:rsidRPr="00A8076F">
              <w:t>I</w:t>
            </w:r>
          </w:p>
        </w:tc>
        <w:tc>
          <w:tcPr>
            <w:tcW w:w="1568" w:type="dxa"/>
            <w:tcBorders>
              <w:top w:val="single" w:sz="4" w:space="0" w:color="auto"/>
              <w:left w:val="single" w:sz="4" w:space="0" w:color="auto"/>
              <w:bottom w:val="nil"/>
              <w:right w:val="nil"/>
            </w:tcBorders>
            <w:hideMark/>
          </w:tcPr>
          <w:p w:rsidR="00E77DC6" w:rsidRPr="00A8076F" w:rsidRDefault="001E2671" w:rsidP="001E2671">
            <w:pPr>
              <w:jc w:val="right"/>
            </w:pPr>
            <w:r>
              <w:t>5.0</w:t>
            </w:r>
          </w:p>
        </w:tc>
        <w:tc>
          <w:tcPr>
            <w:tcW w:w="1405" w:type="dxa"/>
            <w:tcBorders>
              <w:top w:val="single" w:sz="4" w:space="0" w:color="auto"/>
              <w:left w:val="single" w:sz="4" w:space="0" w:color="auto"/>
              <w:bottom w:val="nil"/>
              <w:right w:val="single" w:sz="4" w:space="0" w:color="auto"/>
            </w:tcBorders>
            <w:hideMark/>
          </w:tcPr>
          <w:p w:rsidR="00E77DC6" w:rsidRPr="00A8076F" w:rsidRDefault="00E77DC6" w:rsidP="001E2671">
            <w:pPr>
              <w:jc w:val="right"/>
            </w:pPr>
            <w:r w:rsidRPr="00A8076F">
              <w:t>4.0</w:t>
            </w:r>
          </w:p>
        </w:tc>
        <w:tc>
          <w:tcPr>
            <w:tcW w:w="1521" w:type="dxa"/>
            <w:tcBorders>
              <w:top w:val="single" w:sz="4" w:space="0" w:color="auto"/>
              <w:left w:val="single" w:sz="4" w:space="0" w:color="auto"/>
              <w:bottom w:val="nil"/>
              <w:right w:val="nil"/>
            </w:tcBorders>
            <w:hideMark/>
          </w:tcPr>
          <w:p w:rsidR="00E77DC6" w:rsidRPr="00A8076F" w:rsidRDefault="00E77DC6" w:rsidP="001E2671">
            <w:pPr>
              <w:jc w:val="right"/>
            </w:pPr>
            <w:r w:rsidRPr="00A8076F">
              <w:t>5.8</w:t>
            </w:r>
          </w:p>
        </w:tc>
        <w:tc>
          <w:tcPr>
            <w:tcW w:w="1405" w:type="dxa"/>
            <w:tcBorders>
              <w:top w:val="single" w:sz="4" w:space="0" w:color="auto"/>
              <w:left w:val="single" w:sz="4" w:space="0" w:color="auto"/>
              <w:bottom w:val="nil"/>
              <w:right w:val="nil"/>
            </w:tcBorders>
            <w:hideMark/>
          </w:tcPr>
          <w:p w:rsidR="00E77DC6" w:rsidRPr="00A8076F" w:rsidRDefault="00E77DC6" w:rsidP="001E2671">
            <w:pPr>
              <w:jc w:val="right"/>
            </w:pPr>
            <w:r w:rsidRPr="00A8076F">
              <w:t>4.</w:t>
            </w:r>
            <w:r w:rsidR="001E2671">
              <w:t>4</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II</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14.</w:t>
            </w:r>
            <w:r w:rsidR="001E2671">
              <w:t>2</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11.4</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12.</w:t>
            </w:r>
            <w:r w:rsidR="001E2671">
              <w:t>5</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10.6</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III nm (BCS only)</w:t>
            </w:r>
          </w:p>
        </w:tc>
        <w:tc>
          <w:tcPr>
            <w:tcW w:w="1568" w:type="dxa"/>
            <w:tcBorders>
              <w:top w:val="nil"/>
              <w:left w:val="single" w:sz="4" w:space="0" w:color="auto"/>
              <w:bottom w:val="nil"/>
              <w:right w:val="nil"/>
            </w:tcBorders>
          </w:tcPr>
          <w:p w:rsidR="00E77DC6" w:rsidRPr="00A8076F" w:rsidRDefault="00E77DC6" w:rsidP="001E2671">
            <w:pPr>
              <w:jc w:val="right"/>
            </w:pPr>
          </w:p>
        </w:tc>
        <w:tc>
          <w:tcPr>
            <w:tcW w:w="1405" w:type="dxa"/>
            <w:tcBorders>
              <w:top w:val="nil"/>
              <w:left w:val="single" w:sz="4" w:space="0" w:color="auto"/>
              <w:bottom w:val="nil"/>
              <w:right w:val="single" w:sz="4" w:space="0" w:color="auto"/>
            </w:tcBorders>
          </w:tcPr>
          <w:p w:rsidR="00E77DC6" w:rsidRPr="00A8076F" w:rsidRDefault="00E77DC6" w:rsidP="001E2671">
            <w:pPr>
              <w:jc w:val="right"/>
            </w:pP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13.</w:t>
            </w:r>
            <w:r w:rsidR="001E2671">
              <w:t>6</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10.2</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III (m in BCS)</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61.</w:t>
            </w:r>
            <w:r w:rsidR="001E2671">
              <w:t>3</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60.</w:t>
            </w:r>
            <w:r w:rsidR="001E2671">
              <w:t>3</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47.7</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48.9</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IV</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11.8</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11.</w:t>
            </w:r>
            <w:r w:rsidR="001E2671">
              <w:t>5</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14.5</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17.</w:t>
            </w:r>
            <w:r w:rsidR="001E2671">
              <w:t>4</w:t>
            </w:r>
          </w:p>
        </w:tc>
      </w:tr>
      <w:tr w:rsidR="00E77DC6" w:rsidRPr="00A8076F" w:rsidTr="00073326">
        <w:tc>
          <w:tcPr>
            <w:tcW w:w="2623" w:type="dxa"/>
            <w:tcBorders>
              <w:top w:val="nil"/>
              <w:left w:val="nil"/>
              <w:bottom w:val="nil"/>
              <w:right w:val="single" w:sz="4" w:space="0" w:color="auto"/>
            </w:tcBorders>
            <w:hideMark/>
          </w:tcPr>
          <w:p w:rsidR="00E77DC6" w:rsidRPr="00A8076F" w:rsidRDefault="00E77DC6" w:rsidP="001E2671">
            <w:pPr>
              <w:jc w:val="right"/>
            </w:pPr>
            <w:r w:rsidRPr="00A8076F">
              <w:t>V</w:t>
            </w:r>
          </w:p>
        </w:tc>
        <w:tc>
          <w:tcPr>
            <w:tcW w:w="1568" w:type="dxa"/>
            <w:tcBorders>
              <w:top w:val="nil"/>
              <w:left w:val="single" w:sz="4" w:space="0" w:color="auto"/>
              <w:bottom w:val="nil"/>
              <w:right w:val="nil"/>
            </w:tcBorders>
            <w:hideMark/>
          </w:tcPr>
          <w:p w:rsidR="00E77DC6" w:rsidRPr="00A8076F" w:rsidRDefault="00E77DC6" w:rsidP="001E2671">
            <w:pPr>
              <w:jc w:val="right"/>
            </w:pPr>
            <w:r w:rsidRPr="00A8076F">
              <w:t>7.</w:t>
            </w:r>
            <w:r w:rsidR="001E2671">
              <w:t>8</w:t>
            </w:r>
          </w:p>
        </w:tc>
        <w:tc>
          <w:tcPr>
            <w:tcW w:w="1405" w:type="dxa"/>
            <w:tcBorders>
              <w:top w:val="nil"/>
              <w:left w:val="single" w:sz="4" w:space="0" w:color="auto"/>
              <w:bottom w:val="nil"/>
              <w:right w:val="single" w:sz="4" w:space="0" w:color="auto"/>
            </w:tcBorders>
            <w:hideMark/>
          </w:tcPr>
          <w:p w:rsidR="00E77DC6" w:rsidRPr="00A8076F" w:rsidRDefault="00E77DC6" w:rsidP="001E2671">
            <w:pPr>
              <w:jc w:val="right"/>
            </w:pPr>
            <w:r w:rsidRPr="00A8076F">
              <w:t>12.</w:t>
            </w:r>
            <w:r w:rsidR="001E2671">
              <w:t>8</w:t>
            </w:r>
          </w:p>
        </w:tc>
        <w:tc>
          <w:tcPr>
            <w:tcW w:w="1521" w:type="dxa"/>
            <w:tcBorders>
              <w:top w:val="nil"/>
              <w:left w:val="single" w:sz="4" w:space="0" w:color="auto"/>
              <w:bottom w:val="nil"/>
              <w:right w:val="nil"/>
            </w:tcBorders>
            <w:hideMark/>
          </w:tcPr>
          <w:p w:rsidR="00E77DC6" w:rsidRPr="00A8076F" w:rsidRDefault="00E77DC6" w:rsidP="001E2671">
            <w:pPr>
              <w:jc w:val="right"/>
            </w:pPr>
            <w:r w:rsidRPr="00A8076F">
              <w:t>5.</w:t>
            </w:r>
            <w:r w:rsidR="001E2671">
              <w:t>9</w:t>
            </w:r>
          </w:p>
        </w:tc>
        <w:tc>
          <w:tcPr>
            <w:tcW w:w="1405" w:type="dxa"/>
            <w:tcBorders>
              <w:top w:val="nil"/>
              <w:left w:val="single" w:sz="4" w:space="0" w:color="auto"/>
              <w:bottom w:val="nil"/>
              <w:right w:val="nil"/>
            </w:tcBorders>
            <w:hideMark/>
          </w:tcPr>
          <w:p w:rsidR="00E77DC6" w:rsidRPr="00A8076F" w:rsidRDefault="00E77DC6" w:rsidP="001E2671">
            <w:pPr>
              <w:jc w:val="right"/>
            </w:pPr>
            <w:r w:rsidRPr="00A8076F">
              <w:t>8.5</w:t>
            </w:r>
          </w:p>
        </w:tc>
      </w:tr>
      <w:tr w:rsidR="00E77DC6" w:rsidRPr="00A8076F" w:rsidTr="00073326">
        <w:tc>
          <w:tcPr>
            <w:tcW w:w="2623" w:type="dxa"/>
            <w:tcBorders>
              <w:top w:val="single" w:sz="4" w:space="0" w:color="auto"/>
              <w:left w:val="nil"/>
              <w:bottom w:val="single" w:sz="4" w:space="0" w:color="auto"/>
              <w:right w:val="single" w:sz="4" w:space="0" w:color="auto"/>
            </w:tcBorders>
            <w:hideMark/>
          </w:tcPr>
          <w:p w:rsidR="00E77DC6" w:rsidRPr="00A8076F" w:rsidRDefault="00E77DC6" w:rsidP="001E2671">
            <w:pPr>
              <w:jc w:val="right"/>
              <w:rPr>
                <w:b/>
              </w:rPr>
            </w:pPr>
            <w:r w:rsidRPr="00A8076F">
              <w:rPr>
                <w:b/>
              </w:rPr>
              <w:t>Sons characteristics</w:t>
            </w:r>
          </w:p>
        </w:tc>
        <w:tc>
          <w:tcPr>
            <w:tcW w:w="1568"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single" w:sz="4" w:space="0" w:color="auto"/>
            </w:tcBorders>
          </w:tcPr>
          <w:p w:rsidR="00E77DC6" w:rsidRPr="00A8076F" w:rsidRDefault="00E77DC6" w:rsidP="001E2671">
            <w:pPr>
              <w:jc w:val="right"/>
              <w:rPr>
                <w:b/>
              </w:rPr>
            </w:pPr>
          </w:p>
        </w:tc>
        <w:tc>
          <w:tcPr>
            <w:tcW w:w="1521"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c>
          <w:tcPr>
            <w:tcW w:w="1405" w:type="dxa"/>
            <w:tcBorders>
              <w:top w:val="single" w:sz="4" w:space="0" w:color="auto"/>
              <w:left w:val="single" w:sz="4" w:space="0" w:color="auto"/>
              <w:bottom w:val="single" w:sz="4" w:space="0" w:color="auto"/>
              <w:right w:val="nil"/>
            </w:tcBorders>
          </w:tcPr>
          <w:p w:rsidR="00E77DC6" w:rsidRPr="00A8076F" w:rsidRDefault="00E77DC6" w:rsidP="001E2671">
            <w:pPr>
              <w:jc w:val="right"/>
              <w:rPr>
                <w:b/>
              </w:rPr>
            </w:pPr>
          </w:p>
        </w:tc>
      </w:tr>
      <w:tr w:rsidR="00E77DC6" w:rsidRPr="00A8076F" w:rsidTr="00073326">
        <w:tc>
          <w:tcPr>
            <w:tcW w:w="2623" w:type="dxa"/>
            <w:tcBorders>
              <w:top w:val="single" w:sz="4" w:space="0" w:color="auto"/>
              <w:left w:val="nil"/>
              <w:bottom w:val="single" w:sz="4" w:space="0" w:color="auto"/>
              <w:right w:val="single" w:sz="4" w:space="0" w:color="auto"/>
            </w:tcBorders>
            <w:hideMark/>
          </w:tcPr>
          <w:p w:rsidR="00E77DC6" w:rsidRPr="00A8076F" w:rsidRDefault="00E77DC6" w:rsidP="001E2671">
            <w:pPr>
              <w:jc w:val="right"/>
            </w:pPr>
            <w:r w:rsidRPr="00A8076F">
              <w:t>IQ test score</w:t>
            </w:r>
          </w:p>
        </w:tc>
        <w:tc>
          <w:tcPr>
            <w:tcW w:w="1568" w:type="dxa"/>
            <w:tcBorders>
              <w:top w:val="single" w:sz="4" w:space="0" w:color="auto"/>
              <w:left w:val="single" w:sz="4" w:space="0" w:color="auto"/>
              <w:bottom w:val="single" w:sz="4" w:space="0" w:color="auto"/>
              <w:right w:val="nil"/>
            </w:tcBorders>
            <w:hideMark/>
          </w:tcPr>
          <w:p w:rsidR="00E77DC6" w:rsidRPr="00A8076F" w:rsidRDefault="00E77DC6" w:rsidP="001E2671">
            <w:pPr>
              <w:jc w:val="right"/>
            </w:pPr>
            <w:r w:rsidRPr="00A8076F">
              <w:t>100.</w:t>
            </w:r>
            <w:r w:rsidR="001E2671">
              <w:t>6</w:t>
            </w:r>
          </w:p>
        </w:tc>
        <w:tc>
          <w:tcPr>
            <w:tcW w:w="1405" w:type="dxa"/>
            <w:tcBorders>
              <w:top w:val="single" w:sz="4" w:space="0" w:color="auto"/>
              <w:left w:val="single" w:sz="4" w:space="0" w:color="auto"/>
              <w:bottom w:val="single" w:sz="4" w:space="0" w:color="auto"/>
              <w:right w:val="single" w:sz="4" w:space="0" w:color="auto"/>
            </w:tcBorders>
            <w:hideMark/>
          </w:tcPr>
          <w:p w:rsidR="00E77DC6" w:rsidRPr="00A8076F" w:rsidRDefault="00E77DC6" w:rsidP="001E2671">
            <w:pPr>
              <w:jc w:val="right"/>
            </w:pPr>
            <w:r w:rsidRPr="00A8076F">
              <w:t>97.3</w:t>
            </w:r>
          </w:p>
        </w:tc>
        <w:tc>
          <w:tcPr>
            <w:tcW w:w="1521" w:type="dxa"/>
            <w:tcBorders>
              <w:top w:val="single" w:sz="4" w:space="0" w:color="auto"/>
              <w:left w:val="single" w:sz="4" w:space="0" w:color="auto"/>
              <w:bottom w:val="single" w:sz="4" w:space="0" w:color="auto"/>
              <w:right w:val="nil"/>
            </w:tcBorders>
            <w:hideMark/>
          </w:tcPr>
          <w:p w:rsidR="00E77DC6" w:rsidRPr="00A8076F" w:rsidRDefault="00E77DC6" w:rsidP="001E2671">
            <w:pPr>
              <w:jc w:val="right"/>
            </w:pPr>
            <w:r w:rsidRPr="00A8076F">
              <w:t>101.0</w:t>
            </w:r>
          </w:p>
        </w:tc>
        <w:tc>
          <w:tcPr>
            <w:tcW w:w="1405" w:type="dxa"/>
            <w:tcBorders>
              <w:top w:val="single" w:sz="4" w:space="0" w:color="auto"/>
              <w:left w:val="single" w:sz="4" w:space="0" w:color="auto"/>
              <w:bottom w:val="single" w:sz="4" w:space="0" w:color="auto"/>
              <w:right w:val="nil"/>
            </w:tcBorders>
            <w:hideMark/>
          </w:tcPr>
          <w:p w:rsidR="00E77DC6" w:rsidRPr="00A8076F" w:rsidRDefault="00E77DC6" w:rsidP="001E2671">
            <w:pPr>
              <w:jc w:val="right"/>
            </w:pPr>
            <w:r w:rsidRPr="00A8076F">
              <w:t>98.</w:t>
            </w:r>
            <w:r w:rsidR="001E2671">
              <w:t>5</w:t>
            </w:r>
          </w:p>
        </w:tc>
      </w:tr>
    </w:tbl>
    <w:p w:rsidR="00E77DC6" w:rsidRPr="00A8076F" w:rsidRDefault="00E77DC6" w:rsidP="00E77DC6">
      <w:r w:rsidRPr="00A8076F">
        <w:rPr>
          <w:sz w:val="16"/>
          <w:szCs w:val="16"/>
        </w:rPr>
        <w:t xml:space="preserve">Father’s education observed for 63% of total sample in NCDS and 94% in BCS, Mother’s education observed for 65% of total sample in NCDS and 98% in BC. Father’s class observed for 93% of total sample in NCDS and 91% in BCS, IQ observed for 80% of total sample in NCDS and 67% in </w:t>
      </w:r>
      <w:proofErr w:type="gramStart"/>
      <w:r w:rsidRPr="00A8076F">
        <w:rPr>
          <w:sz w:val="16"/>
          <w:szCs w:val="16"/>
        </w:rPr>
        <w:t xml:space="preserve">BCS </w:t>
      </w:r>
      <w:r w:rsidRPr="00A8076F">
        <w:t xml:space="preserve"> </w:t>
      </w:r>
      <w:proofErr w:type="gramEnd"/>
      <w:hyperlink r:id="rId12" w:history="1">
        <w:r w:rsidRPr="00A8076F">
          <w:rPr>
            <w:rStyle w:val="Hyperlink"/>
            <w:rFonts w:eastAsiaTheme="majorEastAsia"/>
            <w:sz w:val="16"/>
            <w:szCs w:val="16"/>
          </w:rPr>
          <w:t>http://www.cls.ioe.ac.uk/studies.asp?section=000100020003</w:t>
        </w:r>
      </w:hyperlink>
    </w:p>
    <w:p w:rsidR="0012240C" w:rsidRDefault="00E77DC6" w:rsidP="0012240C">
      <w:pPr>
        <w:spacing w:after="200"/>
      </w:pPr>
      <w:r>
        <w:br w:type="page"/>
      </w:r>
    </w:p>
    <w:p w:rsidR="00E77DC6" w:rsidRPr="00A8076F" w:rsidRDefault="00E77DC6" w:rsidP="00E77DC6">
      <w:r w:rsidRPr="00A8076F">
        <w:rPr>
          <w:b/>
        </w:rPr>
        <w:lastRenderedPageBreak/>
        <w:t xml:space="preserve">Table </w:t>
      </w:r>
      <w:r>
        <w:rPr>
          <w:b/>
        </w:rPr>
        <w:t>A3</w:t>
      </w:r>
      <w:r w:rsidRPr="00A8076F">
        <w:rPr>
          <w:b/>
        </w:rPr>
        <w:t xml:space="preserve">: </w:t>
      </w:r>
      <w:r w:rsidRPr="00A8076F">
        <w:t>Creating comparable 1</w:t>
      </w:r>
      <w:r w:rsidRPr="00A8076F">
        <w:rPr>
          <w:vertAlign w:val="superscript"/>
        </w:rPr>
        <w:t>st</w:t>
      </w:r>
      <w:r w:rsidRPr="00A8076F">
        <w:t xml:space="preserve"> generation (father) workless measures from the NCDS, BCS and BHPS work history data</w:t>
      </w:r>
    </w:p>
    <w:p w:rsidR="00E77DC6" w:rsidRPr="00A8076F" w:rsidRDefault="00E77DC6" w:rsidP="00E77DC6">
      <w:pPr>
        <w:jc w:val="both"/>
        <w:rPr>
          <w:b/>
        </w:rPr>
      </w:pPr>
    </w:p>
    <w:p w:rsidR="00E77DC6" w:rsidRPr="00A8076F" w:rsidRDefault="00E77DC6" w:rsidP="00E77DC6">
      <w:pPr>
        <w:rPr>
          <w:b/>
        </w:rPr>
      </w:pPr>
      <w:r w:rsidRPr="00A8076F">
        <w:rPr>
          <w:b/>
        </w:rPr>
        <w:t>NCDS (1958)</w:t>
      </w:r>
    </w:p>
    <w:tbl>
      <w:tblPr>
        <w:tblW w:w="0" w:type="auto"/>
        <w:jc w:val="center"/>
        <w:tblBorders>
          <w:top w:val="single" w:sz="4" w:space="0" w:color="auto"/>
          <w:bottom w:val="single" w:sz="4" w:space="0" w:color="auto"/>
        </w:tblBorders>
        <w:tblLook w:val="04A0"/>
      </w:tblPr>
      <w:tblGrid>
        <w:gridCol w:w="1704"/>
        <w:gridCol w:w="1704"/>
        <w:gridCol w:w="1704"/>
        <w:gridCol w:w="1705"/>
        <w:gridCol w:w="1705"/>
      </w:tblGrid>
      <w:tr w:rsidR="00E77DC6" w:rsidRPr="00A8076F" w:rsidTr="00073326">
        <w:trPr>
          <w:jc w:val="center"/>
        </w:trPr>
        <w:tc>
          <w:tcPr>
            <w:tcW w:w="1704" w:type="dxa"/>
            <w:tcBorders>
              <w:top w:val="single" w:sz="4" w:space="0" w:color="auto"/>
              <w:bottom w:val="single" w:sz="4" w:space="0" w:color="auto"/>
              <w:right w:val="nil"/>
            </w:tcBorders>
          </w:tcPr>
          <w:p w:rsidR="00E77DC6" w:rsidRPr="00A8076F" w:rsidRDefault="00E77DC6" w:rsidP="001E2671">
            <w:pPr>
              <w:jc w:val="right"/>
              <w:rPr>
                <w:b/>
              </w:rPr>
            </w:pPr>
            <w:r w:rsidRPr="00A8076F">
              <w:rPr>
                <w:b/>
              </w:rPr>
              <w:t>Age of son   16</w:t>
            </w:r>
          </w:p>
          <w:p w:rsidR="00E77DC6" w:rsidRPr="00A8076F" w:rsidRDefault="00E77DC6" w:rsidP="001E2671">
            <w:pPr>
              <w:jc w:val="right"/>
              <w:rPr>
                <w:b/>
              </w:rPr>
            </w:pPr>
            <w:r w:rsidRPr="00A8076F">
              <w:rPr>
                <w:b/>
              </w:rPr>
              <w:t>11</w:t>
            </w:r>
          </w:p>
        </w:tc>
        <w:tc>
          <w:tcPr>
            <w:tcW w:w="1704" w:type="dxa"/>
            <w:tcBorders>
              <w:top w:val="single" w:sz="4" w:space="0" w:color="auto"/>
              <w:left w:val="nil"/>
              <w:bottom w:val="single" w:sz="4" w:space="0" w:color="auto"/>
              <w:right w:val="nil"/>
            </w:tcBorders>
          </w:tcPr>
          <w:p w:rsidR="00E77DC6" w:rsidRPr="00A8076F" w:rsidRDefault="00E77DC6" w:rsidP="001E2671">
            <w:pPr>
              <w:jc w:val="right"/>
            </w:pPr>
            <w:r w:rsidRPr="00A8076F">
              <w:t>Father employed</w:t>
            </w:r>
          </w:p>
        </w:tc>
        <w:tc>
          <w:tcPr>
            <w:tcW w:w="1704" w:type="dxa"/>
            <w:tcBorders>
              <w:top w:val="single" w:sz="4" w:space="0" w:color="auto"/>
              <w:left w:val="nil"/>
              <w:bottom w:val="single" w:sz="4" w:space="0" w:color="auto"/>
              <w:right w:val="nil"/>
            </w:tcBorders>
          </w:tcPr>
          <w:p w:rsidR="00E77DC6" w:rsidRPr="00A8076F" w:rsidRDefault="00E77DC6" w:rsidP="001E2671">
            <w:pPr>
              <w:jc w:val="right"/>
            </w:pPr>
            <w:r w:rsidRPr="00A8076F">
              <w:t xml:space="preserve">Father </w:t>
            </w:r>
          </w:p>
          <w:p w:rsidR="00E77DC6" w:rsidRPr="00A8076F" w:rsidRDefault="00E77DC6" w:rsidP="001E2671">
            <w:pPr>
              <w:jc w:val="right"/>
            </w:pPr>
            <w:r w:rsidRPr="00A8076F">
              <w:t>workless</w:t>
            </w:r>
          </w:p>
        </w:tc>
        <w:tc>
          <w:tcPr>
            <w:tcW w:w="1705" w:type="dxa"/>
            <w:tcBorders>
              <w:top w:val="single" w:sz="4" w:space="0" w:color="auto"/>
              <w:left w:val="nil"/>
              <w:bottom w:val="single" w:sz="4" w:space="0" w:color="auto"/>
              <w:right w:val="nil"/>
            </w:tcBorders>
          </w:tcPr>
          <w:p w:rsidR="00E77DC6" w:rsidRPr="00A8076F" w:rsidRDefault="00E77DC6" w:rsidP="001E2671">
            <w:pPr>
              <w:jc w:val="right"/>
            </w:pPr>
          </w:p>
          <w:p w:rsidR="00E77DC6" w:rsidRPr="00A8076F" w:rsidRDefault="00E77DC6" w:rsidP="001E2671">
            <w:pPr>
              <w:jc w:val="right"/>
            </w:pPr>
            <w:r w:rsidRPr="00A8076F">
              <w:t>Missing</w:t>
            </w:r>
          </w:p>
        </w:tc>
        <w:tc>
          <w:tcPr>
            <w:tcW w:w="1705" w:type="dxa"/>
            <w:tcBorders>
              <w:top w:val="single" w:sz="4" w:space="0" w:color="auto"/>
              <w:left w:val="nil"/>
              <w:bottom w:val="single" w:sz="4" w:space="0" w:color="auto"/>
            </w:tcBorders>
          </w:tcPr>
          <w:p w:rsidR="00E77DC6" w:rsidRPr="00A8076F" w:rsidRDefault="00E77DC6" w:rsidP="001E2671">
            <w:pPr>
              <w:jc w:val="right"/>
              <w:rPr>
                <w:b/>
              </w:rPr>
            </w:pPr>
          </w:p>
          <w:p w:rsidR="00E77DC6" w:rsidRPr="00A8076F" w:rsidRDefault="00E77DC6" w:rsidP="001E2671">
            <w:pPr>
              <w:jc w:val="right"/>
              <w:rPr>
                <w:b/>
              </w:rPr>
            </w:pPr>
            <w:r w:rsidRPr="00A8076F">
              <w:rPr>
                <w:b/>
              </w:rPr>
              <w:t>TOTAL</w:t>
            </w:r>
          </w:p>
        </w:tc>
      </w:tr>
      <w:tr w:rsidR="00E77DC6" w:rsidRPr="00A8076F" w:rsidTr="00073326">
        <w:trPr>
          <w:jc w:val="center"/>
        </w:trPr>
        <w:tc>
          <w:tcPr>
            <w:tcW w:w="1704" w:type="dxa"/>
            <w:tcBorders>
              <w:top w:val="single" w:sz="4" w:space="0" w:color="auto"/>
              <w:bottom w:val="nil"/>
              <w:right w:val="nil"/>
            </w:tcBorders>
          </w:tcPr>
          <w:p w:rsidR="00E77DC6" w:rsidRPr="00A8076F" w:rsidRDefault="00E77DC6" w:rsidP="001E2671">
            <w:pPr>
              <w:jc w:val="right"/>
            </w:pPr>
            <w:r w:rsidRPr="00A8076F">
              <w:t>Father employed</w:t>
            </w:r>
          </w:p>
        </w:tc>
        <w:tc>
          <w:tcPr>
            <w:tcW w:w="1704" w:type="dxa"/>
            <w:tcBorders>
              <w:top w:val="single" w:sz="4" w:space="0" w:color="auto"/>
              <w:left w:val="nil"/>
              <w:right w:val="nil"/>
            </w:tcBorders>
          </w:tcPr>
          <w:p w:rsidR="00E77DC6" w:rsidRPr="00A8076F" w:rsidRDefault="00E77DC6" w:rsidP="001E2671">
            <w:pPr>
              <w:jc w:val="right"/>
            </w:pPr>
            <w:r w:rsidRPr="00A8076F">
              <w:t>2931</w:t>
            </w:r>
          </w:p>
          <w:p w:rsidR="00E77DC6" w:rsidRPr="00A8076F" w:rsidRDefault="001E2671" w:rsidP="001E2671">
            <w:pPr>
              <w:jc w:val="right"/>
            </w:pPr>
            <w:r>
              <w:t>(63.2</w:t>
            </w:r>
            <w:r w:rsidR="00E77DC6" w:rsidRPr="00A8076F">
              <w:t>)</w:t>
            </w:r>
          </w:p>
        </w:tc>
        <w:tc>
          <w:tcPr>
            <w:tcW w:w="1704" w:type="dxa"/>
            <w:tcBorders>
              <w:top w:val="single" w:sz="4" w:space="0" w:color="auto"/>
              <w:left w:val="nil"/>
              <w:right w:val="nil"/>
            </w:tcBorders>
            <w:shd w:val="clear" w:color="auto" w:fill="D9D9D9" w:themeFill="background1" w:themeFillShade="D9"/>
          </w:tcPr>
          <w:p w:rsidR="00E77DC6" w:rsidRPr="00A8076F" w:rsidRDefault="00E77DC6" w:rsidP="001E2671">
            <w:pPr>
              <w:jc w:val="right"/>
            </w:pPr>
            <w:r w:rsidRPr="00A8076F">
              <w:t>123</w:t>
            </w:r>
          </w:p>
          <w:p w:rsidR="00E77DC6" w:rsidRPr="00A8076F" w:rsidRDefault="001E2671" w:rsidP="001E2671">
            <w:pPr>
              <w:jc w:val="right"/>
            </w:pPr>
            <w:r>
              <w:t>(2.7</w:t>
            </w:r>
            <w:r w:rsidR="00E77DC6" w:rsidRPr="00A8076F">
              <w:t>)</w:t>
            </w:r>
          </w:p>
        </w:tc>
        <w:tc>
          <w:tcPr>
            <w:tcW w:w="1705" w:type="dxa"/>
            <w:tcBorders>
              <w:top w:val="single" w:sz="4" w:space="0" w:color="auto"/>
              <w:left w:val="nil"/>
              <w:right w:val="nil"/>
            </w:tcBorders>
            <w:shd w:val="clear" w:color="auto" w:fill="FFFFFF"/>
          </w:tcPr>
          <w:p w:rsidR="00E77DC6" w:rsidRPr="00A8076F" w:rsidRDefault="00E77DC6" w:rsidP="001E2671">
            <w:pPr>
              <w:jc w:val="right"/>
            </w:pPr>
            <w:r w:rsidRPr="00A8076F">
              <w:t>1031</w:t>
            </w:r>
          </w:p>
          <w:p w:rsidR="00E77DC6" w:rsidRPr="00A8076F" w:rsidRDefault="001E2671" w:rsidP="001E2671">
            <w:pPr>
              <w:jc w:val="right"/>
            </w:pPr>
            <w:r>
              <w:t>(22.2</w:t>
            </w:r>
            <w:r w:rsidR="00E77DC6" w:rsidRPr="00A8076F">
              <w:t>)</w:t>
            </w:r>
          </w:p>
        </w:tc>
        <w:tc>
          <w:tcPr>
            <w:tcW w:w="1705" w:type="dxa"/>
            <w:tcBorders>
              <w:top w:val="single" w:sz="4" w:space="0" w:color="auto"/>
              <w:left w:val="nil"/>
            </w:tcBorders>
          </w:tcPr>
          <w:p w:rsidR="00E77DC6" w:rsidRPr="00A8076F" w:rsidRDefault="00E77DC6" w:rsidP="001E2671">
            <w:pPr>
              <w:jc w:val="right"/>
              <w:rPr>
                <w:b/>
              </w:rPr>
            </w:pPr>
            <w:r w:rsidRPr="00A8076F">
              <w:rPr>
                <w:b/>
              </w:rPr>
              <w:t>4085</w:t>
            </w:r>
          </w:p>
          <w:p w:rsidR="00E77DC6" w:rsidRPr="00A8076F" w:rsidRDefault="001E2671" w:rsidP="001E2671">
            <w:pPr>
              <w:jc w:val="right"/>
              <w:rPr>
                <w:b/>
              </w:rPr>
            </w:pPr>
            <w:r>
              <w:rPr>
                <w:b/>
              </w:rPr>
              <w:t>(88.1</w:t>
            </w:r>
            <w:r w:rsidR="00E77DC6" w:rsidRPr="00A8076F">
              <w:rPr>
                <w:b/>
              </w:rPr>
              <w:t>)</w:t>
            </w:r>
          </w:p>
        </w:tc>
      </w:tr>
      <w:tr w:rsidR="00E77DC6" w:rsidRPr="00A8076F" w:rsidTr="00073326">
        <w:trPr>
          <w:jc w:val="center"/>
        </w:trPr>
        <w:tc>
          <w:tcPr>
            <w:tcW w:w="1704" w:type="dxa"/>
            <w:tcBorders>
              <w:top w:val="nil"/>
              <w:bottom w:val="nil"/>
              <w:right w:val="nil"/>
            </w:tcBorders>
          </w:tcPr>
          <w:p w:rsidR="00E77DC6" w:rsidRPr="00A8076F" w:rsidRDefault="00E77DC6" w:rsidP="001E2671">
            <w:pPr>
              <w:jc w:val="right"/>
            </w:pPr>
            <w:r w:rsidRPr="00A8076F">
              <w:t>Father</w:t>
            </w:r>
          </w:p>
          <w:p w:rsidR="00E77DC6" w:rsidRPr="00A8076F" w:rsidRDefault="00E77DC6" w:rsidP="001E2671">
            <w:pPr>
              <w:jc w:val="right"/>
            </w:pPr>
            <w:r w:rsidRPr="00A8076F">
              <w:t>workless</w:t>
            </w:r>
          </w:p>
        </w:tc>
        <w:tc>
          <w:tcPr>
            <w:tcW w:w="1704" w:type="dxa"/>
            <w:tcBorders>
              <w:left w:val="nil"/>
              <w:right w:val="nil"/>
            </w:tcBorders>
            <w:shd w:val="clear" w:color="auto" w:fill="D9D9D9" w:themeFill="background1" w:themeFillShade="D9"/>
          </w:tcPr>
          <w:p w:rsidR="00E77DC6" w:rsidRPr="00A8076F" w:rsidRDefault="00E77DC6" w:rsidP="001E2671">
            <w:pPr>
              <w:jc w:val="right"/>
            </w:pPr>
            <w:r w:rsidRPr="00A8076F">
              <w:t>38</w:t>
            </w:r>
          </w:p>
          <w:p w:rsidR="00E77DC6" w:rsidRPr="00A8076F" w:rsidRDefault="001E2671" w:rsidP="001E2671">
            <w:pPr>
              <w:jc w:val="right"/>
            </w:pPr>
            <w:r>
              <w:t>(0.8</w:t>
            </w:r>
            <w:r w:rsidR="00E77DC6" w:rsidRPr="00A8076F">
              <w:t>)</w:t>
            </w:r>
          </w:p>
        </w:tc>
        <w:tc>
          <w:tcPr>
            <w:tcW w:w="1704" w:type="dxa"/>
            <w:tcBorders>
              <w:left w:val="nil"/>
              <w:right w:val="nil"/>
            </w:tcBorders>
            <w:shd w:val="clear" w:color="auto" w:fill="A6A6A6" w:themeFill="background1" w:themeFillShade="A6"/>
          </w:tcPr>
          <w:p w:rsidR="00E77DC6" w:rsidRPr="00A8076F" w:rsidRDefault="00E77DC6" w:rsidP="001E2671">
            <w:pPr>
              <w:shd w:val="clear" w:color="auto" w:fill="A6A6A6" w:themeFill="background1" w:themeFillShade="A6"/>
              <w:jc w:val="right"/>
            </w:pPr>
            <w:r w:rsidRPr="00A8076F">
              <w:t>41</w:t>
            </w:r>
          </w:p>
          <w:p w:rsidR="00E77DC6" w:rsidRPr="00A8076F" w:rsidRDefault="001E2671" w:rsidP="001E2671">
            <w:pPr>
              <w:shd w:val="clear" w:color="auto" w:fill="A6A6A6" w:themeFill="background1" w:themeFillShade="A6"/>
              <w:jc w:val="right"/>
            </w:pPr>
            <w:r>
              <w:t>(0.9</w:t>
            </w:r>
            <w:r w:rsidR="00E77DC6" w:rsidRPr="00A8076F">
              <w:t>)</w:t>
            </w:r>
          </w:p>
        </w:tc>
        <w:tc>
          <w:tcPr>
            <w:tcW w:w="1705" w:type="dxa"/>
            <w:tcBorders>
              <w:left w:val="nil"/>
              <w:right w:val="nil"/>
            </w:tcBorders>
            <w:shd w:val="clear" w:color="auto" w:fill="A6A6A6" w:themeFill="background1" w:themeFillShade="A6"/>
          </w:tcPr>
          <w:p w:rsidR="00E77DC6" w:rsidRPr="00A8076F" w:rsidRDefault="00E77DC6" w:rsidP="001E2671">
            <w:pPr>
              <w:jc w:val="right"/>
            </w:pPr>
            <w:r w:rsidRPr="00A8076F">
              <w:t>35</w:t>
            </w:r>
          </w:p>
          <w:p w:rsidR="00E77DC6" w:rsidRPr="00A8076F" w:rsidRDefault="001E2671" w:rsidP="001E2671">
            <w:pPr>
              <w:jc w:val="right"/>
            </w:pPr>
            <w:r>
              <w:t>(0.8</w:t>
            </w:r>
            <w:r w:rsidR="00E77DC6" w:rsidRPr="00A8076F">
              <w:t>)</w:t>
            </w:r>
          </w:p>
        </w:tc>
        <w:tc>
          <w:tcPr>
            <w:tcW w:w="1705" w:type="dxa"/>
            <w:tcBorders>
              <w:left w:val="nil"/>
            </w:tcBorders>
          </w:tcPr>
          <w:p w:rsidR="00E77DC6" w:rsidRPr="00A8076F" w:rsidRDefault="00E77DC6" w:rsidP="001E2671">
            <w:pPr>
              <w:jc w:val="right"/>
              <w:rPr>
                <w:b/>
              </w:rPr>
            </w:pPr>
            <w:r w:rsidRPr="00A8076F">
              <w:rPr>
                <w:b/>
              </w:rPr>
              <w:t>114</w:t>
            </w:r>
          </w:p>
          <w:p w:rsidR="00E77DC6" w:rsidRPr="00A8076F" w:rsidRDefault="001E2671" w:rsidP="001E2671">
            <w:pPr>
              <w:jc w:val="right"/>
              <w:rPr>
                <w:b/>
              </w:rPr>
            </w:pPr>
            <w:r>
              <w:rPr>
                <w:b/>
              </w:rPr>
              <w:t>(2.5</w:t>
            </w:r>
            <w:r w:rsidR="00E77DC6" w:rsidRPr="00A8076F">
              <w:rPr>
                <w:b/>
              </w:rPr>
              <w:t>)</w:t>
            </w:r>
          </w:p>
        </w:tc>
      </w:tr>
      <w:tr w:rsidR="00E77DC6" w:rsidRPr="00A8076F" w:rsidTr="00073326">
        <w:trPr>
          <w:jc w:val="center"/>
        </w:trPr>
        <w:tc>
          <w:tcPr>
            <w:tcW w:w="1704" w:type="dxa"/>
            <w:tcBorders>
              <w:top w:val="nil"/>
              <w:bottom w:val="single" w:sz="4" w:space="0" w:color="auto"/>
              <w:right w:val="nil"/>
            </w:tcBorders>
          </w:tcPr>
          <w:p w:rsidR="00E77DC6" w:rsidRPr="00A8076F" w:rsidRDefault="00E77DC6" w:rsidP="001E2671">
            <w:pPr>
              <w:jc w:val="right"/>
            </w:pPr>
          </w:p>
          <w:p w:rsidR="00E77DC6" w:rsidRPr="00A8076F" w:rsidRDefault="00E77DC6" w:rsidP="001E2671">
            <w:pPr>
              <w:jc w:val="right"/>
            </w:pPr>
            <w:r w:rsidRPr="00A8076F">
              <w:t>Missing</w:t>
            </w:r>
          </w:p>
        </w:tc>
        <w:tc>
          <w:tcPr>
            <w:tcW w:w="1704" w:type="dxa"/>
            <w:tcBorders>
              <w:left w:val="nil"/>
              <w:bottom w:val="single" w:sz="4" w:space="0" w:color="auto"/>
              <w:right w:val="nil"/>
            </w:tcBorders>
          </w:tcPr>
          <w:p w:rsidR="00E77DC6" w:rsidRPr="00A8076F" w:rsidRDefault="00E77DC6" w:rsidP="001E2671">
            <w:pPr>
              <w:jc w:val="right"/>
            </w:pPr>
            <w:r w:rsidRPr="00A8076F">
              <w:t>410</w:t>
            </w:r>
          </w:p>
          <w:p w:rsidR="00E77DC6" w:rsidRPr="00A8076F" w:rsidRDefault="001E2671" w:rsidP="001E2671">
            <w:pPr>
              <w:jc w:val="right"/>
            </w:pPr>
            <w:r>
              <w:t>(8.9</w:t>
            </w:r>
            <w:r w:rsidR="00E77DC6" w:rsidRPr="00A8076F">
              <w:t>)</w:t>
            </w:r>
          </w:p>
        </w:tc>
        <w:tc>
          <w:tcPr>
            <w:tcW w:w="1704" w:type="dxa"/>
            <w:tcBorders>
              <w:left w:val="nil"/>
              <w:bottom w:val="single" w:sz="4" w:space="0" w:color="auto"/>
              <w:right w:val="nil"/>
            </w:tcBorders>
            <w:shd w:val="clear" w:color="auto" w:fill="A6A6A6" w:themeFill="background1" w:themeFillShade="A6"/>
          </w:tcPr>
          <w:p w:rsidR="00E77DC6" w:rsidRPr="00A8076F" w:rsidRDefault="00E77DC6" w:rsidP="001E2671">
            <w:pPr>
              <w:jc w:val="right"/>
            </w:pPr>
            <w:r w:rsidRPr="00A8076F">
              <w:t>26</w:t>
            </w:r>
          </w:p>
          <w:p w:rsidR="00E77DC6" w:rsidRPr="00A8076F" w:rsidRDefault="001E2671" w:rsidP="001E2671">
            <w:pPr>
              <w:jc w:val="right"/>
            </w:pPr>
            <w:r>
              <w:t>(0.6</w:t>
            </w:r>
            <w:r w:rsidR="00E77DC6" w:rsidRPr="00A8076F">
              <w:t>)</w:t>
            </w:r>
          </w:p>
        </w:tc>
        <w:tc>
          <w:tcPr>
            <w:tcW w:w="1705" w:type="dxa"/>
            <w:tcBorders>
              <w:left w:val="nil"/>
              <w:bottom w:val="single" w:sz="4" w:space="0" w:color="auto"/>
              <w:right w:val="nil"/>
            </w:tcBorders>
          </w:tcPr>
          <w:p w:rsidR="00E77DC6" w:rsidRPr="00A8076F" w:rsidRDefault="00E77DC6" w:rsidP="001E2671">
            <w:pPr>
              <w:jc w:val="right"/>
            </w:pPr>
            <w:r w:rsidRPr="00A8076F">
              <w:t>0</w:t>
            </w:r>
          </w:p>
          <w:p w:rsidR="00E77DC6" w:rsidRPr="00A8076F" w:rsidRDefault="001E2671" w:rsidP="001E2671">
            <w:pPr>
              <w:jc w:val="right"/>
            </w:pPr>
            <w:r>
              <w:t>(0.0</w:t>
            </w:r>
            <w:r w:rsidR="00E77DC6" w:rsidRPr="00A8076F">
              <w:t>)</w:t>
            </w:r>
          </w:p>
        </w:tc>
        <w:tc>
          <w:tcPr>
            <w:tcW w:w="1705" w:type="dxa"/>
            <w:tcBorders>
              <w:left w:val="nil"/>
              <w:bottom w:val="single" w:sz="4" w:space="0" w:color="auto"/>
            </w:tcBorders>
          </w:tcPr>
          <w:p w:rsidR="00E77DC6" w:rsidRPr="00A8076F" w:rsidRDefault="00E77DC6" w:rsidP="001E2671">
            <w:pPr>
              <w:jc w:val="right"/>
              <w:rPr>
                <w:b/>
              </w:rPr>
            </w:pPr>
            <w:r w:rsidRPr="00A8076F">
              <w:rPr>
                <w:b/>
              </w:rPr>
              <w:t>436</w:t>
            </w:r>
          </w:p>
          <w:p w:rsidR="00E77DC6" w:rsidRPr="00A8076F" w:rsidRDefault="001E2671" w:rsidP="001E2671">
            <w:pPr>
              <w:jc w:val="right"/>
              <w:rPr>
                <w:b/>
              </w:rPr>
            </w:pPr>
            <w:r>
              <w:rPr>
                <w:b/>
              </w:rPr>
              <w:t>(9.4</w:t>
            </w:r>
            <w:r w:rsidR="00E77DC6" w:rsidRPr="00A8076F">
              <w:rPr>
                <w:b/>
              </w:rPr>
              <w:t>)</w:t>
            </w:r>
          </w:p>
        </w:tc>
      </w:tr>
      <w:tr w:rsidR="00E77DC6" w:rsidRPr="00A8076F" w:rsidTr="00073326">
        <w:trPr>
          <w:jc w:val="center"/>
        </w:trPr>
        <w:tc>
          <w:tcPr>
            <w:tcW w:w="1704" w:type="dxa"/>
            <w:tcBorders>
              <w:top w:val="single" w:sz="4" w:space="0" w:color="auto"/>
              <w:bottom w:val="single" w:sz="4" w:space="0" w:color="auto"/>
              <w:right w:val="nil"/>
            </w:tcBorders>
          </w:tcPr>
          <w:p w:rsidR="00E77DC6" w:rsidRPr="00A8076F" w:rsidRDefault="00E77DC6" w:rsidP="001E2671">
            <w:pPr>
              <w:jc w:val="right"/>
              <w:rPr>
                <w:b/>
              </w:rPr>
            </w:pPr>
            <w:r w:rsidRPr="00A8076F">
              <w:rPr>
                <w:b/>
              </w:rPr>
              <w:t>TOTAL</w:t>
            </w:r>
          </w:p>
        </w:tc>
        <w:tc>
          <w:tcPr>
            <w:tcW w:w="1704"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3379</w:t>
            </w:r>
          </w:p>
          <w:p w:rsidR="00E77DC6" w:rsidRPr="00A8076F" w:rsidRDefault="001E2671" w:rsidP="001E2671">
            <w:pPr>
              <w:jc w:val="right"/>
              <w:rPr>
                <w:b/>
              </w:rPr>
            </w:pPr>
            <w:r>
              <w:rPr>
                <w:b/>
              </w:rPr>
              <w:t>(72.9</w:t>
            </w:r>
            <w:r w:rsidR="00E77DC6" w:rsidRPr="00A8076F">
              <w:rPr>
                <w:b/>
              </w:rPr>
              <w:t>)</w:t>
            </w:r>
          </w:p>
        </w:tc>
        <w:tc>
          <w:tcPr>
            <w:tcW w:w="1704"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190</w:t>
            </w:r>
          </w:p>
          <w:p w:rsidR="00E77DC6" w:rsidRPr="00A8076F" w:rsidRDefault="001E2671" w:rsidP="001E2671">
            <w:pPr>
              <w:jc w:val="right"/>
              <w:rPr>
                <w:b/>
              </w:rPr>
            </w:pPr>
            <w:r>
              <w:rPr>
                <w:b/>
              </w:rPr>
              <w:t>(4.1</w:t>
            </w:r>
            <w:r w:rsidR="00E77DC6" w:rsidRPr="00A8076F">
              <w:rPr>
                <w:b/>
              </w:rPr>
              <w:t>)</w:t>
            </w:r>
          </w:p>
        </w:tc>
        <w:tc>
          <w:tcPr>
            <w:tcW w:w="1705"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1066</w:t>
            </w:r>
          </w:p>
          <w:p w:rsidR="00E77DC6" w:rsidRPr="00A8076F" w:rsidRDefault="001E2671" w:rsidP="001E2671">
            <w:pPr>
              <w:jc w:val="right"/>
              <w:rPr>
                <w:b/>
              </w:rPr>
            </w:pPr>
            <w:r>
              <w:rPr>
                <w:b/>
              </w:rPr>
              <w:t>(23.0</w:t>
            </w:r>
            <w:r w:rsidR="00E77DC6" w:rsidRPr="00A8076F">
              <w:rPr>
                <w:b/>
              </w:rPr>
              <w:t>)</w:t>
            </w:r>
          </w:p>
        </w:tc>
        <w:tc>
          <w:tcPr>
            <w:tcW w:w="1705" w:type="dxa"/>
            <w:tcBorders>
              <w:top w:val="single" w:sz="4" w:space="0" w:color="auto"/>
              <w:left w:val="nil"/>
              <w:bottom w:val="single" w:sz="4" w:space="0" w:color="auto"/>
            </w:tcBorders>
            <w:vAlign w:val="bottom"/>
          </w:tcPr>
          <w:p w:rsidR="00E77DC6" w:rsidRPr="00A8076F" w:rsidRDefault="00E77DC6" w:rsidP="001E2671">
            <w:pPr>
              <w:jc w:val="right"/>
              <w:rPr>
                <w:b/>
              </w:rPr>
            </w:pPr>
            <w:r w:rsidRPr="00A8076F">
              <w:rPr>
                <w:b/>
              </w:rPr>
              <w:t>4635</w:t>
            </w:r>
          </w:p>
        </w:tc>
      </w:tr>
    </w:tbl>
    <w:p w:rsidR="00E77DC6" w:rsidRPr="00A8076F" w:rsidRDefault="00E77DC6" w:rsidP="00E77DC6">
      <w:pPr>
        <w:rPr>
          <w:sz w:val="16"/>
          <w:szCs w:val="16"/>
        </w:rPr>
      </w:pPr>
      <w:r w:rsidRPr="00A8076F">
        <w:rPr>
          <w:sz w:val="16"/>
          <w:szCs w:val="16"/>
        </w:rPr>
        <w:t>Dark shaded region represents those counted as workless, light shaded region corresponds to group in</w:t>
      </w:r>
      <w:r>
        <w:rPr>
          <w:sz w:val="16"/>
          <w:szCs w:val="16"/>
        </w:rPr>
        <w:t xml:space="preserve"> Table 3.</w:t>
      </w:r>
      <w:r w:rsidRPr="00A8076F">
        <w:rPr>
          <w:sz w:val="16"/>
          <w:szCs w:val="16"/>
        </w:rPr>
        <w:t>6 who are counted as not workless for the remainder of the analysis</w:t>
      </w:r>
    </w:p>
    <w:p w:rsidR="00E77DC6" w:rsidRPr="00A8076F" w:rsidRDefault="00E77DC6" w:rsidP="00E77DC6">
      <w:pPr>
        <w:rPr>
          <w:sz w:val="16"/>
          <w:szCs w:val="16"/>
        </w:rPr>
      </w:pPr>
    </w:p>
    <w:p w:rsidR="00E77DC6" w:rsidRPr="00A8076F" w:rsidRDefault="00E77DC6" w:rsidP="00E77DC6">
      <w:pPr>
        <w:rPr>
          <w:b/>
        </w:rPr>
      </w:pPr>
    </w:p>
    <w:p w:rsidR="00E77DC6" w:rsidRPr="00A8076F" w:rsidRDefault="00E77DC6" w:rsidP="00E77DC6">
      <w:pPr>
        <w:rPr>
          <w:b/>
        </w:rPr>
      </w:pPr>
      <w:r w:rsidRPr="00A8076F">
        <w:rPr>
          <w:b/>
        </w:rPr>
        <w:t>BCS (1970)</w:t>
      </w:r>
    </w:p>
    <w:tbl>
      <w:tblPr>
        <w:tblW w:w="0" w:type="auto"/>
        <w:jc w:val="center"/>
        <w:tblBorders>
          <w:top w:val="single" w:sz="4" w:space="0" w:color="auto"/>
          <w:bottom w:val="single" w:sz="4" w:space="0" w:color="auto"/>
        </w:tblBorders>
        <w:tblLook w:val="04A0"/>
      </w:tblPr>
      <w:tblGrid>
        <w:gridCol w:w="1704"/>
        <w:gridCol w:w="1704"/>
        <w:gridCol w:w="1704"/>
        <w:gridCol w:w="1705"/>
        <w:gridCol w:w="1705"/>
      </w:tblGrid>
      <w:tr w:rsidR="00E77DC6" w:rsidRPr="00A8076F" w:rsidTr="00073326">
        <w:trPr>
          <w:jc w:val="center"/>
        </w:trPr>
        <w:tc>
          <w:tcPr>
            <w:tcW w:w="1704" w:type="dxa"/>
            <w:tcBorders>
              <w:top w:val="single" w:sz="4" w:space="0" w:color="auto"/>
              <w:bottom w:val="single" w:sz="4" w:space="0" w:color="auto"/>
              <w:right w:val="nil"/>
            </w:tcBorders>
          </w:tcPr>
          <w:p w:rsidR="00E77DC6" w:rsidRPr="00A8076F" w:rsidRDefault="00E77DC6" w:rsidP="001E2671">
            <w:pPr>
              <w:jc w:val="right"/>
              <w:rPr>
                <w:b/>
              </w:rPr>
            </w:pPr>
            <w:r w:rsidRPr="00A8076F">
              <w:rPr>
                <w:b/>
              </w:rPr>
              <w:t>Age of son   16</w:t>
            </w:r>
          </w:p>
          <w:p w:rsidR="00E77DC6" w:rsidRPr="00A8076F" w:rsidRDefault="00E77DC6" w:rsidP="001E2671">
            <w:pPr>
              <w:jc w:val="right"/>
              <w:rPr>
                <w:b/>
              </w:rPr>
            </w:pPr>
            <w:r w:rsidRPr="00A8076F">
              <w:rPr>
                <w:b/>
              </w:rPr>
              <w:t>10</w:t>
            </w:r>
          </w:p>
        </w:tc>
        <w:tc>
          <w:tcPr>
            <w:tcW w:w="1704" w:type="dxa"/>
            <w:tcBorders>
              <w:top w:val="single" w:sz="4" w:space="0" w:color="auto"/>
              <w:left w:val="nil"/>
              <w:bottom w:val="single" w:sz="4" w:space="0" w:color="auto"/>
              <w:right w:val="nil"/>
            </w:tcBorders>
          </w:tcPr>
          <w:p w:rsidR="00E77DC6" w:rsidRPr="00A8076F" w:rsidRDefault="00E77DC6" w:rsidP="001E2671">
            <w:pPr>
              <w:jc w:val="right"/>
            </w:pPr>
            <w:r w:rsidRPr="00A8076F">
              <w:t>Father employed</w:t>
            </w:r>
          </w:p>
        </w:tc>
        <w:tc>
          <w:tcPr>
            <w:tcW w:w="1704" w:type="dxa"/>
            <w:tcBorders>
              <w:top w:val="single" w:sz="4" w:space="0" w:color="auto"/>
              <w:left w:val="nil"/>
              <w:bottom w:val="single" w:sz="4" w:space="0" w:color="auto"/>
              <w:right w:val="nil"/>
            </w:tcBorders>
          </w:tcPr>
          <w:p w:rsidR="00E77DC6" w:rsidRPr="00A8076F" w:rsidRDefault="00E77DC6" w:rsidP="001E2671">
            <w:pPr>
              <w:jc w:val="right"/>
            </w:pPr>
            <w:r w:rsidRPr="00A8076F">
              <w:t>Father</w:t>
            </w:r>
          </w:p>
          <w:p w:rsidR="00E77DC6" w:rsidRPr="00A8076F" w:rsidRDefault="00E77DC6" w:rsidP="001E2671">
            <w:pPr>
              <w:jc w:val="right"/>
            </w:pPr>
            <w:r w:rsidRPr="00A8076F">
              <w:t>workless</w:t>
            </w:r>
          </w:p>
        </w:tc>
        <w:tc>
          <w:tcPr>
            <w:tcW w:w="1705" w:type="dxa"/>
            <w:tcBorders>
              <w:top w:val="single" w:sz="4" w:space="0" w:color="auto"/>
              <w:left w:val="nil"/>
              <w:bottom w:val="single" w:sz="4" w:space="0" w:color="auto"/>
              <w:right w:val="nil"/>
            </w:tcBorders>
          </w:tcPr>
          <w:p w:rsidR="00E77DC6" w:rsidRPr="00A8076F" w:rsidRDefault="00E77DC6" w:rsidP="001E2671">
            <w:pPr>
              <w:jc w:val="right"/>
            </w:pPr>
          </w:p>
          <w:p w:rsidR="00E77DC6" w:rsidRPr="00A8076F" w:rsidRDefault="00E77DC6" w:rsidP="001E2671">
            <w:pPr>
              <w:jc w:val="right"/>
            </w:pPr>
            <w:r w:rsidRPr="00A8076F">
              <w:t>Missing</w:t>
            </w:r>
          </w:p>
        </w:tc>
        <w:tc>
          <w:tcPr>
            <w:tcW w:w="1705" w:type="dxa"/>
            <w:tcBorders>
              <w:top w:val="single" w:sz="4" w:space="0" w:color="auto"/>
              <w:left w:val="nil"/>
              <w:bottom w:val="single" w:sz="4" w:space="0" w:color="auto"/>
            </w:tcBorders>
          </w:tcPr>
          <w:p w:rsidR="00E77DC6" w:rsidRPr="00A8076F" w:rsidRDefault="00E77DC6" w:rsidP="001E2671">
            <w:pPr>
              <w:jc w:val="right"/>
              <w:rPr>
                <w:b/>
              </w:rPr>
            </w:pPr>
          </w:p>
          <w:p w:rsidR="00E77DC6" w:rsidRPr="00A8076F" w:rsidRDefault="00E77DC6" w:rsidP="001E2671">
            <w:pPr>
              <w:jc w:val="right"/>
              <w:rPr>
                <w:b/>
              </w:rPr>
            </w:pPr>
            <w:r w:rsidRPr="00A8076F">
              <w:rPr>
                <w:b/>
              </w:rPr>
              <w:t>TOTAL</w:t>
            </w:r>
          </w:p>
        </w:tc>
      </w:tr>
      <w:tr w:rsidR="00E77DC6" w:rsidRPr="00A8076F" w:rsidTr="00073326">
        <w:trPr>
          <w:jc w:val="center"/>
        </w:trPr>
        <w:tc>
          <w:tcPr>
            <w:tcW w:w="1704" w:type="dxa"/>
            <w:tcBorders>
              <w:top w:val="single" w:sz="4" w:space="0" w:color="auto"/>
              <w:right w:val="nil"/>
            </w:tcBorders>
          </w:tcPr>
          <w:p w:rsidR="00E77DC6" w:rsidRPr="00A8076F" w:rsidRDefault="00E77DC6" w:rsidP="001E2671">
            <w:pPr>
              <w:jc w:val="right"/>
            </w:pPr>
            <w:r w:rsidRPr="00A8076F">
              <w:t>Father employed</w:t>
            </w:r>
          </w:p>
        </w:tc>
        <w:tc>
          <w:tcPr>
            <w:tcW w:w="1704" w:type="dxa"/>
            <w:tcBorders>
              <w:top w:val="single" w:sz="4" w:space="0" w:color="auto"/>
              <w:left w:val="nil"/>
              <w:right w:val="nil"/>
            </w:tcBorders>
          </w:tcPr>
          <w:p w:rsidR="00E77DC6" w:rsidRPr="00A8076F" w:rsidRDefault="00E77DC6" w:rsidP="001E2671">
            <w:pPr>
              <w:jc w:val="right"/>
            </w:pPr>
            <w:r w:rsidRPr="00A8076F">
              <w:t>1855</w:t>
            </w:r>
          </w:p>
          <w:p w:rsidR="00E77DC6" w:rsidRPr="00A8076F" w:rsidRDefault="00E77DC6" w:rsidP="001E2671">
            <w:pPr>
              <w:jc w:val="right"/>
            </w:pPr>
            <w:r w:rsidRPr="00A8076F">
              <w:t>(39.9)</w:t>
            </w:r>
          </w:p>
        </w:tc>
        <w:tc>
          <w:tcPr>
            <w:tcW w:w="1704" w:type="dxa"/>
            <w:tcBorders>
              <w:top w:val="single" w:sz="4" w:space="0" w:color="auto"/>
              <w:left w:val="nil"/>
              <w:right w:val="nil"/>
            </w:tcBorders>
            <w:shd w:val="clear" w:color="auto" w:fill="D9D9D9" w:themeFill="background1" w:themeFillShade="D9"/>
          </w:tcPr>
          <w:p w:rsidR="00E77DC6" w:rsidRPr="00A8076F" w:rsidRDefault="00E77DC6" w:rsidP="001E2671">
            <w:pPr>
              <w:jc w:val="right"/>
            </w:pPr>
            <w:r w:rsidRPr="00A8076F">
              <w:t>213</w:t>
            </w:r>
          </w:p>
          <w:p w:rsidR="00E77DC6" w:rsidRPr="00A8076F" w:rsidRDefault="00E77DC6" w:rsidP="001E2671">
            <w:pPr>
              <w:jc w:val="right"/>
            </w:pPr>
            <w:r w:rsidRPr="00A8076F">
              <w:t>(4.</w:t>
            </w:r>
            <w:r w:rsidR="001E2671">
              <w:t>6)</w:t>
            </w:r>
          </w:p>
        </w:tc>
        <w:tc>
          <w:tcPr>
            <w:tcW w:w="1705" w:type="dxa"/>
            <w:tcBorders>
              <w:top w:val="single" w:sz="4" w:space="0" w:color="auto"/>
              <w:left w:val="nil"/>
              <w:right w:val="nil"/>
            </w:tcBorders>
            <w:shd w:val="clear" w:color="auto" w:fill="FFFFFF"/>
          </w:tcPr>
          <w:p w:rsidR="00E77DC6" w:rsidRPr="00A8076F" w:rsidRDefault="00E77DC6" w:rsidP="001E2671">
            <w:pPr>
              <w:jc w:val="right"/>
            </w:pPr>
            <w:r w:rsidRPr="00A8076F">
              <w:t>2100</w:t>
            </w:r>
          </w:p>
          <w:p w:rsidR="00E77DC6" w:rsidRPr="00A8076F" w:rsidRDefault="00E77DC6" w:rsidP="001E2671">
            <w:pPr>
              <w:jc w:val="right"/>
            </w:pPr>
            <w:r w:rsidRPr="00A8076F">
              <w:t>(45.2)</w:t>
            </w:r>
          </w:p>
        </w:tc>
        <w:tc>
          <w:tcPr>
            <w:tcW w:w="1705" w:type="dxa"/>
            <w:tcBorders>
              <w:top w:val="single" w:sz="4" w:space="0" w:color="auto"/>
              <w:left w:val="nil"/>
            </w:tcBorders>
          </w:tcPr>
          <w:p w:rsidR="00E77DC6" w:rsidRPr="00A8076F" w:rsidRDefault="00E77DC6" w:rsidP="001E2671">
            <w:pPr>
              <w:jc w:val="right"/>
              <w:rPr>
                <w:b/>
              </w:rPr>
            </w:pPr>
            <w:r w:rsidRPr="00A8076F">
              <w:rPr>
                <w:b/>
              </w:rPr>
              <w:t>4168</w:t>
            </w:r>
          </w:p>
          <w:p w:rsidR="00E77DC6" w:rsidRPr="00A8076F" w:rsidRDefault="00E77DC6" w:rsidP="001E2671">
            <w:pPr>
              <w:jc w:val="right"/>
              <w:rPr>
                <w:b/>
              </w:rPr>
            </w:pPr>
            <w:r w:rsidRPr="00A8076F">
              <w:rPr>
                <w:b/>
              </w:rPr>
              <w:t>(89.7)</w:t>
            </w:r>
          </w:p>
        </w:tc>
      </w:tr>
      <w:tr w:rsidR="00E77DC6" w:rsidRPr="00A8076F" w:rsidTr="00073326">
        <w:trPr>
          <w:jc w:val="center"/>
        </w:trPr>
        <w:tc>
          <w:tcPr>
            <w:tcW w:w="1704" w:type="dxa"/>
            <w:tcBorders>
              <w:right w:val="nil"/>
            </w:tcBorders>
          </w:tcPr>
          <w:p w:rsidR="00E77DC6" w:rsidRPr="00A8076F" w:rsidRDefault="00E77DC6" w:rsidP="001E2671">
            <w:pPr>
              <w:jc w:val="right"/>
            </w:pPr>
            <w:r w:rsidRPr="00A8076F">
              <w:t>Father</w:t>
            </w:r>
          </w:p>
          <w:p w:rsidR="00E77DC6" w:rsidRPr="00A8076F" w:rsidRDefault="00E77DC6" w:rsidP="001E2671">
            <w:pPr>
              <w:jc w:val="right"/>
            </w:pPr>
            <w:r w:rsidRPr="00A8076F">
              <w:t>workless</w:t>
            </w:r>
          </w:p>
        </w:tc>
        <w:tc>
          <w:tcPr>
            <w:tcW w:w="1704" w:type="dxa"/>
            <w:tcBorders>
              <w:left w:val="nil"/>
              <w:right w:val="nil"/>
            </w:tcBorders>
            <w:shd w:val="clear" w:color="auto" w:fill="D9D9D9" w:themeFill="background1" w:themeFillShade="D9"/>
          </w:tcPr>
          <w:p w:rsidR="00E77DC6" w:rsidRPr="00A8076F" w:rsidRDefault="00E77DC6" w:rsidP="001E2671">
            <w:pPr>
              <w:jc w:val="right"/>
            </w:pPr>
            <w:r w:rsidRPr="00A8076F">
              <w:t>27</w:t>
            </w:r>
          </w:p>
          <w:p w:rsidR="00E77DC6" w:rsidRPr="00A8076F" w:rsidRDefault="001E2671" w:rsidP="001E2671">
            <w:pPr>
              <w:jc w:val="right"/>
            </w:pPr>
            <w:r>
              <w:t>(0.6</w:t>
            </w:r>
            <w:r w:rsidR="00E77DC6" w:rsidRPr="00A8076F">
              <w:t>)</w:t>
            </w:r>
          </w:p>
        </w:tc>
        <w:tc>
          <w:tcPr>
            <w:tcW w:w="1704" w:type="dxa"/>
            <w:tcBorders>
              <w:left w:val="nil"/>
              <w:right w:val="nil"/>
            </w:tcBorders>
            <w:shd w:val="clear" w:color="auto" w:fill="A6A6A6" w:themeFill="background1" w:themeFillShade="A6"/>
          </w:tcPr>
          <w:p w:rsidR="00E77DC6" w:rsidRPr="00A8076F" w:rsidRDefault="00E77DC6" w:rsidP="001E2671">
            <w:pPr>
              <w:shd w:val="clear" w:color="auto" w:fill="A6A6A6" w:themeFill="background1" w:themeFillShade="A6"/>
              <w:jc w:val="right"/>
            </w:pPr>
            <w:r w:rsidRPr="00A8076F">
              <w:t>39</w:t>
            </w:r>
          </w:p>
          <w:p w:rsidR="00E77DC6" w:rsidRPr="00A8076F" w:rsidRDefault="00E77DC6" w:rsidP="001E2671">
            <w:pPr>
              <w:jc w:val="right"/>
            </w:pPr>
            <w:r w:rsidRPr="00A8076F">
              <w:t>(0.8)</w:t>
            </w:r>
          </w:p>
        </w:tc>
        <w:tc>
          <w:tcPr>
            <w:tcW w:w="1705" w:type="dxa"/>
            <w:tcBorders>
              <w:left w:val="nil"/>
              <w:right w:val="nil"/>
            </w:tcBorders>
            <w:shd w:val="clear" w:color="auto" w:fill="A6A6A6" w:themeFill="background1" w:themeFillShade="A6"/>
          </w:tcPr>
          <w:p w:rsidR="00E77DC6" w:rsidRPr="00A8076F" w:rsidRDefault="00E77DC6" w:rsidP="001E2671">
            <w:pPr>
              <w:jc w:val="right"/>
            </w:pPr>
            <w:r>
              <w:t>123</w:t>
            </w:r>
          </w:p>
          <w:p w:rsidR="00E77DC6" w:rsidRPr="00A8076F" w:rsidRDefault="00E77DC6" w:rsidP="001E2671">
            <w:pPr>
              <w:jc w:val="right"/>
            </w:pPr>
            <w:r>
              <w:t>(2.</w:t>
            </w:r>
            <w:r w:rsidR="001E2671">
              <w:t>7)</w:t>
            </w:r>
          </w:p>
        </w:tc>
        <w:tc>
          <w:tcPr>
            <w:tcW w:w="1705" w:type="dxa"/>
            <w:tcBorders>
              <w:left w:val="nil"/>
            </w:tcBorders>
          </w:tcPr>
          <w:p w:rsidR="00E77DC6" w:rsidRPr="00A8076F" w:rsidRDefault="00E77DC6" w:rsidP="001E2671">
            <w:pPr>
              <w:jc w:val="right"/>
              <w:rPr>
                <w:b/>
              </w:rPr>
            </w:pPr>
            <w:r w:rsidRPr="00A8076F">
              <w:rPr>
                <w:b/>
              </w:rPr>
              <w:t>189</w:t>
            </w:r>
          </w:p>
          <w:p w:rsidR="00E77DC6" w:rsidRPr="00A8076F" w:rsidRDefault="001E2671" w:rsidP="001E2671">
            <w:pPr>
              <w:jc w:val="right"/>
              <w:rPr>
                <w:b/>
              </w:rPr>
            </w:pPr>
            <w:r>
              <w:rPr>
                <w:b/>
              </w:rPr>
              <w:t>(4.1</w:t>
            </w:r>
            <w:r w:rsidR="00E77DC6" w:rsidRPr="00A8076F">
              <w:rPr>
                <w:b/>
              </w:rPr>
              <w:t>)</w:t>
            </w:r>
          </w:p>
        </w:tc>
      </w:tr>
      <w:tr w:rsidR="00E77DC6" w:rsidRPr="00A8076F" w:rsidTr="00073326">
        <w:trPr>
          <w:jc w:val="center"/>
        </w:trPr>
        <w:tc>
          <w:tcPr>
            <w:tcW w:w="1704" w:type="dxa"/>
            <w:tcBorders>
              <w:bottom w:val="single" w:sz="4" w:space="0" w:color="auto"/>
              <w:right w:val="nil"/>
            </w:tcBorders>
          </w:tcPr>
          <w:p w:rsidR="00E77DC6" w:rsidRPr="00A8076F" w:rsidRDefault="00E77DC6" w:rsidP="001E2671">
            <w:pPr>
              <w:jc w:val="right"/>
            </w:pPr>
          </w:p>
          <w:p w:rsidR="00E77DC6" w:rsidRPr="00A8076F" w:rsidRDefault="00E77DC6" w:rsidP="001E2671">
            <w:pPr>
              <w:jc w:val="right"/>
            </w:pPr>
            <w:r w:rsidRPr="00A8076F">
              <w:t>Missing</w:t>
            </w:r>
          </w:p>
        </w:tc>
        <w:tc>
          <w:tcPr>
            <w:tcW w:w="1704" w:type="dxa"/>
            <w:tcBorders>
              <w:left w:val="nil"/>
              <w:bottom w:val="single" w:sz="4" w:space="0" w:color="auto"/>
              <w:right w:val="nil"/>
            </w:tcBorders>
          </w:tcPr>
          <w:p w:rsidR="00E77DC6" w:rsidRPr="00A8076F" w:rsidRDefault="00E77DC6" w:rsidP="001E2671">
            <w:pPr>
              <w:jc w:val="right"/>
            </w:pPr>
            <w:r w:rsidRPr="00A8076F">
              <w:t>245</w:t>
            </w:r>
          </w:p>
          <w:p w:rsidR="00E77DC6" w:rsidRPr="00A8076F" w:rsidRDefault="001E2671" w:rsidP="001E2671">
            <w:pPr>
              <w:jc w:val="right"/>
            </w:pPr>
            <w:r>
              <w:t>(5.3</w:t>
            </w:r>
            <w:r w:rsidR="00E77DC6" w:rsidRPr="00A8076F">
              <w:t>)</w:t>
            </w:r>
          </w:p>
        </w:tc>
        <w:tc>
          <w:tcPr>
            <w:tcW w:w="1704" w:type="dxa"/>
            <w:tcBorders>
              <w:left w:val="nil"/>
              <w:bottom w:val="single" w:sz="4" w:space="0" w:color="auto"/>
              <w:right w:val="nil"/>
            </w:tcBorders>
            <w:shd w:val="clear" w:color="auto" w:fill="A6A6A6" w:themeFill="background1" w:themeFillShade="A6"/>
          </w:tcPr>
          <w:p w:rsidR="00E77DC6" w:rsidRPr="00A8076F" w:rsidRDefault="00E77DC6" w:rsidP="001E2671">
            <w:pPr>
              <w:jc w:val="right"/>
            </w:pPr>
            <w:r w:rsidRPr="00A8076F">
              <w:t>44</w:t>
            </w:r>
          </w:p>
          <w:p w:rsidR="00E77DC6" w:rsidRPr="00A8076F" w:rsidRDefault="001E2671" w:rsidP="001E2671">
            <w:pPr>
              <w:jc w:val="right"/>
            </w:pPr>
            <w:r>
              <w:t>(1.0</w:t>
            </w:r>
            <w:r w:rsidR="00E77DC6" w:rsidRPr="00A8076F">
              <w:t>)</w:t>
            </w:r>
          </w:p>
        </w:tc>
        <w:tc>
          <w:tcPr>
            <w:tcW w:w="1705" w:type="dxa"/>
            <w:tcBorders>
              <w:left w:val="nil"/>
              <w:bottom w:val="single" w:sz="4" w:space="0" w:color="auto"/>
              <w:right w:val="nil"/>
            </w:tcBorders>
          </w:tcPr>
          <w:p w:rsidR="00E77DC6" w:rsidRPr="00A8076F" w:rsidRDefault="00E77DC6" w:rsidP="001E2671">
            <w:pPr>
              <w:jc w:val="right"/>
            </w:pPr>
            <w:r w:rsidRPr="00A8076F">
              <w:t>0</w:t>
            </w:r>
          </w:p>
          <w:p w:rsidR="00E77DC6" w:rsidRPr="00A8076F" w:rsidRDefault="001E2671" w:rsidP="001E2671">
            <w:pPr>
              <w:jc w:val="right"/>
            </w:pPr>
            <w:r>
              <w:t>(0.0</w:t>
            </w:r>
            <w:r w:rsidR="00E77DC6" w:rsidRPr="00A8076F">
              <w:t>)</w:t>
            </w:r>
          </w:p>
        </w:tc>
        <w:tc>
          <w:tcPr>
            <w:tcW w:w="1705" w:type="dxa"/>
            <w:tcBorders>
              <w:left w:val="nil"/>
              <w:bottom w:val="single" w:sz="4" w:space="0" w:color="auto"/>
            </w:tcBorders>
          </w:tcPr>
          <w:p w:rsidR="00E77DC6" w:rsidRPr="00A8076F" w:rsidRDefault="00E77DC6" w:rsidP="001E2671">
            <w:pPr>
              <w:jc w:val="right"/>
              <w:rPr>
                <w:b/>
              </w:rPr>
            </w:pPr>
            <w:r w:rsidRPr="00A8076F">
              <w:rPr>
                <w:b/>
              </w:rPr>
              <w:t>289</w:t>
            </w:r>
          </w:p>
          <w:p w:rsidR="00E77DC6" w:rsidRPr="00A8076F" w:rsidRDefault="001E2671" w:rsidP="001E2671">
            <w:pPr>
              <w:jc w:val="right"/>
              <w:rPr>
                <w:b/>
              </w:rPr>
            </w:pPr>
            <w:r>
              <w:rPr>
                <w:b/>
              </w:rPr>
              <w:t>(6.2</w:t>
            </w:r>
            <w:r w:rsidR="00E77DC6" w:rsidRPr="00A8076F">
              <w:rPr>
                <w:b/>
              </w:rPr>
              <w:t>)</w:t>
            </w:r>
          </w:p>
        </w:tc>
      </w:tr>
      <w:tr w:rsidR="00E77DC6" w:rsidRPr="00A8076F" w:rsidTr="00073326">
        <w:trPr>
          <w:jc w:val="center"/>
        </w:trPr>
        <w:tc>
          <w:tcPr>
            <w:tcW w:w="1704" w:type="dxa"/>
            <w:tcBorders>
              <w:top w:val="single" w:sz="4" w:space="0" w:color="auto"/>
              <w:bottom w:val="single" w:sz="4" w:space="0" w:color="auto"/>
              <w:right w:val="nil"/>
            </w:tcBorders>
          </w:tcPr>
          <w:p w:rsidR="00E77DC6" w:rsidRPr="00A8076F" w:rsidRDefault="00E77DC6" w:rsidP="001E2671">
            <w:pPr>
              <w:jc w:val="right"/>
              <w:rPr>
                <w:b/>
              </w:rPr>
            </w:pPr>
            <w:r w:rsidRPr="00A8076F">
              <w:rPr>
                <w:b/>
              </w:rPr>
              <w:t>TOTAL</w:t>
            </w:r>
          </w:p>
        </w:tc>
        <w:tc>
          <w:tcPr>
            <w:tcW w:w="1704"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2127</w:t>
            </w:r>
          </w:p>
          <w:p w:rsidR="00E77DC6" w:rsidRPr="00A8076F" w:rsidRDefault="001E2671" w:rsidP="001E2671">
            <w:pPr>
              <w:jc w:val="right"/>
              <w:rPr>
                <w:b/>
              </w:rPr>
            </w:pPr>
            <w:r>
              <w:rPr>
                <w:b/>
              </w:rPr>
              <w:t>(45.8</w:t>
            </w:r>
            <w:r w:rsidR="00E77DC6" w:rsidRPr="00A8076F">
              <w:rPr>
                <w:b/>
              </w:rPr>
              <w:t>)</w:t>
            </w:r>
          </w:p>
        </w:tc>
        <w:tc>
          <w:tcPr>
            <w:tcW w:w="1704"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296</w:t>
            </w:r>
          </w:p>
          <w:p w:rsidR="00E77DC6" w:rsidRPr="00A8076F" w:rsidRDefault="001E2671" w:rsidP="001E2671">
            <w:pPr>
              <w:jc w:val="right"/>
              <w:rPr>
                <w:b/>
              </w:rPr>
            </w:pPr>
            <w:r>
              <w:rPr>
                <w:b/>
              </w:rPr>
              <w:t>(6.4</w:t>
            </w:r>
            <w:r w:rsidR="00E77DC6" w:rsidRPr="00A8076F">
              <w:rPr>
                <w:b/>
              </w:rPr>
              <w:t>)</w:t>
            </w:r>
          </w:p>
        </w:tc>
        <w:tc>
          <w:tcPr>
            <w:tcW w:w="1705"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2223</w:t>
            </w:r>
          </w:p>
          <w:p w:rsidR="00E77DC6" w:rsidRPr="00A8076F" w:rsidRDefault="001E2671" w:rsidP="001E2671">
            <w:pPr>
              <w:jc w:val="right"/>
              <w:rPr>
                <w:b/>
              </w:rPr>
            </w:pPr>
            <w:r>
              <w:rPr>
                <w:b/>
              </w:rPr>
              <w:t>(47.9</w:t>
            </w:r>
            <w:r w:rsidR="00E77DC6" w:rsidRPr="00A8076F">
              <w:rPr>
                <w:b/>
              </w:rPr>
              <w:t>)</w:t>
            </w:r>
          </w:p>
        </w:tc>
        <w:tc>
          <w:tcPr>
            <w:tcW w:w="1705" w:type="dxa"/>
            <w:tcBorders>
              <w:top w:val="single" w:sz="4" w:space="0" w:color="auto"/>
              <w:left w:val="nil"/>
              <w:bottom w:val="single" w:sz="4" w:space="0" w:color="auto"/>
            </w:tcBorders>
            <w:vAlign w:val="bottom"/>
          </w:tcPr>
          <w:p w:rsidR="00E77DC6" w:rsidRPr="00A8076F" w:rsidRDefault="00E77DC6" w:rsidP="001E2671">
            <w:pPr>
              <w:jc w:val="right"/>
              <w:rPr>
                <w:b/>
              </w:rPr>
            </w:pPr>
            <w:r w:rsidRPr="00A8076F">
              <w:rPr>
                <w:b/>
              </w:rPr>
              <w:t>4646</w:t>
            </w:r>
          </w:p>
        </w:tc>
      </w:tr>
    </w:tbl>
    <w:p w:rsidR="00E77DC6" w:rsidRPr="00A8076F" w:rsidRDefault="00E77DC6" w:rsidP="00E77DC6">
      <w:pPr>
        <w:rPr>
          <w:sz w:val="16"/>
          <w:szCs w:val="16"/>
        </w:rPr>
      </w:pPr>
      <w:r w:rsidRPr="00A8076F">
        <w:rPr>
          <w:sz w:val="16"/>
          <w:szCs w:val="16"/>
        </w:rPr>
        <w:t>Dark shaded region represents those counted as workless, light shaded region corresponds to group in</w:t>
      </w:r>
      <w:r>
        <w:rPr>
          <w:sz w:val="16"/>
          <w:szCs w:val="16"/>
        </w:rPr>
        <w:t xml:space="preserve"> Table 3.</w:t>
      </w:r>
      <w:r w:rsidRPr="00A8076F">
        <w:rPr>
          <w:sz w:val="16"/>
          <w:szCs w:val="16"/>
        </w:rPr>
        <w:t>6 who are counted as not workless for the remainder of the analysis</w:t>
      </w:r>
    </w:p>
    <w:p w:rsidR="00E77DC6" w:rsidRPr="00A8076F" w:rsidRDefault="00E77DC6" w:rsidP="00E77DC6">
      <w:pPr>
        <w:jc w:val="both"/>
        <w:rPr>
          <w:b/>
        </w:rPr>
      </w:pPr>
    </w:p>
    <w:p w:rsidR="00E77DC6" w:rsidRPr="00A8076F" w:rsidRDefault="00E77DC6" w:rsidP="00E77DC6">
      <w:pPr>
        <w:jc w:val="both"/>
        <w:rPr>
          <w:b/>
        </w:rPr>
      </w:pPr>
      <w:r w:rsidRPr="00A8076F">
        <w:rPr>
          <w:b/>
        </w:rPr>
        <w:t>BHPS (1977)</w:t>
      </w:r>
    </w:p>
    <w:tbl>
      <w:tblPr>
        <w:tblW w:w="0" w:type="auto"/>
        <w:jc w:val="center"/>
        <w:tblBorders>
          <w:top w:val="single" w:sz="4" w:space="0" w:color="auto"/>
          <w:bottom w:val="single" w:sz="4" w:space="0" w:color="auto"/>
        </w:tblBorders>
        <w:tblLook w:val="04A0"/>
      </w:tblPr>
      <w:tblGrid>
        <w:gridCol w:w="1704"/>
        <w:gridCol w:w="1704"/>
        <w:gridCol w:w="1704"/>
        <w:gridCol w:w="1705"/>
        <w:gridCol w:w="1705"/>
      </w:tblGrid>
      <w:tr w:rsidR="00E77DC6" w:rsidRPr="00A8076F" w:rsidTr="00073326">
        <w:trPr>
          <w:jc w:val="center"/>
        </w:trPr>
        <w:tc>
          <w:tcPr>
            <w:tcW w:w="1704" w:type="dxa"/>
            <w:tcBorders>
              <w:top w:val="single" w:sz="4" w:space="0" w:color="auto"/>
              <w:bottom w:val="single" w:sz="4" w:space="0" w:color="auto"/>
              <w:right w:val="nil"/>
            </w:tcBorders>
          </w:tcPr>
          <w:p w:rsidR="00E77DC6" w:rsidRPr="00A8076F" w:rsidRDefault="00E77DC6" w:rsidP="001E2671">
            <w:pPr>
              <w:jc w:val="right"/>
              <w:rPr>
                <w:b/>
              </w:rPr>
            </w:pPr>
            <w:r w:rsidRPr="00A8076F">
              <w:rPr>
                <w:b/>
              </w:rPr>
              <w:t>Age of son   16</w:t>
            </w:r>
          </w:p>
          <w:p w:rsidR="00E77DC6" w:rsidRPr="00A8076F" w:rsidRDefault="00E77DC6" w:rsidP="001E2671">
            <w:pPr>
              <w:jc w:val="right"/>
              <w:rPr>
                <w:b/>
              </w:rPr>
            </w:pPr>
            <w:r w:rsidRPr="00A8076F">
              <w:rPr>
                <w:b/>
              </w:rPr>
              <w:t>10</w:t>
            </w:r>
          </w:p>
        </w:tc>
        <w:tc>
          <w:tcPr>
            <w:tcW w:w="1704" w:type="dxa"/>
            <w:tcBorders>
              <w:top w:val="single" w:sz="4" w:space="0" w:color="auto"/>
              <w:left w:val="nil"/>
              <w:bottom w:val="single" w:sz="4" w:space="0" w:color="auto"/>
              <w:right w:val="nil"/>
            </w:tcBorders>
          </w:tcPr>
          <w:p w:rsidR="00E77DC6" w:rsidRPr="00A8076F" w:rsidRDefault="00E77DC6" w:rsidP="001E2671">
            <w:pPr>
              <w:jc w:val="right"/>
            </w:pPr>
            <w:r w:rsidRPr="00A8076F">
              <w:t>Father employed</w:t>
            </w:r>
          </w:p>
        </w:tc>
        <w:tc>
          <w:tcPr>
            <w:tcW w:w="1704" w:type="dxa"/>
            <w:tcBorders>
              <w:top w:val="single" w:sz="4" w:space="0" w:color="auto"/>
              <w:left w:val="nil"/>
              <w:bottom w:val="single" w:sz="4" w:space="0" w:color="auto"/>
              <w:right w:val="nil"/>
            </w:tcBorders>
          </w:tcPr>
          <w:p w:rsidR="00E77DC6" w:rsidRPr="00A8076F" w:rsidRDefault="00E77DC6" w:rsidP="001E2671">
            <w:pPr>
              <w:jc w:val="right"/>
            </w:pPr>
            <w:r w:rsidRPr="00A8076F">
              <w:t xml:space="preserve">Father </w:t>
            </w:r>
          </w:p>
          <w:p w:rsidR="00E77DC6" w:rsidRPr="00A8076F" w:rsidRDefault="00E77DC6" w:rsidP="001E2671">
            <w:pPr>
              <w:jc w:val="right"/>
            </w:pPr>
            <w:r w:rsidRPr="00A8076F">
              <w:t>workless</w:t>
            </w:r>
          </w:p>
        </w:tc>
        <w:tc>
          <w:tcPr>
            <w:tcW w:w="1705" w:type="dxa"/>
            <w:tcBorders>
              <w:top w:val="single" w:sz="4" w:space="0" w:color="auto"/>
              <w:left w:val="nil"/>
              <w:bottom w:val="single" w:sz="4" w:space="0" w:color="auto"/>
              <w:right w:val="nil"/>
            </w:tcBorders>
          </w:tcPr>
          <w:p w:rsidR="00E77DC6" w:rsidRPr="00A8076F" w:rsidRDefault="00E77DC6" w:rsidP="001E2671">
            <w:pPr>
              <w:jc w:val="right"/>
            </w:pPr>
          </w:p>
          <w:p w:rsidR="00E77DC6" w:rsidRPr="00A8076F" w:rsidRDefault="00E77DC6" w:rsidP="001E2671">
            <w:pPr>
              <w:jc w:val="right"/>
            </w:pPr>
            <w:r w:rsidRPr="00A8076F">
              <w:t>Missing</w:t>
            </w:r>
          </w:p>
        </w:tc>
        <w:tc>
          <w:tcPr>
            <w:tcW w:w="1705" w:type="dxa"/>
            <w:tcBorders>
              <w:top w:val="single" w:sz="4" w:space="0" w:color="auto"/>
              <w:left w:val="nil"/>
              <w:bottom w:val="single" w:sz="4" w:space="0" w:color="auto"/>
            </w:tcBorders>
          </w:tcPr>
          <w:p w:rsidR="00E77DC6" w:rsidRPr="00A8076F" w:rsidRDefault="00E77DC6" w:rsidP="001E2671">
            <w:pPr>
              <w:jc w:val="right"/>
              <w:rPr>
                <w:b/>
              </w:rPr>
            </w:pPr>
          </w:p>
          <w:p w:rsidR="00E77DC6" w:rsidRPr="00A8076F" w:rsidRDefault="00E77DC6" w:rsidP="001E2671">
            <w:pPr>
              <w:jc w:val="right"/>
              <w:rPr>
                <w:b/>
              </w:rPr>
            </w:pPr>
            <w:r w:rsidRPr="00A8076F">
              <w:rPr>
                <w:b/>
              </w:rPr>
              <w:t>TOTAL</w:t>
            </w:r>
          </w:p>
        </w:tc>
      </w:tr>
      <w:tr w:rsidR="00E77DC6" w:rsidRPr="00A8076F" w:rsidTr="00073326">
        <w:trPr>
          <w:jc w:val="center"/>
        </w:trPr>
        <w:tc>
          <w:tcPr>
            <w:tcW w:w="1704" w:type="dxa"/>
            <w:tcBorders>
              <w:top w:val="single" w:sz="4" w:space="0" w:color="auto"/>
              <w:bottom w:val="nil"/>
              <w:right w:val="nil"/>
            </w:tcBorders>
          </w:tcPr>
          <w:p w:rsidR="00E77DC6" w:rsidRPr="00A8076F" w:rsidRDefault="00E77DC6" w:rsidP="001E2671">
            <w:pPr>
              <w:jc w:val="right"/>
            </w:pPr>
            <w:r w:rsidRPr="00A8076F">
              <w:t>Father employed</w:t>
            </w:r>
          </w:p>
        </w:tc>
        <w:tc>
          <w:tcPr>
            <w:tcW w:w="1704" w:type="dxa"/>
            <w:tcBorders>
              <w:top w:val="single" w:sz="4" w:space="0" w:color="auto"/>
              <w:left w:val="nil"/>
              <w:right w:val="nil"/>
            </w:tcBorders>
          </w:tcPr>
          <w:p w:rsidR="00E77DC6" w:rsidRPr="00A8076F" w:rsidRDefault="00E77DC6" w:rsidP="001E2671">
            <w:pPr>
              <w:jc w:val="right"/>
            </w:pPr>
            <w:r w:rsidRPr="00A8076F">
              <w:t>268</w:t>
            </w:r>
          </w:p>
          <w:p w:rsidR="00E77DC6" w:rsidRPr="00A8076F" w:rsidRDefault="001E2671" w:rsidP="001E2671">
            <w:pPr>
              <w:jc w:val="right"/>
            </w:pPr>
            <w:r>
              <w:t>(58.9</w:t>
            </w:r>
            <w:r w:rsidR="00E77DC6" w:rsidRPr="00A8076F">
              <w:t>)</w:t>
            </w:r>
          </w:p>
        </w:tc>
        <w:tc>
          <w:tcPr>
            <w:tcW w:w="1704" w:type="dxa"/>
            <w:tcBorders>
              <w:top w:val="single" w:sz="4" w:space="0" w:color="auto"/>
              <w:left w:val="nil"/>
              <w:right w:val="nil"/>
            </w:tcBorders>
            <w:shd w:val="clear" w:color="auto" w:fill="D9D9D9" w:themeFill="background1" w:themeFillShade="D9"/>
          </w:tcPr>
          <w:p w:rsidR="00E77DC6" w:rsidRPr="00A8076F" w:rsidRDefault="00E77DC6" w:rsidP="001E2671">
            <w:pPr>
              <w:jc w:val="right"/>
            </w:pPr>
            <w:r w:rsidRPr="00A8076F">
              <w:t>17</w:t>
            </w:r>
          </w:p>
          <w:p w:rsidR="00E77DC6" w:rsidRPr="00A8076F" w:rsidRDefault="00E77DC6" w:rsidP="001E2671">
            <w:pPr>
              <w:jc w:val="right"/>
            </w:pPr>
            <w:r w:rsidRPr="00A8076F">
              <w:t>(3.7)</w:t>
            </w:r>
          </w:p>
        </w:tc>
        <w:tc>
          <w:tcPr>
            <w:tcW w:w="1705" w:type="dxa"/>
            <w:tcBorders>
              <w:top w:val="single" w:sz="4" w:space="0" w:color="auto"/>
              <w:left w:val="nil"/>
              <w:right w:val="nil"/>
            </w:tcBorders>
            <w:shd w:val="clear" w:color="auto" w:fill="FFFFFF"/>
          </w:tcPr>
          <w:p w:rsidR="00E77DC6" w:rsidRPr="00A8076F" w:rsidRDefault="00E77DC6" w:rsidP="001E2671">
            <w:pPr>
              <w:jc w:val="right"/>
            </w:pPr>
            <w:r w:rsidRPr="00A8076F">
              <w:t>1</w:t>
            </w:r>
          </w:p>
          <w:p w:rsidR="00E77DC6" w:rsidRPr="00A8076F" w:rsidRDefault="00E77DC6" w:rsidP="001E2671">
            <w:pPr>
              <w:jc w:val="right"/>
            </w:pPr>
            <w:r w:rsidRPr="00A8076F">
              <w:t>(0.2)</w:t>
            </w:r>
          </w:p>
        </w:tc>
        <w:tc>
          <w:tcPr>
            <w:tcW w:w="1705" w:type="dxa"/>
            <w:tcBorders>
              <w:top w:val="single" w:sz="4" w:space="0" w:color="auto"/>
              <w:left w:val="nil"/>
            </w:tcBorders>
          </w:tcPr>
          <w:p w:rsidR="00E77DC6" w:rsidRPr="00A8076F" w:rsidRDefault="00E77DC6" w:rsidP="001E2671">
            <w:pPr>
              <w:jc w:val="right"/>
              <w:rPr>
                <w:b/>
              </w:rPr>
            </w:pPr>
            <w:r w:rsidRPr="00A8076F">
              <w:rPr>
                <w:b/>
              </w:rPr>
              <w:t>286</w:t>
            </w:r>
          </w:p>
          <w:p w:rsidR="00E77DC6" w:rsidRPr="00A8076F" w:rsidRDefault="001E2671" w:rsidP="001E2671">
            <w:pPr>
              <w:jc w:val="right"/>
              <w:rPr>
                <w:b/>
              </w:rPr>
            </w:pPr>
            <w:r>
              <w:rPr>
                <w:b/>
              </w:rPr>
              <w:t>(62.9</w:t>
            </w:r>
            <w:r w:rsidR="00E77DC6" w:rsidRPr="00A8076F">
              <w:rPr>
                <w:b/>
              </w:rPr>
              <w:t>)</w:t>
            </w:r>
          </w:p>
        </w:tc>
      </w:tr>
      <w:tr w:rsidR="00E77DC6" w:rsidRPr="00A8076F" w:rsidTr="00073326">
        <w:trPr>
          <w:jc w:val="center"/>
        </w:trPr>
        <w:tc>
          <w:tcPr>
            <w:tcW w:w="1704" w:type="dxa"/>
            <w:tcBorders>
              <w:top w:val="nil"/>
              <w:bottom w:val="nil"/>
              <w:right w:val="nil"/>
            </w:tcBorders>
          </w:tcPr>
          <w:p w:rsidR="00E77DC6" w:rsidRPr="00A8076F" w:rsidRDefault="00E77DC6" w:rsidP="001E2671">
            <w:pPr>
              <w:jc w:val="right"/>
            </w:pPr>
            <w:r w:rsidRPr="00A8076F">
              <w:t>Father</w:t>
            </w:r>
          </w:p>
          <w:p w:rsidR="00E77DC6" w:rsidRPr="00A8076F" w:rsidRDefault="00E77DC6" w:rsidP="001E2671">
            <w:pPr>
              <w:jc w:val="right"/>
            </w:pPr>
            <w:r w:rsidRPr="00A8076F">
              <w:t>workless</w:t>
            </w:r>
          </w:p>
        </w:tc>
        <w:tc>
          <w:tcPr>
            <w:tcW w:w="1704" w:type="dxa"/>
            <w:tcBorders>
              <w:left w:val="nil"/>
              <w:right w:val="nil"/>
            </w:tcBorders>
            <w:shd w:val="clear" w:color="auto" w:fill="D9D9D9" w:themeFill="background1" w:themeFillShade="D9"/>
          </w:tcPr>
          <w:p w:rsidR="00E77DC6" w:rsidRPr="00A8076F" w:rsidRDefault="00E77DC6" w:rsidP="001E2671">
            <w:pPr>
              <w:jc w:val="right"/>
            </w:pPr>
            <w:r w:rsidRPr="00A8076F">
              <w:t>5</w:t>
            </w:r>
          </w:p>
          <w:p w:rsidR="00E77DC6" w:rsidRPr="00A8076F" w:rsidRDefault="001E2671" w:rsidP="001E2671">
            <w:pPr>
              <w:jc w:val="right"/>
            </w:pPr>
            <w:r>
              <w:t>(1.1</w:t>
            </w:r>
            <w:r w:rsidR="00E77DC6" w:rsidRPr="00A8076F">
              <w:t>)</w:t>
            </w:r>
          </w:p>
        </w:tc>
        <w:tc>
          <w:tcPr>
            <w:tcW w:w="1704" w:type="dxa"/>
            <w:tcBorders>
              <w:left w:val="nil"/>
              <w:right w:val="nil"/>
            </w:tcBorders>
            <w:shd w:val="clear" w:color="auto" w:fill="A6A6A6" w:themeFill="background1" w:themeFillShade="A6"/>
          </w:tcPr>
          <w:p w:rsidR="00E77DC6" w:rsidRPr="00A8076F" w:rsidRDefault="00E77DC6" w:rsidP="001E2671">
            <w:pPr>
              <w:jc w:val="right"/>
            </w:pPr>
            <w:r w:rsidRPr="00A8076F">
              <w:t>32</w:t>
            </w:r>
          </w:p>
          <w:p w:rsidR="00E77DC6" w:rsidRPr="00A8076F" w:rsidRDefault="00E77DC6" w:rsidP="001E2671">
            <w:pPr>
              <w:jc w:val="right"/>
            </w:pPr>
            <w:r w:rsidRPr="00A8076F">
              <w:t>(7.0)</w:t>
            </w:r>
          </w:p>
        </w:tc>
        <w:tc>
          <w:tcPr>
            <w:tcW w:w="1705" w:type="dxa"/>
            <w:tcBorders>
              <w:left w:val="nil"/>
              <w:right w:val="nil"/>
            </w:tcBorders>
            <w:shd w:val="clear" w:color="auto" w:fill="A6A6A6" w:themeFill="background1" w:themeFillShade="A6"/>
          </w:tcPr>
          <w:p w:rsidR="00E77DC6" w:rsidRPr="00A8076F" w:rsidRDefault="00E77DC6" w:rsidP="001E2671">
            <w:pPr>
              <w:jc w:val="right"/>
            </w:pPr>
            <w:r w:rsidRPr="00A8076F">
              <w:t>0</w:t>
            </w:r>
          </w:p>
          <w:p w:rsidR="00E77DC6" w:rsidRPr="00A8076F" w:rsidRDefault="00E77DC6" w:rsidP="001E2671">
            <w:pPr>
              <w:jc w:val="right"/>
            </w:pPr>
            <w:r w:rsidRPr="00A8076F">
              <w:t>(0.00)</w:t>
            </w:r>
          </w:p>
        </w:tc>
        <w:tc>
          <w:tcPr>
            <w:tcW w:w="1705" w:type="dxa"/>
            <w:tcBorders>
              <w:left w:val="nil"/>
            </w:tcBorders>
          </w:tcPr>
          <w:p w:rsidR="00E77DC6" w:rsidRPr="00A8076F" w:rsidRDefault="00E77DC6" w:rsidP="001E2671">
            <w:pPr>
              <w:jc w:val="right"/>
              <w:rPr>
                <w:b/>
              </w:rPr>
            </w:pPr>
            <w:r w:rsidRPr="00A8076F">
              <w:rPr>
                <w:b/>
              </w:rPr>
              <w:t>37</w:t>
            </w:r>
          </w:p>
          <w:p w:rsidR="00E77DC6" w:rsidRPr="00A8076F" w:rsidRDefault="001E2671" w:rsidP="001E2671">
            <w:pPr>
              <w:jc w:val="right"/>
              <w:rPr>
                <w:b/>
              </w:rPr>
            </w:pPr>
            <w:r>
              <w:rPr>
                <w:b/>
              </w:rPr>
              <w:t>(8.1</w:t>
            </w:r>
            <w:r w:rsidR="00E77DC6" w:rsidRPr="00A8076F">
              <w:rPr>
                <w:b/>
              </w:rPr>
              <w:t>)</w:t>
            </w:r>
          </w:p>
        </w:tc>
      </w:tr>
      <w:tr w:rsidR="00E77DC6" w:rsidRPr="00A8076F" w:rsidTr="00073326">
        <w:trPr>
          <w:jc w:val="center"/>
        </w:trPr>
        <w:tc>
          <w:tcPr>
            <w:tcW w:w="1704" w:type="dxa"/>
            <w:tcBorders>
              <w:top w:val="nil"/>
              <w:bottom w:val="single" w:sz="4" w:space="0" w:color="auto"/>
              <w:right w:val="nil"/>
            </w:tcBorders>
          </w:tcPr>
          <w:p w:rsidR="00E77DC6" w:rsidRPr="00A8076F" w:rsidRDefault="00E77DC6" w:rsidP="001E2671">
            <w:pPr>
              <w:jc w:val="right"/>
            </w:pPr>
          </w:p>
          <w:p w:rsidR="00E77DC6" w:rsidRPr="00A8076F" w:rsidRDefault="00E77DC6" w:rsidP="001E2671">
            <w:pPr>
              <w:jc w:val="right"/>
            </w:pPr>
            <w:r w:rsidRPr="00A8076F">
              <w:t>Missing</w:t>
            </w:r>
          </w:p>
        </w:tc>
        <w:tc>
          <w:tcPr>
            <w:tcW w:w="1704" w:type="dxa"/>
            <w:tcBorders>
              <w:left w:val="nil"/>
              <w:bottom w:val="single" w:sz="4" w:space="0" w:color="auto"/>
              <w:right w:val="nil"/>
            </w:tcBorders>
          </w:tcPr>
          <w:p w:rsidR="00E77DC6" w:rsidRPr="00A8076F" w:rsidRDefault="00E77DC6" w:rsidP="001E2671">
            <w:pPr>
              <w:jc w:val="right"/>
            </w:pPr>
            <w:r w:rsidRPr="00A8076F">
              <w:t>105</w:t>
            </w:r>
          </w:p>
          <w:p w:rsidR="00E77DC6" w:rsidRPr="00A8076F" w:rsidRDefault="001E2671" w:rsidP="001E2671">
            <w:pPr>
              <w:jc w:val="right"/>
            </w:pPr>
            <w:r>
              <w:t>(23.1</w:t>
            </w:r>
            <w:r w:rsidR="00E77DC6" w:rsidRPr="00A8076F">
              <w:t>)</w:t>
            </w:r>
          </w:p>
        </w:tc>
        <w:tc>
          <w:tcPr>
            <w:tcW w:w="1704" w:type="dxa"/>
            <w:tcBorders>
              <w:left w:val="nil"/>
              <w:bottom w:val="single" w:sz="4" w:space="0" w:color="auto"/>
              <w:right w:val="nil"/>
            </w:tcBorders>
            <w:shd w:val="clear" w:color="auto" w:fill="A6A6A6" w:themeFill="background1" w:themeFillShade="A6"/>
          </w:tcPr>
          <w:p w:rsidR="00E77DC6" w:rsidRPr="00A8076F" w:rsidRDefault="00E77DC6" w:rsidP="001E2671">
            <w:pPr>
              <w:jc w:val="right"/>
            </w:pPr>
            <w:r w:rsidRPr="00A8076F">
              <w:t>26</w:t>
            </w:r>
          </w:p>
          <w:p w:rsidR="00E77DC6" w:rsidRPr="00A8076F" w:rsidRDefault="001E2671" w:rsidP="001E2671">
            <w:pPr>
              <w:jc w:val="right"/>
            </w:pPr>
            <w:r>
              <w:t>(5.7</w:t>
            </w:r>
            <w:r w:rsidR="00E77DC6" w:rsidRPr="00A8076F">
              <w:t>)</w:t>
            </w:r>
          </w:p>
        </w:tc>
        <w:tc>
          <w:tcPr>
            <w:tcW w:w="1705" w:type="dxa"/>
            <w:tcBorders>
              <w:left w:val="nil"/>
              <w:bottom w:val="single" w:sz="4" w:space="0" w:color="auto"/>
              <w:right w:val="nil"/>
            </w:tcBorders>
          </w:tcPr>
          <w:p w:rsidR="00E77DC6" w:rsidRPr="00A8076F" w:rsidRDefault="00E77DC6" w:rsidP="001E2671">
            <w:pPr>
              <w:jc w:val="right"/>
            </w:pPr>
            <w:r w:rsidRPr="00A8076F">
              <w:t>1</w:t>
            </w:r>
          </w:p>
          <w:p w:rsidR="00E77DC6" w:rsidRPr="00A8076F" w:rsidRDefault="00E77DC6" w:rsidP="001E2671">
            <w:pPr>
              <w:jc w:val="right"/>
            </w:pPr>
            <w:r w:rsidRPr="00A8076F">
              <w:t>(0.2)</w:t>
            </w:r>
          </w:p>
        </w:tc>
        <w:tc>
          <w:tcPr>
            <w:tcW w:w="1705" w:type="dxa"/>
            <w:tcBorders>
              <w:left w:val="nil"/>
              <w:bottom w:val="single" w:sz="4" w:space="0" w:color="auto"/>
            </w:tcBorders>
          </w:tcPr>
          <w:p w:rsidR="00E77DC6" w:rsidRPr="00A8076F" w:rsidRDefault="00E77DC6" w:rsidP="001E2671">
            <w:pPr>
              <w:jc w:val="right"/>
              <w:rPr>
                <w:b/>
              </w:rPr>
            </w:pPr>
            <w:r w:rsidRPr="00A8076F">
              <w:rPr>
                <w:b/>
              </w:rPr>
              <w:t>132</w:t>
            </w:r>
          </w:p>
          <w:p w:rsidR="00E77DC6" w:rsidRPr="00A8076F" w:rsidRDefault="001E2671" w:rsidP="001E2671">
            <w:pPr>
              <w:jc w:val="right"/>
              <w:rPr>
                <w:b/>
              </w:rPr>
            </w:pPr>
            <w:r>
              <w:rPr>
                <w:b/>
              </w:rPr>
              <w:t>(29.0</w:t>
            </w:r>
            <w:r w:rsidR="00E77DC6" w:rsidRPr="00A8076F">
              <w:rPr>
                <w:b/>
              </w:rPr>
              <w:t>)</w:t>
            </w:r>
          </w:p>
        </w:tc>
      </w:tr>
      <w:tr w:rsidR="00E77DC6" w:rsidRPr="00A8076F" w:rsidTr="00073326">
        <w:trPr>
          <w:jc w:val="center"/>
        </w:trPr>
        <w:tc>
          <w:tcPr>
            <w:tcW w:w="1704" w:type="dxa"/>
            <w:tcBorders>
              <w:top w:val="single" w:sz="4" w:space="0" w:color="auto"/>
              <w:bottom w:val="single" w:sz="4" w:space="0" w:color="auto"/>
              <w:right w:val="nil"/>
            </w:tcBorders>
          </w:tcPr>
          <w:p w:rsidR="00E77DC6" w:rsidRPr="00A8076F" w:rsidRDefault="00E77DC6" w:rsidP="001E2671">
            <w:pPr>
              <w:jc w:val="right"/>
              <w:rPr>
                <w:b/>
              </w:rPr>
            </w:pPr>
            <w:r w:rsidRPr="00A8076F">
              <w:rPr>
                <w:b/>
              </w:rPr>
              <w:t>TOTAL</w:t>
            </w:r>
          </w:p>
        </w:tc>
        <w:tc>
          <w:tcPr>
            <w:tcW w:w="1704"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378</w:t>
            </w:r>
          </w:p>
          <w:p w:rsidR="00E77DC6" w:rsidRPr="00A8076F" w:rsidRDefault="001E2671" w:rsidP="001E2671">
            <w:pPr>
              <w:jc w:val="right"/>
              <w:rPr>
                <w:b/>
              </w:rPr>
            </w:pPr>
            <w:r>
              <w:rPr>
                <w:b/>
              </w:rPr>
              <w:t>(83.1</w:t>
            </w:r>
            <w:r w:rsidR="00E77DC6" w:rsidRPr="00A8076F">
              <w:rPr>
                <w:b/>
              </w:rPr>
              <w:t>)</w:t>
            </w:r>
          </w:p>
        </w:tc>
        <w:tc>
          <w:tcPr>
            <w:tcW w:w="1704"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75</w:t>
            </w:r>
          </w:p>
          <w:p w:rsidR="00E77DC6" w:rsidRPr="00A8076F" w:rsidRDefault="001E2671" w:rsidP="001E2671">
            <w:pPr>
              <w:jc w:val="right"/>
              <w:rPr>
                <w:b/>
              </w:rPr>
            </w:pPr>
            <w:r>
              <w:rPr>
                <w:b/>
              </w:rPr>
              <w:t>(16.5</w:t>
            </w:r>
            <w:r w:rsidR="00E77DC6" w:rsidRPr="00A8076F">
              <w:rPr>
                <w:b/>
              </w:rPr>
              <w:t>)</w:t>
            </w:r>
          </w:p>
        </w:tc>
        <w:tc>
          <w:tcPr>
            <w:tcW w:w="1705" w:type="dxa"/>
            <w:tcBorders>
              <w:top w:val="single" w:sz="4" w:space="0" w:color="auto"/>
              <w:left w:val="nil"/>
              <w:bottom w:val="single" w:sz="4" w:space="0" w:color="auto"/>
              <w:right w:val="nil"/>
            </w:tcBorders>
          </w:tcPr>
          <w:p w:rsidR="00E77DC6" w:rsidRPr="00A8076F" w:rsidRDefault="00E77DC6" w:rsidP="001E2671">
            <w:pPr>
              <w:jc w:val="right"/>
              <w:rPr>
                <w:b/>
              </w:rPr>
            </w:pPr>
            <w:r w:rsidRPr="00A8076F">
              <w:rPr>
                <w:b/>
              </w:rPr>
              <w:t>2</w:t>
            </w:r>
          </w:p>
          <w:p w:rsidR="00E77DC6" w:rsidRPr="00A8076F" w:rsidRDefault="00E77DC6" w:rsidP="001E2671">
            <w:pPr>
              <w:jc w:val="right"/>
              <w:rPr>
                <w:b/>
              </w:rPr>
            </w:pPr>
            <w:r w:rsidRPr="00A8076F">
              <w:rPr>
                <w:b/>
              </w:rPr>
              <w:t>(0.4)</w:t>
            </w:r>
          </w:p>
        </w:tc>
        <w:tc>
          <w:tcPr>
            <w:tcW w:w="1705" w:type="dxa"/>
            <w:tcBorders>
              <w:top w:val="single" w:sz="4" w:space="0" w:color="auto"/>
              <w:left w:val="nil"/>
              <w:bottom w:val="single" w:sz="4" w:space="0" w:color="auto"/>
            </w:tcBorders>
            <w:vAlign w:val="bottom"/>
          </w:tcPr>
          <w:p w:rsidR="00E77DC6" w:rsidRPr="00A8076F" w:rsidRDefault="00E77DC6" w:rsidP="001E2671">
            <w:pPr>
              <w:jc w:val="right"/>
              <w:rPr>
                <w:b/>
              </w:rPr>
            </w:pPr>
            <w:r w:rsidRPr="00A8076F">
              <w:rPr>
                <w:b/>
              </w:rPr>
              <w:t>455</w:t>
            </w:r>
          </w:p>
        </w:tc>
      </w:tr>
    </w:tbl>
    <w:p w:rsidR="00E77DC6" w:rsidRPr="00A8076F" w:rsidRDefault="00E77DC6" w:rsidP="00E77DC6">
      <w:pPr>
        <w:rPr>
          <w:sz w:val="16"/>
          <w:szCs w:val="16"/>
        </w:rPr>
      </w:pPr>
      <w:r w:rsidRPr="00A8076F">
        <w:rPr>
          <w:sz w:val="16"/>
          <w:szCs w:val="16"/>
        </w:rPr>
        <w:t>Dark shaded region represents those counted as workless, light shaded region corresponds to group in</w:t>
      </w:r>
      <w:r>
        <w:rPr>
          <w:sz w:val="16"/>
          <w:szCs w:val="16"/>
        </w:rPr>
        <w:t xml:space="preserve"> Table 3.</w:t>
      </w:r>
      <w:r w:rsidRPr="00A8076F">
        <w:rPr>
          <w:sz w:val="16"/>
          <w:szCs w:val="16"/>
        </w:rPr>
        <w:t>6 who are counted as not workless for the remainder of the analysis</w:t>
      </w:r>
    </w:p>
    <w:p w:rsidR="00E77DC6" w:rsidRPr="00A8076F" w:rsidRDefault="00E77DC6" w:rsidP="00E77DC6">
      <w:pPr>
        <w:jc w:val="both"/>
        <w:rPr>
          <w:b/>
        </w:rPr>
      </w:pPr>
    </w:p>
    <w:p w:rsidR="00E77DC6" w:rsidRPr="00A8076F" w:rsidRDefault="00E77DC6" w:rsidP="00E77DC6">
      <w:pPr>
        <w:jc w:val="both"/>
        <w:rPr>
          <w:b/>
        </w:rPr>
      </w:pPr>
    </w:p>
    <w:tbl>
      <w:tblPr>
        <w:tblW w:w="0" w:type="auto"/>
        <w:jc w:val="center"/>
        <w:tblBorders>
          <w:top w:val="single" w:sz="4" w:space="0" w:color="auto"/>
          <w:bottom w:val="single" w:sz="4" w:space="0" w:color="auto"/>
          <w:insideH w:val="single" w:sz="4" w:space="0" w:color="auto"/>
        </w:tblBorders>
        <w:tblLook w:val="04A0"/>
      </w:tblPr>
      <w:tblGrid>
        <w:gridCol w:w="1668"/>
        <w:gridCol w:w="1701"/>
        <w:gridCol w:w="5153"/>
      </w:tblGrid>
      <w:tr w:rsidR="00E77DC6" w:rsidRPr="00A8076F" w:rsidTr="00073326">
        <w:trPr>
          <w:jc w:val="center"/>
        </w:trPr>
        <w:tc>
          <w:tcPr>
            <w:tcW w:w="1668" w:type="dxa"/>
            <w:shd w:val="clear" w:color="auto" w:fill="FFFFFF" w:themeFill="background1"/>
          </w:tcPr>
          <w:p w:rsidR="00E77DC6" w:rsidRPr="00A8076F" w:rsidRDefault="00E77DC6" w:rsidP="00073326">
            <w:pPr>
              <w:jc w:val="center"/>
            </w:pPr>
          </w:p>
        </w:tc>
        <w:tc>
          <w:tcPr>
            <w:tcW w:w="1701" w:type="dxa"/>
            <w:shd w:val="clear" w:color="auto" w:fill="D9D9D9" w:themeFill="background1" w:themeFillShade="D9"/>
          </w:tcPr>
          <w:p w:rsidR="00E77DC6" w:rsidRPr="00A8076F" w:rsidRDefault="00E77DC6" w:rsidP="00073326">
            <w:pPr>
              <w:jc w:val="center"/>
            </w:pPr>
          </w:p>
        </w:tc>
        <w:tc>
          <w:tcPr>
            <w:tcW w:w="5153" w:type="dxa"/>
          </w:tcPr>
          <w:p w:rsidR="00E77DC6" w:rsidRPr="00A8076F" w:rsidRDefault="00E77DC6" w:rsidP="00073326">
            <w:pPr>
              <w:jc w:val="center"/>
            </w:pPr>
            <w:r w:rsidRPr="00A8076F">
              <w:t>Defined not workless</w:t>
            </w:r>
          </w:p>
        </w:tc>
      </w:tr>
      <w:tr w:rsidR="00E77DC6" w:rsidRPr="00A8076F" w:rsidTr="00073326">
        <w:trPr>
          <w:jc w:val="center"/>
        </w:trPr>
        <w:tc>
          <w:tcPr>
            <w:tcW w:w="1668" w:type="dxa"/>
            <w:shd w:val="clear" w:color="auto" w:fill="A6A6A6" w:themeFill="background1" w:themeFillShade="A6"/>
          </w:tcPr>
          <w:p w:rsidR="00E77DC6" w:rsidRPr="00A8076F" w:rsidRDefault="00E77DC6" w:rsidP="00073326">
            <w:pPr>
              <w:jc w:val="center"/>
            </w:pPr>
          </w:p>
        </w:tc>
        <w:tc>
          <w:tcPr>
            <w:tcW w:w="1701" w:type="dxa"/>
            <w:shd w:val="clear" w:color="auto" w:fill="A6A6A6" w:themeFill="background1" w:themeFillShade="A6"/>
          </w:tcPr>
          <w:p w:rsidR="00E77DC6" w:rsidRPr="00A8076F" w:rsidRDefault="00E77DC6" w:rsidP="00073326">
            <w:pPr>
              <w:jc w:val="center"/>
            </w:pPr>
          </w:p>
        </w:tc>
        <w:tc>
          <w:tcPr>
            <w:tcW w:w="5153" w:type="dxa"/>
          </w:tcPr>
          <w:p w:rsidR="00E77DC6" w:rsidRPr="00A8076F" w:rsidRDefault="00E77DC6" w:rsidP="00073326">
            <w:pPr>
              <w:jc w:val="center"/>
            </w:pPr>
            <w:r w:rsidRPr="00A8076F">
              <w:t>Defined workless</w:t>
            </w:r>
          </w:p>
        </w:tc>
      </w:tr>
    </w:tbl>
    <w:p w:rsidR="0012240C" w:rsidRDefault="0012240C" w:rsidP="006646DF"/>
    <w:p w:rsidR="00525C12" w:rsidRDefault="00525C12" w:rsidP="00A6094C">
      <w:pPr>
        <w:spacing w:after="200" w:line="276" w:lineRule="auto"/>
      </w:pPr>
    </w:p>
    <w:sectPr w:rsidR="00525C12" w:rsidSect="00967245">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BC" w:rsidRDefault="003367BC" w:rsidP="006646DF">
      <w:r>
        <w:separator/>
      </w:r>
    </w:p>
  </w:endnote>
  <w:endnote w:type="continuationSeparator" w:id="0">
    <w:p w:rsidR="003367BC" w:rsidRDefault="003367BC" w:rsidP="00664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BC" w:rsidRDefault="003367BC" w:rsidP="006646DF">
      <w:r>
        <w:separator/>
      </w:r>
    </w:p>
  </w:footnote>
  <w:footnote w:type="continuationSeparator" w:id="0">
    <w:p w:rsidR="003367BC" w:rsidRDefault="003367BC" w:rsidP="006646DF">
      <w:r>
        <w:continuationSeparator/>
      </w:r>
    </w:p>
  </w:footnote>
  <w:footnote w:id="1">
    <w:p w:rsidR="003A6014" w:rsidRDefault="003A6014" w:rsidP="006646DF">
      <w:pPr>
        <w:pStyle w:val="FootnoteText"/>
      </w:pPr>
      <w:r>
        <w:rPr>
          <w:rStyle w:val="FootnoteReference"/>
        </w:rPr>
        <w:footnoteRef/>
      </w:r>
      <w:r>
        <w:t xml:space="preserve"> </w:t>
      </w:r>
      <w:hyperlink r:id="rId1" w:history="1">
        <w:r>
          <w:rPr>
            <w:rStyle w:val="Hyperlink"/>
            <w:rFonts w:eastAsiaTheme="majorEastAsia"/>
          </w:rPr>
          <w:t>http://www.centreforsocialjustice.org.uk/default.asp?pageRef=361</w:t>
        </w:r>
      </w:hyperlink>
      <w:r>
        <w:rPr>
          <w:rStyle w:val="Hyperlink"/>
          <w:rFonts w:eastAsiaTheme="majorEastAsia"/>
        </w:rPr>
        <w:t xml:space="preserve">  (</w:t>
      </w:r>
      <w:r>
        <w:t>accessed 15</w:t>
      </w:r>
      <w:r w:rsidRPr="00242BC2">
        <w:rPr>
          <w:vertAlign w:val="superscript"/>
        </w:rPr>
        <w:t>th</w:t>
      </w:r>
      <w:r>
        <w:t xml:space="preserve"> May 2012).</w:t>
      </w:r>
    </w:p>
  </w:footnote>
  <w:footnote w:id="2">
    <w:p w:rsidR="003A6014" w:rsidRDefault="003A6014" w:rsidP="006646DF">
      <w:pPr>
        <w:pStyle w:val="FootnoteText"/>
      </w:pPr>
      <w:r>
        <w:rPr>
          <w:rStyle w:val="FootnoteReference"/>
        </w:rPr>
        <w:footnoteRef/>
      </w:r>
      <w:r>
        <w:t xml:space="preserve"> </w:t>
      </w:r>
      <w:hyperlink r:id="rId2" w:history="1">
        <w:r>
          <w:rPr>
            <w:rStyle w:val="Hyperlink"/>
            <w:rFonts w:eastAsiaTheme="majorEastAsia"/>
          </w:rPr>
          <w:t>http://www.dwp.gov.uk/newsroom/press-releases/2010/may-2010/dwp070-10-270510.shtml</w:t>
        </w:r>
      </w:hyperlink>
      <w:r>
        <w:rPr>
          <w:rStyle w:val="Hyperlink"/>
          <w:rFonts w:eastAsiaTheme="majorEastAsia"/>
        </w:rPr>
        <w:t xml:space="preserve"> </w:t>
      </w:r>
      <w:r>
        <w:t>(accessed 15</w:t>
      </w:r>
      <w:r w:rsidRPr="00242BC2">
        <w:rPr>
          <w:vertAlign w:val="superscript"/>
        </w:rPr>
        <w:t>th</w:t>
      </w:r>
      <w:r>
        <w:t xml:space="preserve"> May 2012). </w:t>
      </w:r>
    </w:p>
  </w:footnote>
  <w:footnote w:id="3">
    <w:p w:rsidR="003A6014" w:rsidRDefault="003A6014">
      <w:pPr>
        <w:pStyle w:val="FootnoteText"/>
      </w:pPr>
      <w:r>
        <w:rPr>
          <w:rStyle w:val="FootnoteReference"/>
        </w:rPr>
        <w:footnoteRef/>
      </w:r>
      <w:r>
        <w:t xml:space="preserve"> Studies that focus on intergenerational earnings persistence exclude individuals who are out of work as they do not report earnings (</w:t>
      </w:r>
      <w:proofErr w:type="spellStart"/>
      <w:r>
        <w:t>Blanden</w:t>
      </w:r>
      <w:proofErr w:type="spellEnd"/>
      <w:r>
        <w:t xml:space="preserve"> et. al., 2005).</w:t>
      </w:r>
    </w:p>
  </w:footnote>
  <w:footnote w:id="4">
    <w:p w:rsidR="003A6014" w:rsidRDefault="003A6014">
      <w:pPr>
        <w:pStyle w:val="FootnoteText"/>
      </w:pPr>
      <w:r>
        <w:rPr>
          <w:rStyle w:val="FootnoteReference"/>
        </w:rPr>
        <w:footnoteRef/>
      </w:r>
      <w:r>
        <w:t xml:space="preserve"> </w:t>
      </w:r>
      <w:r>
        <w:rPr>
          <w:color w:val="000000"/>
          <w:szCs w:val="21"/>
        </w:rPr>
        <w:t>Kim (2002) considers the role of local labour markets in intergenerational income mobility</w:t>
      </w:r>
    </w:p>
  </w:footnote>
  <w:footnote w:id="5">
    <w:p w:rsidR="003A6014" w:rsidRDefault="003A6014">
      <w:pPr>
        <w:pStyle w:val="FootnoteText"/>
      </w:pPr>
      <w:r>
        <w:rPr>
          <w:rStyle w:val="FootnoteReference"/>
        </w:rPr>
        <w:footnoteRef/>
      </w:r>
      <w:r>
        <w:t xml:space="preserve"> One important distinction between </w:t>
      </w:r>
      <w:r w:rsidR="008E3CBB">
        <w:t xml:space="preserve">this literature and </w:t>
      </w:r>
      <w:r>
        <w:t>the intergenerational welfare dependency literature is that the majority of the intergenerational welfare dependency literature focuses on mothers and da</w:t>
      </w:r>
      <w:r w:rsidR="008E3CBB">
        <w:t xml:space="preserve">ughters. Implicit throughout that </w:t>
      </w:r>
      <w:r>
        <w:t xml:space="preserve">analysis therefore is the intergenerational correlation of lone parenthood, as it is often these individuals who are entitled to the welfare payments in questions. This research regularly finds higher correlations across generations of around 0.3 (Gottschalk, 1996, Page, 2004). </w:t>
      </w:r>
    </w:p>
  </w:footnote>
  <w:footnote w:id="6">
    <w:p w:rsidR="003A6014" w:rsidRDefault="003A6014" w:rsidP="001C1F65">
      <w:pPr>
        <w:pStyle w:val="FootnoteText"/>
      </w:pPr>
      <w:r>
        <w:rPr>
          <w:rStyle w:val="FootnoteReference"/>
        </w:rPr>
        <w:footnoteRef/>
      </w:r>
      <w:r>
        <w:t xml:space="preserve"> Throughout this research the terminology ‘intergenerational correlation’ is used. For clarity, this is referring to the intergenerational coefficient, </w:t>
      </w:r>
      <m:oMath>
        <m:r>
          <w:rPr>
            <w:rFonts w:ascii="Cambria Math" w:hAnsi="Cambria Math"/>
          </w:rPr>
          <m:t>β</m:t>
        </m:r>
      </m:oMath>
      <w:r>
        <w:t xml:space="preserve"> rather than a correlation. This is common practice within the intergenerational literature.</w:t>
      </w:r>
    </w:p>
  </w:footnote>
  <w:footnote w:id="7">
    <w:p w:rsidR="003A6014" w:rsidRDefault="003A6014" w:rsidP="00DC56C5">
      <w:pPr>
        <w:pStyle w:val="FootnoteText"/>
      </w:pPr>
      <w:r>
        <w:rPr>
          <w:rStyle w:val="FootnoteReference"/>
        </w:rPr>
        <w:footnoteRef/>
      </w:r>
      <w:r>
        <w:t xml:space="preserve"> Of course, the 1</w:t>
      </w:r>
      <w:r w:rsidRPr="006A6625">
        <w:rPr>
          <w:vertAlign w:val="superscript"/>
        </w:rPr>
        <w:t>st</w:t>
      </w:r>
      <w:r>
        <w:t xml:space="preserve"> generation are also not observed across their entire working life (o</w:t>
      </w:r>
      <w:r w:rsidRPr="00A8076F">
        <w:t>n average</w:t>
      </w:r>
      <w:r>
        <w:t xml:space="preserve"> fathers are</w:t>
      </w:r>
      <w:r w:rsidRPr="00A8076F">
        <w:t xml:space="preserve"> observed for </w:t>
      </w:r>
      <w:r>
        <w:t>209 months when sons are 8-25) in the BHPS but relative to the cohort studies, this is an improvement. Fathers are defined as workless if they are not in work for the majority of time they are observed</w:t>
      </w:r>
    </w:p>
  </w:footnote>
  <w:footnote w:id="8">
    <w:p w:rsidR="003A6014" w:rsidRDefault="003A6014">
      <w:pPr>
        <w:pStyle w:val="FootnoteText"/>
      </w:pPr>
      <w:r>
        <w:rPr>
          <w:rStyle w:val="FootnoteReference"/>
        </w:rPr>
        <w:footnoteRef/>
      </w:r>
      <w:r>
        <w:t xml:space="preserve"> The relationship between fathers’ worklessness and sons’ education is explored in the appendix.</w:t>
      </w:r>
    </w:p>
  </w:footnote>
  <w:footnote w:id="9">
    <w:p w:rsidR="003A6014" w:rsidRDefault="003A6014" w:rsidP="00C40C04">
      <w:pPr>
        <w:pStyle w:val="FootnoteText"/>
      </w:pPr>
      <w:r>
        <w:rPr>
          <w:rStyle w:val="FootnoteReference"/>
        </w:rPr>
        <w:footnoteRef/>
      </w:r>
      <w:r>
        <w:t xml:space="preserve"> GCSEs are the General Certificate of Secondary Education, generally taken by students at the end of compulsory schooling in the UK at age 16. Grades A*-C are considered a Level 2 qualification in the Key Skills framework (Department for Education - </w:t>
      </w:r>
      <w:hyperlink r:id="rId3" w:history="1">
        <w:r>
          <w:rPr>
            <w:rStyle w:val="Hyperlink"/>
            <w:rFonts w:eastAsiaTheme="majorEastAsia"/>
          </w:rPr>
          <w:t>http://www.education.gov.uk/</w:t>
        </w:r>
      </w:hyperlink>
      <w:r>
        <w:t xml:space="preserve">) </w:t>
      </w:r>
    </w:p>
  </w:footnote>
  <w:footnote w:id="10">
    <w:p w:rsidR="003A6014" w:rsidRDefault="003A6014" w:rsidP="00C40C04">
      <w:pPr>
        <w:pStyle w:val="FootnoteText"/>
      </w:pPr>
      <w:r>
        <w:rPr>
          <w:rStyle w:val="FootnoteReference"/>
        </w:rPr>
        <w:footnoteRef/>
      </w:r>
      <w:r>
        <w:t xml:space="preserve"> A-Levels are the Advanced Level General Certificate of Education, generally taken by students after two years of post-compulsory schooling in the UK at age 18. A-level attainment is equivalent to reaching Level 3 in the Key Skills framework (Department for Education - </w:t>
      </w:r>
      <w:hyperlink r:id="rId4" w:history="1">
        <w:r w:rsidRPr="00C71717">
          <w:rPr>
            <w:rStyle w:val="Hyperlink"/>
            <w:rFonts w:eastAsiaTheme="majorEastAsia"/>
          </w:rPr>
          <w:t>http://www.education.gov.uk/</w:t>
        </w:r>
      </w:hyperlink>
      <w:r>
        <w:t xml:space="preserve">) </w:t>
      </w:r>
    </w:p>
  </w:footnote>
  <w:footnote w:id="11">
    <w:p w:rsidR="003A6014" w:rsidRDefault="003A6014">
      <w:pPr>
        <w:pStyle w:val="FootnoteText"/>
      </w:pPr>
      <w:r>
        <w:rPr>
          <w:rStyle w:val="FootnoteReference"/>
        </w:rPr>
        <w:footnoteRef/>
      </w:r>
      <w:r>
        <w:t xml:space="preserve"> Periods of education are excluded from this analysis to ensure that all observations have an equal risk of worklessness.</w:t>
      </w:r>
    </w:p>
  </w:footnote>
  <w:footnote w:id="12">
    <w:p w:rsidR="003A6014" w:rsidRDefault="003A6014" w:rsidP="00B9767B">
      <w:pPr>
        <w:pStyle w:val="FootnoteText"/>
      </w:pPr>
      <w:r>
        <w:rPr>
          <w:rStyle w:val="FootnoteReference"/>
        </w:rPr>
        <w:footnoteRef/>
      </w:r>
      <w:r>
        <w:t xml:space="preserve"> Further details of the fathers’ workless measures and the implications of coding decisions are discussed in the Appendix.</w:t>
      </w:r>
    </w:p>
  </w:footnote>
  <w:footnote w:id="13">
    <w:p w:rsidR="003A6014" w:rsidRDefault="003A6014" w:rsidP="00AC20D0">
      <w:pPr>
        <w:pStyle w:val="FootnoteText"/>
      </w:pPr>
      <w:r>
        <w:rPr>
          <w:rStyle w:val="FootnoteReference"/>
        </w:rPr>
        <w:footnoteRef/>
      </w:r>
      <w:r>
        <w:t xml:space="preserve"> </w:t>
      </w:r>
      <w:proofErr w:type="gramStart"/>
      <w:r>
        <w:t>Assuming that the majority of individuals leave full-time education around age 21, those born in 1982 are 21 in 2003 and will be observed until 2005.</w:t>
      </w:r>
      <w:proofErr w:type="gramEnd"/>
    </w:p>
  </w:footnote>
  <w:footnote w:id="14">
    <w:p w:rsidR="003A6014" w:rsidRDefault="003A6014" w:rsidP="003C3639">
      <w:pPr>
        <w:pStyle w:val="FootnoteText"/>
      </w:pPr>
      <w:r>
        <w:rPr>
          <w:rStyle w:val="FootnoteReference"/>
        </w:rPr>
        <w:footnoteRef/>
      </w:r>
      <w:r>
        <w:t xml:space="preserve"> This analysis is carried out using the BCS data only. The NCDS sample entered the labour market in 1974, before local labour market unemployment rates are available. The BHPS sample is much smaller than the two cohort studies making it unlikely that there would be enough power to carry out a disaggregated analysis. </w:t>
      </w:r>
    </w:p>
  </w:footnote>
  <w:footnote w:id="15">
    <w:p w:rsidR="003A6014" w:rsidRDefault="003A6014">
      <w:pPr>
        <w:pStyle w:val="FootnoteText"/>
      </w:pPr>
      <w:r>
        <w:rPr>
          <w:rStyle w:val="FootnoteReference"/>
        </w:rPr>
        <w:footnoteRef/>
      </w:r>
      <w:r>
        <w:t xml:space="preserve"> There are currently 152 local education </w:t>
      </w:r>
      <w:proofErr w:type="gramStart"/>
      <w:r>
        <w:t>authorities,</w:t>
      </w:r>
      <w:proofErr w:type="gramEnd"/>
      <w:r>
        <w:t xml:space="preserve"> or local authorities as they are now known, in the United Kingdom (Department for Education, </w:t>
      </w:r>
      <w:hyperlink r:id="rId5" w:history="1">
        <w:r>
          <w:rPr>
            <w:rStyle w:val="Hyperlink"/>
            <w:rFonts w:eastAsiaTheme="majorEastAsia"/>
          </w:rPr>
          <w:t>http://www.education.gov.uk/</w:t>
        </w:r>
      </w:hyperlink>
      <w:r>
        <w:t>).</w:t>
      </w:r>
    </w:p>
  </w:footnote>
  <w:footnote w:id="16">
    <w:p w:rsidR="003A6014" w:rsidRDefault="003A6014">
      <w:pPr>
        <w:pStyle w:val="FootnoteText"/>
      </w:pPr>
      <w:r>
        <w:rPr>
          <w:rStyle w:val="FootnoteReference"/>
        </w:rPr>
        <w:footnoteRef/>
      </w:r>
      <w:r>
        <w:t xml:space="preserve"> There are 48 English counties and 13 Welsh counties. Scotland has a different system but an equivalent of 11 counties for this purpose.</w:t>
      </w:r>
    </w:p>
  </w:footnote>
  <w:footnote w:id="17">
    <w:p w:rsidR="003A6014" w:rsidRDefault="003A6014">
      <w:pPr>
        <w:pStyle w:val="FootnoteText"/>
      </w:pPr>
      <w:r>
        <w:rPr>
          <w:rStyle w:val="FootnoteReference"/>
        </w:rPr>
        <w:footnoteRef/>
      </w:r>
      <w:r>
        <w:t xml:space="preserve"> Travel to Work Areas (TTWA) may be preferred although this level of aggregation is not available in the BCS data.</w:t>
      </w:r>
    </w:p>
  </w:footnote>
  <w:footnote w:id="18">
    <w:p w:rsidR="003A6014" w:rsidRDefault="003A6014" w:rsidP="00797FD0">
      <w:pPr>
        <w:pStyle w:val="FootnoteText"/>
      </w:pPr>
      <w:r>
        <w:rPr>
          <w:rStyle w:val="FootnoteReference"/>
        </w:rPr>
        <w:footnoteRef/>
      </w:r>
      <w:r>
        <w:t xml:space="preserve"> A number of non-linear specifications were tested for robustness with the main findings holding in all cases.</w:t>
      </w:r>
    </w:p>
  </w:footnote>
  <w:footnote w:id="19">
    <w:p w:rsidR="003A6014" w:rsidRDefault="003A6014" w:rsidP="00114AC2">
      <w:pPr>
        <w:pStyle w:val="FootnoteText"/>
      </w:pPr>
      <w:r>
        <w:rPr>
          <w:rStyle w:val="FootnoteReference"/>
        </w:rPr>
        <w:footnoteRef/>
      </w:r>
      <w:r>
        <w:t xml:space="preserve"> </w:t>
      </w:r>
      <w:proofErr w:type="spellStart"/>
      <w:r>
        <w:t>Probit</w:t>
      </w:r>
      <w:proofErr w:type="spellEnd"/>
      <w:r>
        <w:t xml:space="preserve"> specifications return very similar marginal effects. The predicted probabilities from the Linear Probability Models all fall within the 0</w:t>
      </w:r>
      <w:proofErr w:type="gramStart"/>
      <w:r>
        <w:t>,1</w:t>
      </w:r>
      <w:proofErr w:type="gramEnd"/>
      <w:r>
        <w:t xml:space="preserve"> bound. </w:t>
      </w:r>
    </w:p>
  </w:footnote>
  <w:footnote w:id="20">
    <w:p w:rsidR="003A6014" w:rsidRDefault="003A6014">
      <w:pPr>
        <w:pStyle w:val="FootnoteText"/>
      </w:pPr>
      <w:r>
        <w:rPr>
          <w:rStyle w:val="FootnoteReference"/>
        </w:rPr>
        <w:footnoteRef/>
      </w:r>
      <w:r>
        <w:t xml:space="preserve"> In all three cohorts, unemployment spells are the main drivers of this intergenerational correlation with the estimated coefficients for the proportion of time spent unemployed and a year or more spent unemployed statistically indistinguishable from the workless estimates. This suggests that there is little evidence of this association being driven by labour market withdrawal across generations. </w:t>
      </w:r>
    </w:p>
  </w:footnote>
  <w:footnote w:id="21">
    <w:p w:rsidR="003A6014" w:rsidRDefault="003A6014">
      <w:pPr>
        <w:pStyle w:val="FootnoteText"/>
      </w:pPr>
      <w:r>
        <w:rPr>
          <w:rStyle w:val="FootnoteReference"/>
        </w:rPr>
        <w:footnoteRef/>
      </w:r>
      <w:r>
        <w:t xml:space="preserve"> </w:t>
      </w:r>
      <w:r w:rsidRPr="00A8076F">
        <w:t xml:space="preserve">Note that this measure may still suffer from </w:t>
      </w:r>
      <w:r>
        <w:t>measurement error</w:t>
      </w:r>
      <w:r w:rsidRPr="00A8076F">
        <w:t xml:space="preserve"> as the 1</w:t>
      </w:r>
      <w:r w:rsidRPr="00A8076F">
        <w:rPr>
          <w:vertAlign w:val="superscript"/>
        </w:rPr>
        <w:t>st</w:t>
      </w:r>
      <w:r w:rsidRPr="00A8076F">
        <w:t xml:space="preserve"> generation are not observed across their entire working lives but it will have less error than</w:t>
      </w:r>
      <w:r>
        <w:t xml:space="preserve"> Table 2</w:t>
      </w:r>
      <w:r w:rsidRPr="00A8076F">
        <w:t xml:space="preserve"> as the fathers are observed on average for over </w:t>
      </w:r>
      <w:r>
        <w:t xml:space="preserve">seventeen </w:t>
      </w:r>
      <w:r w:rsidRPr="00A8076F">
        <w:t>years</w:t>
      </w:r>
    </w:p>
  </w:footnote>
  <w:footnote w:id="22">
    <w:p w:rsidR="003A6014" w:rsidRDefault="003A6014">
      <w:pPr>
        <w:pStyle w:val="FootnoteText"/>
      </w:pPr>
      <w:r>
        <w:rPr>
          <w:rStyle w:val="FootnoteReference"/>
        </w:rPr>
        <w:footnoteRef/>
      </w:r>
      <w:r>
        <w:t xml:space="preserve"> The BHPS cohort is not yet old enough to observe fully across this window.</w:t>
      </w:r>
    </w:p>
  </w:footnote>
  <w:footnote w:id="23">
    <w:p w:rsidR="003A6014" w:rsidRDefault="003A6014">
      <w:pPr>
        <w:pStyle w:val="FootnoteText"/>
      </w:pPr>
      <w:r>
        <w:rPr>
          <w:rStyle w:val="FootnoteReference"/>
        </w:rPr>
        <w:footnoteRef/>
      </w:r>
      <w:r>
        <w:t xml:space="preserve"> This finding also holds for a longer measure of sons’ worklessness; from leaving full time education to age 29 and from 16-29.</w:t>
      </w:r>
    </w:p>
  </w:footnote>
  <w:footnote w:id="24">
    <w:p w:rsidR="003A6014" w:rsidRDefault="003A6014">
      <w:pPr>
        <w:pStyle w:val="FootnoteText"/>
      </w:pPr>
      <w:r>
        <w:rPr>
          <w:rStyle w:val="FootnoteReference"/>
        </w:rPr>
        <w:footnoteRef/>
      </w:r>
      <w:r>
        <w:t xml:space="preserve"> These findings are robust to alternative sample specifications observing the sons from 16-29, from leaving full time education to age 29 and across alternative levels of aggregation (LEA, county, GOR). </w:t>
      </w:r>
    </w:p>
  </w:footnote>
  <w:footnote w:id="25">
    <w:p w:rsidR="003A6014" w:rsidRDefault="003A6014" w:rsidP="00603E71">
      <w:pPr>
        <w:pStyle w:val="FootnoteText"/>
      </w:pPr>
      <w:r>
        <w:rPr>
          <w:rStyle w:val="FootnoteReference"/>
        </w:rPr>
        <w:footnoteRef/>
      </w:r>
      <w:r>
        <w:t xml:space="preserve"> Robustness tests were carried out across alternative windows of work history for the son (from leaving full time education until age 29 and from age 16-29</w:t>
      </w:r>
      <w:r w:rsidR="001C62A5">
        <w:t>)</w:t>
      </w:r>
      <w:r>
        <w:t xml:space="preserve"> and non-linear specifications. This result holds in all cases.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245"/>
      <w:docPartObj>
        <w:docPartGallery w:val="Page Numbers (Top of Page)"/>
        <w:docPartUnique/>
      </w:docPartObj>
    </w:sdtPr>
    <w:sdtContent>
      <w:p w:rsidR="003A6014" w:rsidRDefault="00365423">
        <w:pPr>
          <w:pStyle w:val="Header"/>
          <w:jc w:val="right"/>
        </w:pPr>
        <w:fldSimple w:instr=" PAGE   \* MERGEFORMAT ">
          <w:r w:rsidR="008F68DD">
            <w:rPr>
              <w:noProof/>
            </w:rPr>
            <w:t>3</w:t>
          </w:r>
        </w:fldSimple>
      </w:p>
    </w:sdtContent>
  </w:sdt>
  <w:p w:rsidR="003A6014" w:rsidRDefault="003A6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1D1"/>
    <w:multiLevelType w:val="multilevel"/>
    <w:tmpl w:val="63984B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F216C4C"/>
    <w:multiLevelType w:val="hybridMultilevel"/>
    <w:tmpl w:val="24F67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A371DB"/>
    <w:multiLevelType w:val="hybridMultilevel"/>
    <w:tmpl w:val="416897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092708"/>
    <w:multiLevelType w:val="hybridMultilevel"/>
    <w:tmpl w:val="3E26A6DA"/>
    <w:lvl w:ilvl="0" w:tplc="DF60ED38">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157AE6"/>
    <w:multiLevelType w:val="hybridMultilevel"/>
    <w:tmpl w:val="987A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646DF"/>
    <w:rsid w:val="00021D69"/>
    <w:rsid w:val="00030F0B"/>
    <w:rsid w:val="00040378"/>
    <w:rsid w:val="00064642"/>
    <w:rsid w:val="00066C51"/>
    <w:rsid w:val="00070A55"/>
    <w:rsid w:val="00073326"/>
    <w:rsid w:val="00080DE1"/>
    <w:rsid w:val="000D273E"/>
    <w:rsid w:val="000E2B89"/>
    <w:rsid w:val="00114AC2"/>
    <w:rsid w:val="0012240C"/>
    <w:rsid w:val="001344E1"/>
    <w:rsid w:val="00152F1F"/>
    <w:rsid w:val="00172007"/>
    <w:rsid w:val="00182A5B"/>
    <w:rsid w:val="00190F35"/>
    <w:rsid w:val="001936BF"/>
    <w:rsid w:val="001C1E13"/>
    <w:rsid w:val="001C1F65"/>
    <w:rsid w:val="001C62A5"/>
    <w:rsid w:val="001E041A"/>
    <w:rsid w:val="001E2671"/>
    <w:rsid w:val="001E38A3"/>
    <w:rsid w:val="001E67FA"/>
    <w:rsid w:val="002101E9"/>
    <w:rsid w:val="00251D6B"/>
    <w:rsid w:val="00283106"/>
    <w:rsid w:val="0028684A"/>
    <w:rsid w:val="00297626"/>
    <w:rsid w:val="002A7E60"/>
    <w:rsid w:val="002C58A2"/>
    <w:rsid w:val="002C79E1"/>
    <w:rsid w:val="002D7A21"/>
    <w:rsid w:val="002D7E07"/>
    <w:rsid w:val="002E2179"/>
    <w:rsid w:val="002E7B81"/>
    <w:rsid w:val="002F3630"/>
    <w:rsid w:val="00316034"/>
    <w:rsid w:val="003367BC"/>
    <w:rsid w:val="00342EDA"/>
    <w:rsid w:val="003517F0"/>
    <w:rsid w:val="00365423"/>
    <w:rsid w:val="00366F56"/>
    <w:rsid w:val="00390531"/>
    <w:rsid w:val="00391482"/>
    <w:rsid w:val="00394978"/>
    <w:rsid w:val="003968E9"/>
    <w:rsid w:val="003A0033"/>
    <w:rsid w:val="003A6014"/>
    <w:rsid w:val="003C3639"/>
    <w:rsid w:val="003D0BC7"/>
    <w:rsid w:val="003D5BDD"/>
    <w:rsid w:val="003F5284"/>
    <w:rsid w:val="00401C0D"/>
    <w:rsid w:val="004147A5"/>
    <w:rsid w:val="00415DFB"/>
    <w:rsid w:val="004165D0"/>
    <w:rsid w:val="00420E3D"/>
    <w:rsid w:val="00434EE3"/>
    <w:rsid w:val="004516A0"/>
    <w:rsid w:val="004572D9"/>
    <w:rsid w:val="004674C7"/>
    <w:rsid w:val="0047305E"/>
    <w:rsid w:val="0048659C"/>
    <w:rsid w:val="004930EC"/>
    <w:rsid w:val="004A0C1C"/>
    <w:rsid w:val="004A2134"/>
    <w:rsid w:val="004A57B1"/>
    <w:rsid w:val="004E222A"/>
    <w:rsid w:val="0051768C"/>
    <w:rsid w:val="00525C12"/>
    <w:rsid w:val="0053407C"/>
    <w:rsid w:val="005354DB"/>
    <w:rsid w:val="005378F0"/>
    <w:rsid w:val="005401F6"/>
    <w:rsid w:val="005805B0"/>
    <w:rsid w:val="005927F0"/>
    <w:rsid w:val="00596170"/>
    <w:rsid w:val="005A2A1D"/>
    <w:rsid w:val="005A711C"/>
    <w:rsid w:val="005D1425"/>
    <w:rsid w:val="005D3D6A"/>
    <w:rsid w:val="005E00E3"/>
    <w:rsid w:val="00603E71"/>
    <w:rsid w:val="00616C65"/>
    <w:rsid w:val="00634FCE"/>
    <w:rsid w:val="006646DF"/>
    <w:rsid w:val="006C07C0"/>
    <w:rsid w:val="006C583E"/>
    <w:rsid w:val="006C686C"/>
    <w:rsid w:val="006E5EC7"/>
    <w:rsid w:val="00721732"/>
    <w:rsid w:val="007404F0"/>
    <w:rsid w:val="00781609"/>
    <w:rsid w:val="00782D4A"/>
    <w:rsid w:val="00791404"/>
    <w:rsid w:val="00797FD0"/>
    <w:rsid w:val="007A196A"/>
    <w:rsid w:val="007A381B"/>
    <w:rsid w:val="007C7BB4"/>
    <w:rsid w:val="007D0783"/>
    <w:rsid w:val="007D54FE"/>
    <w:rsid w:val="0081051D"/>
    <w:rsid w:val="0081101E"/>
    <w:rsid w:val="00823AD4"/>
    <w:rsid w:val="008403F1"/>
    <w:rsid w:val="00840A56"/>
    <w:rsid w:val="008432F6"/>
    <w:rsid w:val="00887AE5"/>
    <w:rsid w:val="008B6F34"/>
    <w:rsid w:val="008C0CBE"/>
    <w:rsid w:val="008E0977"/>
    <w:rsid w:val="008E11D2"/>
    <w:rsid w:val="008E3CBB"/>
    <w:rsid w:val="008F68DD"/>
    <w:rsid w:val="009070C9"/>
    <w:rsid w:val="00912358"/>
    <w:rsid w:val="009124A0"/>
    <w:rsid w:val="00931F48"/>
    <w:rsid w:val="0093773F"/>
    <w:rsid w:val="009507D0"/>
    <w:rsid w:val="00952E01"/>
    <w:rsid w:val="00964DB5"/>
    <w:rsid w:val="00967245"/>
    <w:rsid w:val="00972D91"/>
    <w:rsid w:val="009B3476"/>
    <w:rsid w:val="009B609C"/>
    <w:rsid w:val="009C0698"/>
    <w:rsid w:val="009C40E0"/>
    <w:rsid w:val="009F3793"/>
    <w:rsid w:val="00A06C6D"/>
    <w:rsid w:val="00A078A0"/>
    <w:rsid w:val="00A13937"/>
    <w:rsid w:val="00A33B20"/>
    <w:rsid w:val="00A36560"/>
    <w:rsid w:val="00A40B9F"/>
    <w:rsid w:val="00A6094C"/>
    <w:rsid w:val="00A636D2"/>
    <w:rsid w:val="00A804AD"/>
    <w:rsid w:val="00A827C5"/>
    <w:rsid w:val="00A87B41"/>
    <w:rsid w:val="00AB1B41"/>
    <w:rsid w:val="00AC20D0"/>
    <w:rsid w:val="00AC2DE0"/>
    <w:rsid w:val="00AD3CA4"/>
    <w:rsid w:val="00AD63C6"/>
    <w:rsid w:val="00AE2B1F"/>
    <w:rsid w:val="00AF6539"/>
    <w:rsid w:val="00B06802"/>
    <w:rsid w:val="00B26C2A"/>
    <w:rsid w:val="00B84CCB"/>
    <w:rsid w:val="00B9767B"/>
    <w:rsid w:val="00BA3248"/>
    <w:rsid w:val="00BC6B73"/>
    <w:rsid w:val="00BD57AD"/>
    <w:rsid w:val="00C066BD"/>
    <w:rsid w:val="00C222C0"/>
    <w:rsid w:val="00C2714C"/>
    <w:rsid w:val="00C40C04"/>
    <w:rsid w:val="00C53C56"/>
    <w:rsid w:val="00C76447"/>
    <w:rsid w:val="00C82E60"/>
    <w:rsid w:val="00CE0759"/>
    <w:rsid w:val="00CE50A4"/>
    <w:rsid w:val="00CF15A7"/>
    <w:rsid w:val="00CF4313"/>
    <w:rsid w:val="00D227FD"/>
    <w:rsid w:val="00D34C8E"/>
    <w:rsid w:val="00D82A51"/>
    <w:rsid w:val="00DC56C5"/>
    <w:rsid w:val="00E074A8"/>
    <w:rsid w:val="00E11DC8"/>
    <w:rsid w:val="00E1308E"/>
    <w:rsid w:val="00E56494"/>
    <w:rsid w:val="00E77DC6"/>
    <w:rsid w:val="00E94118"/>
    <w:rsid w:val="00EF27BB"/>
    <w:rsid w:val="00F16B86"/>
    <w:rsid w:val="00F20519"/>
    <w:rsid w:val="00F23BE3"/>
    <w:rsid w:val="00F339EA"/>
    <w:rsid w:val="00F34A56"/>
    <w:rsid w:val="00F63116"/>
    <w:rsid w:val="00F87C4E"/>
    <w:rsid w:val="00F92286"/>
    <w:rsid w:val="00F93576"/>
    <w:rsid w:val="00F96A53"/>
    <w:rsid w:val="00FB71EC"/>
    <w:rsid w:val="00FC3EFB"/>
    <w:rsid w:val="00FF66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DF"/>
    <w:pPr>
      <w:ind w:left="720"/>
      <w:contextualSpacing/>
    </w:pPr>
  </w:style>
  <w:style w:type="paragraph" w:styleId="FootnoteText">
    <w:name w:val="footnote text"/>
    <w:basedOn w:val="Normal"/>
    <w:link w:val="FootnoteTextChar"/>
    <w:rsid w:val="006646DF"/>
    <w:rPr>
      <w:sz w:val="20"/>
      <w:szCs w:val="20"/>
    </w:rPr>
  </w:style>
  <w:style w:type="character" w:customStyle="1" w:styleId="FootnoteTextChar">
    <w:name w:val="Footnote Text Char"/>
    <w:basedOn w:val="DefaultParagraphFont"/>
    <w:link w:val="FootnoteText"/>
    <w:rsid w:val="006646DF"/>
    <w:rPr>
      <w:rFonts w:ascii="Times New Roman" w:eastAsia="Times New Roman" w:hAnsi="Times New Roman" w:cs="Times New Roman"/>
      <w:sz w:val="20"/>
      <w:szCs w:val="20"/>
      <w:lang w:eastAsia="en-GB"/>
    </w:rPr>
  </w:style>
  <w:style w:type="character" w:styleId="FootnoteReference">
    <w:name w:val="footnote reference"/>
    <w:aliases w:val="Footnote text"/>
    <w:basedOn w:val="DefaultParagraphFont"/>
    <w:rsid w:val="006646DF"/>
    <w:rPr>
      <w:vertAlign w:val="superscript"/>
    </w:rPr>
  </w:style>
  <w:style w:type="character" w:styleId="Hyperlink">
    <w:name w:val="Hyperlink"/>
    <w:basedOn w:val="DefaultParagraphFont"/>
    <w:uiPriority w:val="99"/>
    <w:unhideWhenUsed/>
    <w:rsid w:val="006646DF"/>
    <w:rPr>
      <w:color w:val="0000FF"/>
      <w:u w:val="single"/>
    </w:rPr>
  </w:style>
  <w:style w:type="paragraph" w:styleId="BalloonText">
    <w:name w:val="Balloon Text"/>
    <w:basedOn w:val="Normal"/>
    <w:link w:val="BalloonTextChar"/>
    <w:uiPriority w:val="99"/>
    <w:semiHidden/>
    <w:unhideWhenUsed/>
    <w:rsid w:val="00A827C5"/>
    <w:rPr>
      <w:rFonts w:ascii="Tahoma" w:hAnsi="Tahoma" w:cs="Tahoma"/>
      <w:sz w:val="16"/>
      <w:szCs w:val="16"/>
    </w:rPr>
  </w:style>
  <w:style w:type="character" w:customStyle="1" w:styleId="BalloonTextChar">
    <w:name w:val="Balloon Text Char"/>
    <w:basedOn w:val="DefaultParagraphFont"/>
    <w:link w:val="BalloonText"/>
    <w:uiPriority w:val="99"/>
    <w:semiHidden/>
    <w:rsid w:val="00A827C5"/>
    <w:rPr>
      <w:rFonts w:ascii="Tahoma" w:eastAsia="Times New Roman" w:hAnsi="Tahoma" w:cs="Tahoma"/>
      <w:sz w:val="16"/>
      <w:szCs w:val="16"/>
      <w:lang w:eastAsia="en-GB"/>
    </w:rPr>
  </w:style>
  <w:style w:type="paragraph" w:styleId="NormalWeb">
    <w:name w:val="Normal (Web)"/>
    <w:basedOn w:val="Normal"/>
    <w:uiPriority w:val="99"/>
    <w:unhideWhenUsed/>
    <w:rsid w:val="00073326"/>
    <w:pPr>
      <w:spacing w:before="100" w:beforeAutospacing="1" w:after="100" w:afterAutospacing="1"/>
    </w:pPr>
    <w:rPr>
      <w:lang w:val="en-US" w:eastAsia="en-US"/>
    </w:rPr>
  </w:style>
  <w:style w:type="character" w:customStyle="1" w:styleId="apple-style-span">
    <w:name w:val="apple-style-span"/>
    <w:basedOn w:val="DefaultParagraphFont"/>
    <w:rsid w:val="00073326"/>
  </w:style>
  <w:style w:type="character" w:customStyle="1" w:styleId="apple-converted-space">
    <w:name w:val="apple-converted-space"/>
    <w:basedOn w:val="DefaultParagraphFont"/>
    <w:rsid w:val="00073326"/>
  </w:style>
  <w:style w:type="paragraph" w:styleId="NoSpacing">
    <w:name w:val="No Spacing"/>
    <w:uiPriority w:val="1"/>
    <w:qFormat/>
    <w:rsid w:val="00073326"/>
    <w:pPr>
      <w:spacing w:after="0" w:line="240" w:lineRule="auto"/>
    </w:pPr>
    <w:rPr>
      <w:rFonts w:eastAsiaTheme="minorEastAsia"/>
      <w:lang w:eastAsia="zh-CN"/>
    </w:rPr>
  </w:style>
  <w:style w:type="paragraph" w:styleId="Title">
    <w:name w:val="Title"/>
    <w:basedOn w:val="Normal"/>
    <w:link w:val="TitleChar"/>
    <w:qFormat/>
    <w:rsid w:val="00073326"/>
    <w:pPr>
      <w:jc w:val="center"/>
    </w:pPr>
    <w:rPr>
      <w:b/>
      <w:bCs/>
    </w:rPr>
  </w:style>
  <w:style w:type="character" w:customStyle="1" w:styleId="TitleChar">
    <w:name w:val="Title Char"/>
    <w:basedOn w:val="DefaultParagraphFont"/>
    <w:link w:val="Title"/>
    <w:rsid w:val="00073326"/>
    <w:rPr>
      <w:rFonts w:ascii="Times New Roman" w:eastAsia="Times New Roman" w:hAnsi="Times New Roman" w:cs="Times New Roman"/>
      <w:b/>
      <w:bCs/>
      <w:sz w:val="24"/>
      <w:szCs w:val="24"/>
      <w:lang w:eastAsia="en-GB"/>
    </w:rPr>
  </w:style>
  <w:style w:type="paragraph" w:customStyle="1" w:styleId="Default">
    <w:name w:val="Default"/>
    <w:rsid w:val="0007332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967245"/>
    <w:pPr>
      <w:tabs>
        <w:tab w:val="center" w:pos="4513"/>
        <w:tab w:val="right" w:pos="9026"/>
      </w:tabs>
    </w:pPr>
  </w:style>
  <w:style w:type="character" w:customStyle="1" w:styleId="HeaderChar">
    <w:name w:val="Header Char"/>
    <w:basedOn w:val="DefaultParagraphFont"/>
    <w:link w:val="Header"/>
    <w:uiPriority w:val="99"/>
    <w:rsid w:val="00967245"/>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967245"/>
    <w:pPr>
      <w:tabs>
        <w:tab w:val="center" w:pos="4513"/>
        <w:tab w:val="right" w:pos="9026"/>
      </w:tabs>
    </w:pPr>
  </w:style>
  <w:style w:type="character" w:customStyle="1" w:styleId="FooterChar">
    <w:name w:val="Footer Char"/>
    <w:basedOn w:val="DefaultParagraphFont"/>
    <w:link w:val="Footer"/>
    <w:uiPriority w:val="99"/>
    <w:semiHidden/>
    <w:rsid w:val="00967245"/>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3523774">
      <w:bodyDiv w:val="1"/>
      <w:marLeft w:val="0"/>
      <w:marRight w:val="0"/>
      <w:marTop w:val="0"/>
      <w:marBottom w:val="0"/>
      <w:divBdr>
        <w:top w:val="none" w:sz="0" w:space="0" w:color="auto"/>
        <w:left w:val="none" w:sz="0" w:space="0" w:color="auto"/>
        <w:bottom w:val="none" w:sz="0" w:space="0" w:color="auto"/>
        <w:right w:val="none" w:sz="0" w:space="0" w:color="auto"/>
      </w:divBdr>
    </w:div>
    <w:div w:id="1327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acmillan@ioe.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s.ioe.ac.uk/studies.asp?section=0001000200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pm.cabinetoffice.gov.uk/sites/default/files_dpm/resources/opening-doors-breaking-barrier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gov.uk/" TargetMode="External"/><Relationship Id="rId2" Type="http://schemas.openxmlformats.org/officeDocument/2006/relationships/hyperlink" Target="http://www.dwp.gov.uk/newsroom/press-releases/2010/may-2010/dwp070-10-270510.shtml" TargetMode="External"/><Relationship Id="rId1" Type="http://schemas.openxmlformats.org/officeDocument/2006/relationships/hyperlink" Target="http://www.centreforsocialjustice.org.uk/default.asp?pageRef=361" TargetMode="External"/><Relationship Id="rId5" Type="http://schemas.openxmlformats.org/officeDocument/2006/relationships/hyperlink" Target="http://www.education.gov.uk/" TargetMode="External"/><Relationship Id="rId4" Type="http://schemas.openxmlformats.org/officeDocument/2006/relationships/hyperlink" Target="http://www.education.gov.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hD_papers\measurement\final_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spPr>
            <a:ln w="38100">
              <a:solidFill>
                <a:schemeClr val="tx1"/>
              </a:solidFill>
              <a:prstDash val="solid"/>
            </a:ln>
          </c:spPr>
          <c:marker>
            <c:symbol val="none"/>
          </c:marker>
          <c:cat>
            <c:numRef>
              <c:f>Sheet2!$B$6:$B$20</c:f>
              <c:numCache>
                <c:formatCode>General</c:formatCod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numCache>
            </c:numRef>
          </c:cat>
          <c:val>
            <c:numRef>
              <c:f>Sheet2!$C$6:$C$20</c:f>
              <c:numCache>
                <c:formatCode>General</c:formatCode>
                <c:ptCount val="15"/>
                <c:pt idx="0">
                  <c:v>-9.4604500000000383E-2</c:v>
                </c:pt>
                <c:pt idx="1">
                  <c:v>-6.0286700000000075E-2</c:v>
                </c:pt>
                <c:pt idx="2">
                  <c:v>-2.5968999999999989E-2</c:v>
                </c:pt>
                <c:pt idx="3">
                  <c:v>8.3488000000000052E-3</c:v>
                </c:pt>
                <c:pt idx="4">
                  <c:v>4.2666500000000045E-2</c:v>
                </c:pt>
                <c:pt idx="5">
                  <c:v>7.6984300000000019E-2</c:v>
                </c:pt>
                <c:pt idx="6">
                  <c:v>0.11130210000000004</c:v>
                </c:pt>
                <c:pt idx="7">
                  <c:v>0.14561979999999999</c:v>
                </c:pt>
                <c:pt idx="8">
                  <c:v>0.17993760000000039</c:v>
                </c:pt>
                <c:pt idx="9">
                  <c:v>0.21425530000000048</c:v>
                </c:pt>
                <c:pt idx="10">
                  <c:v>0.24857309999999999</c:v>
                </c:pt>
                <c:pt idx="11">
                  <c:v>0.28289080000000072</c:v>
                </c:pt>
                <c:pt idx="12">
                  <c:v>0.31720860000000084</c:v>
                </c:pt>
                <c:pt idx="13">
                  <c:v>0.35152640000000096</c:v>
                </c:pt>
                <c:pt idx="14">
                  <c:v>0.38584410000000097</c:v>
                </c:pt>
              </c:numCache>
            </c:numRef>
          </c:val>
        </c:ser>
        <c:ser>
          <c:idx val="1"/>
          <c:order val="1"/>
          <c:spPr>
            <a:ln>
              <a:solidFill>
                <a:schemeClr val="tx1"/>
              </a:solidFill>
              <a:prstDash val="sysDot"/>
            </a:ln>
          </c:spPr>
          <c:marker>
            <c:symbol val="none"/>
          </c:marker>
          <c:cat>
            <c:numRef>
              <c:f>Sheet2!$B$6:$B$20</c:f>
              <c:numCache>
                <c:formatCode>General</c:formatCod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numCache>
            </c:numRef>
          </c:cat>
          <c:val>
            <c:numRef>
              <c:f>Sheet2!$D$6:$D$20</c:f>
              <c:numCache>
                <c:formatCode>General</c:formatCode>
                <c:ptCount val="15"/>
                <c:pt idx="0">
                  <c:v>-0.24395090000000036</c:v>
                </c:pt>
                <c:pt idx="1">
                  <c:v>-0.18000969999999999</c:v>
                </c:pt>
                <c:pt idx="2">
                  <c:v>-0.12569240000000001</c:v>
                </c:pt>
                <c:pt idx="3">
                  <c:v>-7.24637000000002E-2</c:v>
                </c:pt>
                <c:pt idx="4">
                  <c:v>-2.1296300000000032E-2</c:v>
                </c:pt>
                <c:pt idx="5">
                  <c:v>2.5734600000000021E-2</c:v>
                </c:pt>
                <c:pt idx="6">
                  <c:v>6.5079499999999998E-2</c:v>
                </c:pt>
                <c:pt idx="7">
                  <c:v>9.4421900000000142E-2</c:v>
                </c:pt>
                <c:pt idx="8">
                  <c:v>0.11605779999999995</c:v>
                </c:pt>
                <c:pt idx="9">
                  <c:v>0.13354150000000001</c:v>
                </c:pt>
                <c:pt idx="10">
                  <c:v>0.14895620000000051</c:v>
                </c:pt>
                <c:pt idx="11">
                  <c:v>0.16327890000000009</c:v>
                </c:pt>
                <c:pt idx="12">
                  <c:v>0.17697579999999999</c:v>
                </c:pt>
                <c:pt idx="13">
                  <c:v>0.19028700000000015</c:v>
                </c:pt>
                <c:pt idx="14">
                  <c:v>0.20334550000000001</c:v>
                </c:pt>
              </c:numCache>
            </c:numRef>
          </c:val>
        </c:ser>
        <c:ser>
          <c:idx val="2"/>
          <c:order val="2"/>
          <c:spPr>
            <a:ln>
              <a:solidFill>
                <a:schemeClr val="tx1"/>
              </a:solidFill>
              <a:prstDash val="sysDot"/>
            </a:ln>
          </c:spPr>
          <c:marker>
            <c:symbol val="none"/>
          </c:marker>
          <c:cat>
            <c:numRef>
              <c:f>Sheet2!$B$6:$B$20</c:f>
              <c:numCache>
                <c:formatCode>General</c:formatCod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numCache>
            </c:numRef>
          </c:cat>
          <c:val>
            <c:numRef>
              <c:f>Sheet2!$E$6:$E$20</c:f>
              <c:numCache>
                <c:formatCode>General</c:formatCode>
                <c:ptCount val="15"/>
                <c:pt idx="0">
                  <c:v>4.5741900000000023E-2</c:v>
                </c:pt>
                <c:pt idx="1">
                  <c:v>5.9436200000000237E-2</c:v>
                </c:pt>
                <c:pt idx="2">
                  <c:v>7.3754500000000056E-2</c:v>
                </c:pt>
                <c:pt idx="3">
                  <c:v>8.9161300000000179E-2</c:v>
                </c:pt>
                <c:pt idx="4">
                  <c:v>0.10662940000000012</c:v>
                </c:pt>
                <c:pt idx="5">
                  <c:v>0.12823399999999999</c:v>
                </c:pt>
                <c:pt idx="6">
                  <c:v>0.15752459999999999</c:v>
                </c:pt>
                <c:pt idx="7">
                  <c:v>0.19681770000000018</c:v>
                </c:pt>
                <c:pt idx="8">
                  <c:v>0.24381730000000049</c:v>
                </c:pt>
                <c:pt idx="9">
                  <c:v>0.29496910000000032</c:v>
                </c:pt>
                <c:pt idx="10">
                  <c:v>0.34819000000000017</c:v>
                </c:pt>
                <c:pt idx="11">
                  <c:v>0.40250280000000038</c:v>
                </c:pt>
                <c:pt idx="12">
                  <c:v>0.4574414</c:v>
                </c:pt>
                <c:pt idx="13">
                  <c:v>0.51276569999999999</c:v>
                </c:pt>
                <c:pt idx="14">
                  <c:v>0.56834269999999998</c:v>
                </c:pt>
              </c:numCache>
            </c:numRef>
          </c:val>
        </c:ser>
        <c:marker val="1"/>
        <c:axId val="154902528"/>
        <c:axId val="154904448"/>
      </c:lineChart>
      <c:catAx>
        <c:axId val="154902528"/>
        <c:scaling>
          <c:orientation val="minMax"/>
        </c:scaling>
        <c:axPos val="b"/>
        <c:title>
          <c:tx>
            <c:rich>
              <a:bodyPr/>
              <a:lstStyle/>
              <a:p>
                <a:pPr>
                  <a:defRPr/>
                </a:pPr>
                <a:r>
                  <a:rPr lang="en-US"/>
                  <a:t>Unemployment rate</a:t>
                </a:r>
              </a:p>
            </c:rich>
          </c:tx>
        </c:title>
        <c:numFmt formatCode="General" sourceLinked="1"/>
        <c:tickLblPos val="nextTo"/>
        <c:crossAx val="154904448"/>
        <c:crosses val="autoZero"/>
        <c:auto val="1"/>
        <c:lblAlgn val="ctr"/>
        <c:lblOffset val="100"/>
      </c:catAx>
      <c:valAx>
        <c:axId val="154904448"/>
        <c:scaling>
          <c:orientation val="minMax"/>
          <c:max val="0.70000000000000062"/>
          <c:min val="-0.30000000000000032"/>
        </c:scaling>
        <c:axPos val="l"/>
        <c:majorGridlines/>
        <c:title>
          <c:tx>
            <c:rich>
              <a:bodyPr rot="-5400000" vert="horz"/>
              <a:lstStyle/>
              <a:p>
                <a:pPr>
                  <a:defRPr/>
                </a:pPr>
                <a:r>
                  <a:rPr lang="en-US"/>
                  <a:t>Intergenerational coefficient</a:t>
                </a:r>
              </a:p>
            </c:rich>
          </c:tx>
        </c:title>
        <c:numFmt formatCode="General" sourceLinked="1"/>
        <c:tickLblPos val="nextTo"/>
        <c:crossAx val="154902528"/>
        <c:crosses val="autoZero"/>
        <c:crossBetween val="between"/>
        <c:majorUnit val="0.2"/>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929B2-3146-42E3-89C9-DBF70FC1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8504</Words>
  <Characters>48475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mlidqssf</dc:creator>
  <cp:lastModifiedBy>mlidqssf</cp:lastModifiedBy>
  <cp:revision>4</cp:revision>
  <dcterms:created xsi:type="dcterms:W3CDTF">2013-09-12T14:26:00Z</dcterms:created>
  <dcterms:modified xsi:type="dcterms:W3CDTF">2013-09-13T12:04:00Z</dcterms:modified>
</cp:coreProperties>
</file>