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42" w:rsidRPr="00D05EA9" w:rsidRDefault="000421F3" w:rsidP="00352527">
      <w:pPr>
        <w:rPr>
          <w:rFonts w:ascii="Times New Roman" w:hAnsi="Times New Roman" w:cs="Times New Roman"/>
          <w:b/>
          <w:sz w:val="24"/>
          <w:szCs w:val="24"/>
        </w:rPr>
      </w:pPr>
      <w:r w:rsidRPr="00D05EA9">
        <w:rPr>
          <w:rFonts w:ascii="Times New Roman" w:hAnsi="Times New Roman" w:cs="Times New Roman"/>
          <w:b/>
          <w:sz w:val="24"/>
          <w:szCs w:val="24"/>
        </w:rPr>
        <w:t>S</w:t>
      </w:r>
      <w:r w:rsidR="00E2269D">
        <w:rPr>
          <w:rFonts w:ascii="Times New Roman" w:hAnsi="Times New Roman" w:cs="Times New Roman"/>
          <w:b/>
          <w:sz w:val="24"/>
          <w:szCs w:val="24"/>
        </w:rPr>
        <w:t>ustainable R</w:t>
      </w:r>
      <w:r w:rsidR="001E2CB3" w:rsidRPr="00D05EA9">
        <w:rPr>
          <w:rFonts w:ascii="Times New Roman" w:hAnsi="Times New Roman" w:cs="Times New Roman"/>
          <w:b/>
          <w:sz w:val="24"/>
          <w:szCs w:val="24"/>
        </w:rPr>
        <w:t>egeneration project</w:t>
      </w:r>
      <w:r w:rsidR="00270B42" w:rsidRPr="00D05EA9">
        <w:rPr>
          <w:rFonts w:ascii="Times New Roman" w:hAnsi="Times New Roman" w:cs="Times New Roman"/>
          <w:b/>
          <w:sz w:val="24"/>
          <w:szCs w:val="24"/>
        </w:rPr>
        <w:t xml:space="preserve"> </w:t>
      </w:r>
      <w:r w:rsidRPr="00D05EA9">
        <w:rPr>
          <w:rFonts w:ascii="Times New Roman" w:hAnsi="Times New Roman" w:cs="Times New Roman"/>
          <w:b/>
          <w:sz w:val="24"/>
          <w:szCs w:val="24"/>
        </w:rPr>
        <w:t xml:space="preserve">delivery </w:t>
      </w:r>
      <w:r w:rsidR="00270B42" w:rsidRPr="00D05EA9">
        <w:rPr>
          <w:rFonts w:ascii="Times New Roman" w:hAnsi="Times New Roman" w:cs="Times New Roman"/>
          <w:b/>
          <w:sz w:val="24"/>
          <w:szCs w:val="24"/>
        </w:rPr>
        <w:t xml:space="preserve">in </w:t>
      </w:r>
      <w:r w:rsidR="00E2269D">
        <w:rPr>
          <w:rFonts w:ascii="Times New Roman" w:hAnsi="Times New Roman" w:cs="Times New Roman"/>
          <w:b/>
          <w:sz w:val="24"/>
          <w:szCs w:val="24"/>
        </w:rPr>
        <w:t xml:space="preserve">the </w:t>
      </w:r>
      <w:r w:rsidR="00270B42" w:rsidRPr="00D05EA9">
        <w:rPr>
          <w:rFonts w:ascii="Times New Roman" w:hAnsi="Times New Roman" w:cs="Times New Roman"/>
          <w:b/>
          <w:sz w:val="24"/>
          <w:szCs w:val="24"/>
        </w:rPr>
        <w:t>UK</w:t>
      </w:r>
      <w:r w:rsidR="001E2CB3" w:rsidRPr="00D05EA9">
        <w:rPr>
          <w:rFonts w:ascii="Times New Roman" w:hAnsi="Times New Roman" w:cs="Times New Roman"/>
          <w:b/>
          <w:sz w:val="24"/>
          <w:szCs w:val="24"/>
        </w:rPr>
        <w:t xml:space="preserve">: </w:t>
      </w:r>
      <w:r w:rsidR="00352527" w:rsidRPr="00D05EA9">
        <w:rPr>
          <w:rFonts w:ascii="Times New Roman" w:hAnsi="Times New Roman" w:cs="Times New Roman"/>
          <w:b/>
          <w:sz w:val="24"/>
          <w:szCs w:val="24"/>
        </w:rPr>
        <w:t xml:space="preserve">A qualitative </w:t>
      </w:r>
      <w:r w:rsidRPr="00D05EA9">
        <w:rPr>
          <w:rFonts w:ascii="Times New Roman" w:hAnsi="Times New Roman" w:cs="Times New Roman"/>
          <w:b/>
          <w:sz w:val="24"/>
          <w:szCs w:val="24"/>
        </w:rPr>
        <w:t>analysis</w:t>
      </w:r>
      <w:r w:rsidR="001E2CB3" w:rsidRPr="00D05EA9">
        <w:rPr>
          <w:rFonts w:ascii="Times New Roman" w:hAnsi="Times New Roman" w:cs="Times New Roman"/>
          <w:b/>
          <w:sz w:val="24"/>
          <w:szCs w:val="24"/>
        </w:rPr>
        <w:t xml:space="preserve"> of practitioners’ </w:t>
      </w:r>
      <w:r w:rsidR="00EA08E1" w:rsidRPr="00D05EA9">
        <w:rPr>
          <w:rFonts w:ascii="Times New Roman" w:hAnsi="Times New Roman" w:cs="Times New Roman"/>
          <w:b/>
          <w:sz w:val="24"/>
          <w:szCs w:val="24"/>
        </w:rPr>
        <w:t>engagement</w:t>
      </w:r>
    </w:p>
    <w:p w:rsidR="002716FC" w:rsidRPr="002716FC" w:rsidRDefault="002716FC" w:rsidP="002716FC">
      <w:pPr>
        <w:spacing w:after="120" w:line="240" w:lineRule="auto"/>
        <w:contextualSpacing/>
        <w:jc w:val="center"/>
        <w:rPr>
          <w:rFonts w:ascii="Times New Roman" w:hAnsi="Times New Roman" w:cs="Times New Roman"/>
          <w:b/>
          <w:sz w:val="24"/>
          <w:szCs w:val="24"/>
        </w:rPr>
      </w:pPr>
      <w:r w:rsidRPr="002716FC">
        <w:rPr>
          <w:rFonts w:ascii="Times New Roman" w:hAnsi="Times New Roman" w:cs="Times New Roman"/>
          <w:b/>
          <w:sz w:val="24"/>
          <w:szCs w:val="24"/>
        </w:rPr>
        <w:t>Julius Akotia</w:t>
      </w:r>
    </w:p>
    <w:p w:rsidR="002716FC" w:rsidRPr="002716FC" w:rsidRDefault="002716FC" w:rsidP="002716FC">
      <w:pPr>
        <w:spacing w:after="120" w:line="240" w:lineRule="auto"/>
        <w:contextualSpacing/>
        <w:jc w:val="center"/>
        <w:rPr>
          <w:rFonts w:ascii="Times New Roman" w:hAnsi="Times New Roman" w:cs="Times New Roman"/>
          <w:i/>
        </w:rPr>
      </w:pPr>
      <w:r w:rsidRPr="002716FC">
        <w:rPr>
          <w:rFonts w:ascii="Times New Roman" w:hAnsi="Times New Roman" w:cs="Times New Roman"/>
          <w:i/>
        </w:rPr>
        <w:t>School of Architecture, Computing and Engineering,</w:t>
      </w:r>
    </w:p>
    <w:p w:rsidR="002716FC" w:rsidRPr="002716FC" w:rsidRDefault="002716FC" w:rsidP="002716FC">
      <w:pPr>
        <w:spacing w:after="120" w:line="240" w:lineRule="auto"/>
        <w:contextualSpacing/>
        <w:jc w:val="center"/>
        <w:rPr>
          <w:rFonts w:ascii="Times New Roman" w:hAnsi="Times New Roman" w:cs="Times New Roman"/>
          <w:i/>
        </w:rPr>
      </w:pPr>
      <w:r w:rsidRPr="002716FC">
        <w:rPr>
          <w:rFonts w:ascii="Times New Roman" w:hAnsi="Times New Roman" w:cs="Times New Roman"/>
          <w:i/>
        </w:rPr>
        <w:t xml:space="preserve">University of East London, London, UK, </w:t>
      </w:r>
    </w:p>
    <w:p w:rsidR="002716FC" w:rsidRDefault="002716FC" w:rsidP="002716FC">
      <w:pPr>
        <w:spacing w:after="120" w:line="240" w:lineRule="auto"/>
        <w:contextualSpacing/>
        <w:jc w:val="center"/>
        <w:rPr>
          <w:rFonts w:ascii="Times New Roman" w:hAnsi="Times New Roman" w:cs="Times New Roman"/>
          <w:sz w:val="24"/>
          <w:szCs w:val="24"/>
        </w:rPr>
      </w:pPr>
    </w:p>
    <w:p w:rsidR="002716FC" w:rsidRPr="002716FC" w:rsidRDefault="002716FC" w:rsidP="002716FC">
      <w:pPr>
        <w:spacing w:after="120" w:line="240" w:lineRule="auto"/>
        <w:contextualSpacing/>
        <w:jc w:val="center"/>
        <w:rPr>
          <w:rFonts w:ascii="Times New Roman" w:hAnsi="Times New Roman" w:cs="Times New Roman"/>
          <w:b/>
          <w:sz w:val="24"/>
          <w:szCs w:val="24"/>
        </w:rPr>
      </w:pPr>
      <w:r w:rsidRPr="002716FC">
        <w:rPr>
          <w:rFonts w:ascii="Times New Roman" w:hAnsi="Times New Roman" w:cs="Times New Roman"/>
          <w:b/>
          <w:sz w:val="24"/>
          <w:szCs w:val="24"/>
        </w:rPr>
        <w:t>Alex Opoku</w:t>
      </w:r>
    </w:p>
    <w:p w:rsidR="002716FC" w:rsidRPr="002716FC" w:rsidRDefault="002716FC" w:rsidP="002716FC">
      <w:pPr>
        <w:spacing w:after="120" w:line="240" w:lineRule="auto"/>
        <w:contextualSpacing/>
        <w:jc w:val="center"/>
        <w:rPr>
          <w:rFonts w:ascii="Times New Roman" w:hAnsi="Times New Roman" w:cs="Times New Roman"/>
          <w:i/>
        </w:rPr>
      </w:pPr>
      <w:r w:rsidRPr="002716FC">
        <w:rPr>
          <w:rFonts w:ascii="Times New Roman" w:hAnsi="Times New Roman" w:cs="Times New Roman"/>
          <w:i/>
        </w:rPr>
        <w:t>Bartlett School of Construction and Project Management,</w:t>
      </w:r>
    </w:p>
    <w:p w:rsidR="000D1BDD" w:rsidRPr="002716FC" w:rsidRDefault="002716FC" w:rsidP="002716FC">
      <w:pPr>
        <w:spacing w:after="120" w:line="240" w:lineRule="auto"/>
        <w:contextualSpacing/>
        <w:jc w:val="center"/>
        <w:rPr>
          <w:rFonts w:ascii="Times New Roman" w:hAnsi="Times New Roman" w:cs="Times New Roman"/>
          <w:sz w:val="24"/>
          <w:szCs w:val="24"/>
        </w:rPr>
      </w:pPr>
      <w:r w:rsidRPr="002716FC">
        <w:rPr>
          <w:rFonts w:ascii="Times New Roman" w:hAnsi="Times New Roman" w:cs="Times New Roman"/>
          <w:i/>
        </w:rPr>
        <w:t>University College London, London, UK</w:t>
      </w:r>
    </w:p>
    <w:p w:rsidR="002716FC" w:rsidRDefault="002716FC" w:rsidP="0077252A">
      <w:pPr>
        <w:spacing w:after="120" w:line="240" w:lineRule="auto"/>
        <w:contextualSpacing/>
        <w:rPr>
          <w:rFonts w:ascii="Times New Roman" w:hAnsi="Times New Roman" w:cs="Times New Roman"/>
          <w:b/>
          <w:sz w:val="24"/>
          <w:szCs w:val="24"/>
        </w:rPr>
      </w:pPr>
    </w:p>
    <w:p w:rsidR="002716FC" w:rsidRDefault="002716FC" w:rsidP="0077252A">
      <w:pPr>
        <w:spacing w:after="120" w:line="240" w:lineRule="auto"/>
        <w:contextualSpacing/>
        <w:rPr>
          <w:rFonts w:ascii="Times New Roman" w:hAnsi="Times New Roman" w:cs="Times New Roman"/>
          <w:b/>
          <w:sz w:val="24"/>
          <w:szCs w:val="24"/>
        </w:rPr>
      </w:pPr>
    </w:p>
    <w:p w:rsidR="00B664A7" w:rsidRPr="00D05EA9" w:rsidRDefault="00BA2B42" w:rsidP="0077252A">
      <w:pPr>
        <w:spacing w:after="120" w:line="240" w:lineRule="auto"/>
        <w:contextualSpacing/>
        <w:rPr>
          <w:rFonts w:ascii="Times New Roman" w:hAnsi="Times New Roman" w:cs="Times New Roman"/>
          <w:b/>
          <w:sz w:val="24"/>
          <w:szCs w:val="24"/>
        </w:rPr>
      </w:pPr>
      <w:r w:rsidRPr="00D05EA9">
        <w:rPr>
          <w:rFonts w:ascii="Times New Roman" w:hAnsi="Times New Roman" w:cs="Times New Roman"/>
          <w:b/>
          <w:sz w:val="24"/>
          <w:szCs w:val="24"/>
        </w:rPr>
        <w:t>A</w:t>
      </w:r>
      <w:r w:rsidR="00570E58" w:rsidRPr="00D05EA9">
        <w:rPr>
          <w:rFonts w:ascii="Times New Roman" w:hAnsi="Times New Roman" w:cs="Times New Roman"/>
          <w:b/>
          <w:sz w:val="24"/>
          <w:szCs w:val="24"/>
        </w:rPr>
        <w:t>bstract</w:t>
      </w:r>
    </w:p>
    <w:p w:rsidR="00B664A7" w:rsidRPr="00D05EA9" w:rsidRDefault="00B664A7" w:rsidP="00B664A7">
      <w:pPr>
        <w:spacing w:after="120" w:line="240" w:lineRule="auto"/>
        <w:contextualSpacing/>
        <w:jc w:val="both"/>
        <w:rPr>
          <w:rFonts w:ascii="Times New Roman" w:hAnsi="Times New Roman" w:cs="Times New Roman"/>
          <w:sz w:val="24"/>
          <w:szCs w:val="24"/>
        </w:rPr>
      </w:pPr>
    </w:p>
    <w:p w:rsidR="00B664A7" w:rsidRPr="00D05EA9" w:rsidRDefault="00B664A7" w:rsidP="007C56A0">
      <w:pPr>
        <w:spacing w:after="0" w:line="360" w:lineRule="auto"/>
        <w:contextualSpacing/>
        <w:outlineLvl w:val="4"/>
        <w:rPr>
          <w:rFonts w:ascii="Times New Roman" w:hAnsi="Times New Roman" w:cs="Times New Roman"/>
          <w:sz w:val="24"/>
          <w:szCs w:val="24"/>
        </w:rPr>
      </w:pPr>
      <w:r w:rsidRPr="00D05EA9">
        <w:rPr>
          <w:rFonts w:ascii="Times New Roman" w:eastAsia="Times New Roman" w:hAnsi="Times New Roman" w:cs="Times New Roman"/>
          <w:b/>
          <w:bCs/>
          <w:sz w:val="24"/>
          <w:szCs w:val="24"/>
          <w:lang w:eastAsia="en-GB"/>
        </w:rPr>
        <w:t>Purpose:</w:t>
      </w:r>
      <w:r w:rsidRPr="00D05EA9">
        <w:rPr>
          <w:rFonts w:ascii="Times New Roman" w:eastAsia="Times New Roman" w:hAnsi="Times New Roman" w:cs="Times New Roman"/>
          <w:b/>
          <w:bCs/>
          <w:sz w:val="20"/>
          <w:szCs w:val="20"/>
          <w:lang w:eastAsia="en-GB"/>
        </w:rPr>
        <w:t xml:space="preserve"> </w:t>
      </w:r>
      <w:r w:rsidRPr="00D05EA9">
        <w:rPr>
          <w:rFonts w:ascii="Times New Roman" w:hAnsi="Times New Roman" w:cs="Times New Roman"/>
          <w:sz w:val="24"/>
          <w:szCs w:val="24"/>
        </w:rPr>
        <w:t>The aim of this paper is to explore the key practitioner’s level of involvement in the delivery of sustainable regeneration projects in t</w:t>
      </w:r>
      <w:r w:rsidR="0077252A" w:rsidRPr="00D05EA9">
        <w:rPr>
          <w:rFonts w:ascii="Times New Roman" w:hAnsi="Times New Roman" w:cs="Times New Roman"/>
          <w:sz w:val="24"/>
          <w:szCs w:val="24"/>
        </w:rPr>
        <w:t xml:space="preserve">he UK. Practitioners’ level of </w:t>
      </w:r>
      <w:r w:rsidRPr="00D05EA9">
        <w:rPr>
          <w:rFonts w:ascii="Times New Roman" w:hAnsi="Times New Roman" w:cs="Times New Roman"/>
          <w:sz w:val="24"/>
          <w:szCs w:val="24"/>
        </w:rPr>
        <w:t>involvement is a major factor which has, and continues to determine the delivery of sustainability outcomes of regeneration projects.</w:t>
      </w:r>
    </w:p>
    <w:p w:rsidR="002716FC" w:rsidRDefault="002716FC" w:rsidP="007C56A0">
      <w:pPr>
        <w:spacing w:after="0" w:line="360" w:lineRule="auto"/>
        <w:contextualSpacing/>
        <w:outlineLvl w:val="4"/>
        <w:rPr>
          <w:rFonts w:ascii="Times New Roman" w:eastAsia="Times New Roman" w:hAnsi="Times New Roman" w:cs="Times New Roman"/>
          <w:b/>
          <w:bCs/>
          <w:sz w:val="24"/>
          <w:szCs w:val="24"/>
          <w:lang w:eastAsia="en-GB"/>
        </w:rPr>
      </w:pPr>
    </w:p>
    <w:p w:rsidR="001857B6" w:rsidRPr="00D05EA9" w:rsidRDefault="00B664A7" w:rsidP="007C56A0">
      <w:pPr>
        <w:spacing w:after="0" w:line="360" w:lineRule="auto"/>
        <w:contextualSpacing/>
        <w:outlineLvl w:val="4"/>
        <w:rPr>
          <w:rFonts w:ascii="Times New Roman" w:hAnsi="Times New Roman" w:cs="Times New Roman"/>
          <w:sz w:val="24"/>
          <w:szCs w:val="24"/>
        </w:rPr>
      </w:pPr>
      <w:r w:rsidRPr="00D05EA9">
        <w:rPr>
          <w:rFonts w:ascii="Times New Roman" w:eastAsia="Times New Roman" w:hAnsi="Times New Roman" w:cs="Times New Roman"/>
          <w:b/>
          <w:bCs/>
          <w:sz w:val="24"/>
          <w:szCs w:val="24"/>
          <w:lang w:eastAsia="en-GB"/>
        </w:rPr>
        <w:t>Design/methodology/approach:</w:t>
      </w:r>
      <w:r w:rsidRPr="00D05EA9">
        <w:rPr>
          <w:rFonts w:ascii="Times New Roman" w:eastAsia="Times New Roman" w:hAnsi="Times New Roman" w:cs="Times New Roman"/>
          <w:sz w:val="24"/>
          <w:szCs w:val="24"/>
          <w:lang w:eastAsia="en-GB"/>
        </w:rPr>
        <w:t xml:space="preserve"> The paper </w:t>
      </w:r>
      <w:r w:rsidRPr="00D05EA9">
        <w:rPr>
          <w:rFonts w:ascii="Times New Roman" w:hAnsi="Times New Roman" w:cs="Times New Roman"/>
          <w:sz w:val="24"/>
          <w:szCs w:val="24"/>
        </w:rPr>
        <w:t xml:space="preserve">adopted a qualitative study which obtained data from 21 key practitioners’ </w:t>
      </w:r>
      <w:r w:rsidR="002716FC" w:rsidRPr="00D05EA9">
        <w:rPr>
          <w:rFonts w:ascii="Times New Roman" w:hAnsi="Times New Roman" w:cs="Times New Roman"/>
          <w:sz w:val="24"/>
          <w:szCs w:val="24"/>
        </w:rPr>
        <w:t>through semi-structured interviews</w:t>
      </w:r>
      <w:r w:rsidRPr="00D05EA9">
        <w:rPr>
          <w:rFonts w:ascii="Times New Roman" w:hAnsi="Times New Roman" w:cs="Times New Roman"/>
          <w:sz w:val="24"/>
          <w:szCs w:val="24"/>
        </w:rPr>
        <w:t xml:space="preserve"> in exploring practitioners’ level of involvement in the delivery of sustainable regeneration projects in the UK. The semi-structured interviews are conducted with seven practitioners’ each from the three construction organisations selected through a purposive sampling approach for the study.</w:t>
      </w:r>
    </w:p>
    <w:p w:rsidR="00C81FC0" w:rsidRPr="00D05EA9" w:rsidRDefault="00C81FC0" w:rsidP="007C56A0">
      <w:pPr>
        <w:spacing w:after="0" w:line="360" w:lineRule="auto"/>
        <w:contextualSpacing/>
        <w:outlineLvl w:val="4"/>
        <w:rPr>
          <w:rFonts w:ascii="Times New Roman" w:hAnsi="Times New Roman" w:cs="Times New Roman"/>
          <w:sz w:val="24"/>
          <w:szCs w:val="24"/>
        </w:rPr>
      </w:pPr>
    </w:p>
    <w:p w:rsidR="00B664A7" w:rsidRPr="00D05EA9" w:rsidRDefault="00B664A7" w:rsidP="007C56A0">
      <w:pPr>
        <w:spacing w:after="0" w:line="360" w:lineRule="auto"/>
        <w:contextualSpacing/>
        <w:jc w:val="both"/>
        <w:rPr>
          <w:rFonts w:ascii="Times New Roman" w:hAnsi="Times New Roman" w:cs="Times New Roman"/>
          <w:sz w:val="24"/>
          <w:szCs w:val="24"/>
        </w:rPr>
      </w:pPr>
      <w:r w:rsidRPr="00D05EA9">
        <w:rPr>
          <w:rFonts w:ascii="Times New Roman" w:eastAsia="Times New Roman" w:hAnsi="Times New Roman" w:cs="Times New Roman"/>
          <w:b/>
          <w:bCs/>
          <w:sz w:val="24"/>
          <w:szCs w:val="24"/>
          <w:lang w:eastAsia="en-GB"/>
        </w:rPr>
        <w:t xml:space="preserve">Findings: </w:t>
      </w:r>
      <w:r w:rsidR="0088056B" w:rsidRPr="00D05EA9">
        <w:rPr>
          <w:rFonts w:ascii="Times New Roman" w:hAnsi="Times New Roman" w:cs="Times New Roman"/>
          <w:sz w:val="24"/>
          <w:szCs w:val="24"/>
        </w:rPr>
        <w:t>The findings identify</w:t>
      </w:r>
      <w:r w:rsidRPr="00D05EA9">
        <w:rPr>
          <w:rFonts w:ascii="Times New Roman" w:hAnsi="Times New Roman" w:cs="Times New Roman"/>
          <w:sz w:val="24"/>
          <w:szCs w:val="24"/>
        </w:rPr>
        <w:t xml:space="preserve"> varied levels of involvement of the key practitioners’ at the three delivery stages - early, construction and post construction of the project</w:t>
      </w:r>
      <w:r w:rsidR="00546B56" w:rsidRPr="00D05EA9">
        <w:rPr>
          <w:rFonts w:ascii="Times New Roman" w:hAnsi="Times New Roman" w:cs="Times New Roman"/>
          <w:sz w:val="24"/>
          <w:szCs w:val="24"/>
        </w:rPr>
        <w:t>s. The findings further reveal</w:t>
      </w:r>
      <w:r w:rsidRPr="00D05EA9">
        <w:rPr>
          <w:rFonts w:ascii="Times New Roman" w:hAnsi="Times New Roman" w:cs="Times New Roman"/>
          <w:sz w:val="24"/>
          <w:szCs w:val="24"/>
        </w:rPr>
        <w:t xml:space="preserve"> that clients’ representatives, commercial managers and architects are the most frequently involved practitioners during the early stages of the proje</w:t>
      </w:r>
      <w:r w:rsidR="008D239C" w:rsidRPr="00D05EA9">
        <w:rPr>
          <w:rFonts w:ascii="Times New Roman" w:hAnsi="Times New Roman" w:cs="Times New Roman"/>
          <w:sz w:val="24"/>
          <w:szCs w:val="24"/>
        </w:rPr>
        <w:t>cts. The findings also indicate</w:t>
      </w:r>
      <w:r w:rsidRPr="00D05EA9">
        <w:rPr>
          <w:rFonts w:ascii="Times New Roman" w:hAnsi="Times New Roman" w:cs="Times New Roman"/>
          <w:sz w:val="24"/>
          <w:szCs w:val="24"/>
        </w:rPr>
        <w:t xml:space="preserve"> that practitioners who have sustainability assigned to their roles and their responsibilities, such as sustainability managers etc. are the least involved in all the three delivery stages of the projects.</w:t>
      </w:r>
    </w:p>
    <w:p w:rsidR="001857B6" w:rsidRPr="00D05EA9" w:rsidRDefault="001857B6" w:rsidP="007C56A0">
      <w:pPr>
        <w:spacing w:after="0" w:line="360" w:lineRule="auto"/>
        <w:contextualSpacing/>
        <w:jc w:val="both"/>
        <w:rPr>
          <w:rFonts w:ascii="Times New Roman" w:hAnsi="Times New Roman" w:cs="Times New Roman"/>
          <w:sz w:val="24"/>
          <w:szCs w:val="24"/>
        </w:rPr>
      </w:pPr>
    </w:p>
    <w:p w:rsidR="00B664A7" w:rsidRPr="00D05EA9" w:rsidRDefault="00B664A7" w:rsidP="007C56A0">
      <w:pPr>
        <w:spacing w:after="0" w:line="360" w:lineRule="auto"/>
        <w:contextualSpacing/>
        <w:jc w:val="both"/>
        <w:outlineLvl w:val="4"/>
        <w:rPr>
          <w:rFonts w:ascii="Times New Roman" w:hAnsi="Times New Roman" w:cs="Times New Roman"/>
          <w:sz w:val="24"/>
          <w:szCs w:val="24"/>
        </w:rPr>
      </w:pPr>
      <w:r w:rsidRPr="00D05EA9">
        <w:rPr>
          <w:rFonts w:ascii="Times New Roman" w:eastAsia="Times New Roman" w:hAnsi="Times New Roman" w:cs="Times New Roman"/>
          <w:b/>
          <w:bCs/>
          <w:sz w:val="24"/>
          <w:szCs w:val="24"/>
          <w:lang w:eastAsia="en-GB"/>
        </w:rPr>
        <w:t xml:space="preserve">Research </w:t>
      </w:r>
      <w:r w:rsidR="00A35CA1" w:rsidRPr="00D05EA9">
        <w:rPr>
          <w:rFonts w:ascii="Times New Roman" w:eastAsia="Times New Roman" w:hAnsi="Times New Roman" w:cs="Times New Roman"/>
          <w:b/>
          <w:bCs/>
          <w:sz w:val="24"/>
          <w:szCs w:val="24"/>
          <w:lang w:eastAsia="en-GB"/>
        </w:rPr>
        <w:t>limitations</w:t>
      </w:r>
      <w:r w:rsidRPr="00D05EA9">
        <w:rPr>
          <w:rFonts w:ascii="Times New Roman" w:eastAsia="Times New Roman" w:hAnsi="Times New Roman" w:cs="Times New Roman"/>
          <w:b/>
          <w:bCs/>
          <w:sz w:val="24"/>
          <w:szCs w:val="24"/>
          <w:lang w:eastAsia="en-GB"/>
        </w:rPr>
        <w:t xml:space="preserve">: </w:t>
      </w:r>
      <w:r w:rsidR="00A35CA1" w:rsidRPr="00D05EA9">
        <w:rPr>
          <w:rFonts w:ascii="Times New Roman" w:hAnsi="Times New Roman" w:cs="Times New Roman"/>
          <w:sz w:val="24"/>
          <w:szCs w:val="24"/>
        </w:rPr>
        <w:t xml:space="preserve">The study involves interview with 21 practitioners from three organisations delivering sustainable regeneration projects; </w:t>
      </w:r>
      <w:r w:rsidR="008D0F6C" w:rsidRPr="00D05EA9">
        <w:rPr>
          <w:rFonts w:ascii="Times New Roman" w:hAnsi="Times New Roman" w:cs="Times New Roman"/>
          <w:sz w:val="24"/>
          <w:szCs w:val="24"/>
        </w:rPr>
        <w:t xml:space="preserve">hence </w:t>
      </w:r>
      <w:r w:rsidR="00A35CA1" w:rsidRPr="00D05EA9">
        <w:rPr>
          <w:rFonts w:ascii="Times New Roman" w:hAnsi="Times New Roman" w:cs="Times New Roman"/>
          <w:sz w:val="24"/>
          <w:szCs w:val="24"/>
        </w:rPr>
        <w:t>this could limit the generalization of the research findings.</w:t>
      </w:r>
      <w:r w:rsidR="009F0F97" w:rsidRPr="00D05EA9">
        <w:rPr>
          <w:rFonts w:ascii="Times New Roman" w:hAnsi="Times New Roman" w:cs="Times New Roman"/>
          <w:sz w:val="24"/>
          <w:szCs w:val="24"/>
        </w:rPr>
        <w:t xml:space="preserve"> However, th</w:t>
      </w:r>
      <w:r w:rsidR="006324C2" w:rsidRPr="00D05EA9">
        <w:rPr>
          <w:rFonts w:ascii="Times New Roman" w:hAnsi="Times New Roman" w:cs="Times New Roman"/>
          <w:sz w:val="24"/>
          <w:szCs w:val="24"/>
        </w:rPr>
        <w:t>e find</w:t>
      </w:r>
      <w:r w:rsidR="008A52E8" w:rsidRPr="00D05EA9">
        <w:rPr>
          <w:rFonts w:ascii="Times New Roman" w:hAnsi="Times New Roman" w:cs="Times New Roman"/>
          <w:sz w:val="24"/>
          <w:szCs w:val="24"/>
        </w:rPr>
        <w:t>ings of this study could serve</w:t>
      </w:r>
      <w:r w:rsidR="006324C2" w:rsidRPr="00D05EA9">
        <w:rPr>
          <w:rFonts w:ascii="Times New Roman" w:hAnsi="Times New Roman" w:cs="Times New Roman"/>
          <w:sz w:val="24"/>
          <w:szCs w:val="24"/>
        </w:rPr>
        <w:t xml:space="preserve"> a</w:t>
      </w:r>
      <w:r w:rsidR="008A52E8" w:rsidRPr="00D05EA9">
        <w:rPr>
          <w:rFonts w:ascii="Times New Roman" w:hAnsi="Times New Roman" w:cs="Times New Roman"/>
          <w:sz w:val="24"/>
          <w:szCs w:val="24"/>
        </w:rPr>
        <w:t>s</w:t>
      </w:r>
      <w:r w:rsidR="00033696" w:rsidRPr="00D05EA9">
        <w:rPr>
          <w:rFonts w:ascii="Times New Roman" w:hAnsi="Times New Roman" w:cs="Times New Roman"/>
          <w:sz w:val="24"/>
          <w:szCs w:val="24"/>
        </w:rPr>
        <w:t xml:space="preserve"> a</w:t>
      </w:r>
      <w:r w:rsidR="006324C2" w:rsidRPr="00D05EA9">
        <w:rPr>
          <w:rFonts w:ascii="Times New Roman" w:hAnsi="Times New Roman" w:cs="Times New Roman"/>
          <w:sz w:val="24"/>
          <w:szCs w:val="24"/>
        </w:rPr>
        <w:t xml:space="preserve"> useful source of information </w:t>
      </w:r>
      <w:r w:rsidR="009F0F97" w:rsidRPr="00D05EA9">
        <w:rPr>
          <w:rFonts w:ascii="Times New Roman" w:hAnsi="Times New Roman" w:cs="Times New Roman"/>
          <w:sz w:val="24"/>
          <w:szCs w:val="24"/>
        </w:rPr>
        <w:t>for future further study in this area.</w:t>
      </w:r>
    </w:p>
    <w:p w:rsidR="001857B6" w:rsidRPr="00D05EA9" w:rsidRDefault="001857B6" w:rsidP="007C56A0">
      <w:pPr>
        <w:spacing w:after="0" w:line="360" w:lineRule="auto"/>
        <w:contextualSpacing/>
        <w:jc w:val="both"/>
        <w:outlineLvl w:val="4"/>
        <w:rPr>
          <w:rFonts w:ascii="Times New Roman" w:hAnsi="Times New Roman" w:cs="Times New Roman"/>
          <w:sz w:val="24"/>
          <w:szCs w:val="24"/>
        </w:rPr>
      </w:pPr>
    </w:p>
    <w:p w:rsidR="00B664A7" w:rsidRPr="00D05EA9" w:rsidRDefault="00B664A7" w:rsidP="007C56A0">
      <w:pPr>
        <w:spacing w:after="0" w:line="360" w:lineRule="auto"/>
        <w:contextualSpacing/>
        <w:jc w:val="both"/>
        <w:outlineLvl w:val="4"/>
        <w:rPr>
          <w:rFonts w:ascii="Times New Roman" w:eastAsia="Times New Roman" w:hAnsi="Times New Roman" w:cs="Times New Roman"/>
          <w:b/>
          <w:bCs/>
          <w:sz w:val="24"/>
          <w:szCs w:val="24"/>
          <w:lang w:eastAsia="en-GB"/>
        </w:rPr>
      </w:pPr>
      <w:r w:rsidRPr="00D05EA9">
        <w:rPr>
          <w:rFonts w:ascii="Times New Roman" w:hAnsi="Times New Roman" w:cs="Times New Roman"/>
          <w:b/>
          <w:bCs/>
          <w:sz w:val="24"/>
          <w:szCs w:val="24"/>
        </w:rPr>
        <w:lastRenderedPageBreak/>
        <w:t xml:space="preserve">Originality/value: </w:t>
      </w:r>
      <w:r w:rsidRPr="00D05EA9">
        <w:rPr>
          <w:rFonts w:ascii="Times New Roman" w:hAnsi="Times New Roman" w:cs="Times New Roman"/>
          <w:bCs/>
          <w:sz w:val="24"/>
          <w:szCs w:val="24"/>
        </w:rPr>
        <w:t xml:space="preserve">Although some studies have been carried out on practitioner’s engagement in the delivery of ‘normal’ construction projects, none has focused on practitioner’s levels of involvement in sustainable regeneration projects. Hence, this study </w:t>
      </w:r>
      <w:r w:rsidRPr="00D05EA9">
        <w:rPr>
          <w:rFonts w:ascii="Times New Roman" w:eastAsia="Times New Roman" w:hAnsi="Times New Roman" w:cs="Times New Roman"/>
          <w:bCs/>
          <w:sz w:val="24"/>
          <w:szCs w:val="24"/>
          <w:lang w:eastAsia="en-GB"/>
        </w:rPr>
        <w:t>has brought to the fore how the key practitioners’ tasked with the responsibilities of delivering sustainability benefits of regeneration projects</w:t>
      </w:r>
      <w:r w:rsidR="00E47E41" w:rsidRPr="00D05EA9">
        <w:rPr>
          <w:rFonts w:ascii="Times New Roman" w:eastAsia="Times New Roman" w:hAnsi="Times New Roman" w:cs="Times New Roman"/>
          <w:bCs/>
          <w:sz w:val="24"/>
          <w:szCs w:val="24"/>
          <w:lang w:eastAsia="en-GB"/>
        </w:rPr>
        <w:t xml:space="preserve"> have been involved (at various </w:t>
      </w:r>
      <w:r w:rsidRPr="00D05EA9">
        <w:rPr>
          <w:rFonts w:ascii="Times New Roman" w:eastAsia="Times New Roman" w:hAnsi="Times New Roman" w:cs="Times New Roman"/>
          <w:bCs/>
          <w:sz w:val="24"/>
          <w:szCs w:val="24"/>
          <w:lang w:eastAsia="en-GB"/>
        </w:rPr>
        <w:t xml:space="preserve">levels of the project lifecycle) in the delivery of these projects. </w:t>
      </w:r>
    </w:p>
    <w:p w:rsidR="002716FC" w:rsidRDefault="002716FC" w:rsidP="007C56A0">
      <w:pPr>
        <w:spacing w:after="0" w:line="360" w:lineRule="auto"/>
        <w:contextualSpacing/>
        <w:rPr>
          <w:rFonts w:ascii="Times New Roman" w:hAnsi="Times New Roman" w:cs="Times New Roman"/>
          <w:b/>
          <w:sz w:val="24"/>
          <w:szCs w:val="24"/>
        </w:rPr>
      </w:pPr>
    </w:p>
    <w:p w:rsidR="00A35CA1" w:rsidRDefault="00057CB2" w:rsidP="007C56A0">
      <w:pPr>
        <w:spacing w:after="0" w:line="360" w:lineRule="auto"/>
        <w:contextualSpacing/>
        <w:rPr>
          <w:rFonts w:ascii="Times New Roman" w:hAnsi="Times New Roman" w:cs="Times New Roman"/>
          <w:sz w:val="24"/>
          <w:szCs w:val="24"/>
        </w:rPr>
      </w:pPr>
      <w:r w:rsidRPr="00D05EA9">
        <w:rPr>
          <w:rFonts w:ascii="Times New Roman" w:hAnsi="Times New Roman" w:cs="Times New Roman"/>
          <w:b/>
          <w:sz w:val="24"/>
          <w:szCs w:val="24"/>
        </w:rPr>
        <w:t xml:space="preserve">Keywords: </w:t>
      </w:r>
      <w:r w:rsidRPr="00D05EA9">
        <w:rPr>
          <w:rFonts w:ascii="Times New Roman" w:hAnsi="Times New Roman" w:cs="Times New Roman"/>
          <w:sz w:val="24"/>
          <w:szCs w:val="24"/>
        </w:rPr>
        <w:t xml:space="preserve">Sustainable regeneration, </w:t>
      </w:r>
      <w:r w:rsidR="000D1BDD" w:rsidRPr="00D05EA9">
        <w:rPr>
          <w:rFonts w:ascii="Times New Roman" w:hAnsi="Times New Roman" w:cs="Times New Roman"/>
          <w:sz w:val="24"/>
          <w:szCs w:val="24"/>
        </w:rPr>
        <w:t xml:space="preserve">project team, </w:t>
      </w:r>
      <w:r w:rsidRPr="00D05EA9">
        <w:rPr>
          <w:rFonts w:ascii="Times New Roman" w:hAnsi="Times New Roman" w:cs="Times New Roman"/>
          <w:sz w:val="24"/>
          <w:szCs w:val="24"/>
        </w:rPr>
        <w:t>Key Practitioners, Level of involvement</w:t>
      </w:r>
    </w:p>
    <w:p w:rsidR="002716FC" w:rsidRDefault="002716FC" w:rsidP="007C56A0">
      <w:pPr>
        <w:spacing w:after="0" w:line="360" w:lineRule="auto"/>
        <w:contextualSpacing/>
        <w:rPr>
          <w:rFonts w:ascii="Times New Roman" w:hAnsi="Times New Roman" w:cs="Times New Roman"/>
          <w:sz w:val="24"/>
          <w:szCs w:val="24"/>
        </w:rPr>
      </w:pPr>
    </w:p>
    <w:p w:rsidR="002716FC" w:rsidRPr="00D05EA9" w:rsidRDefault="002716FC" w:rsidP="007C56A0">
      <w:pPr>
        <w:spacing w:after="0" w:line="360" w:lineRule="auto"/>
        <w:contextualSpacing/>
        <w:rPr>
          <w:rFonts w:ascii="Times New Roman" w:hAnsi="Times New Roman" w:cs="Times New Roman"/>
          <w:sz w:val="24"/>
          <w:szCs w:val="24"/>
        </w:rPr>
      </w:pPr>
    </w:p>
    <w:p w:rsidR="00D10C15" w:rsidRPr="00D05EA9" w:rsidRDefault="00D10C15" w:rsidP="007764D5">
      <w:pPr>
        <w:pStyle w:val="ListParagraph"/>
        <w:numPr>
          <w:ilvl w:val="0"/>
          <w:numId w:val="8"/>
        </w:numPr>
        <w:spacing w:after="0" w:line="240" w:lineRule="auto"/>
        <w:rPr>
          <w:rFonts w:ascii="Times New Roman" w:hAnsi="Times New Roman" w:cs="Times New Roman"/>
          <w:b/>
          <w:sz w:val="24"/>
          <w:szCs w:val="24"/>
        </w:rPr>
      </w:pPr>
      <w:r w:rsidRPr="00D05EA9">
        <w:rPr>
          <w:rFonts w:ascii="Times New Roman" w:hAnsi="Times New Roman" w:cs="Times New Roman"/>
          <w:b/>
          <w:sz w:val="24"/>
          <w:szCs w:val="24"/>
        </w:rPr>
        <w:t>Introduction</w:t>
      </w:r>
    </w:p>
    <w:p w:rsidR="002716FC" w:rsidRPr="00D05EA9" w:rsidRDefault="00361470" w:rsidP="00CD5F6F">
      <w:pPr>
        <w:autoSpaceDE w:val="0"/>
        <w:autoSpaceDN w:val="0"/>
        <w:adjustRightInd w:val="0"/>
        <w:spacing w:after="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 xml:space="preserve">In the context of regeneration, the involvement of the key players in a project is fundamental to the </w:t>
      </w:r>
      <w:r w:rsidR="00C62A64" w:rsidRPr="00D05EA9">
        <w:rPr>
          <w:rFonts w:ascii="Times New Roman" w:hAnsi="Times New Roman" w:cs="Times New Roman"/>
          <w:sz w:val="24"/>
          <w:szCs w:val="24"/>
        </w:rPr>
        <w:t xml:space="preserve">delivery of the </w:t>
      </w:r>
      <w:r w:rsidRPr="00D05EA9">
        <w:rPr>
          <w:rFonts w:ascii="Times New Roman" w:hAnsi="Times New Roman" w:cs="Times New Roman"/>
          <w:sz w:val="24"/>
          <w:szCs w:val="24"/>
        </w:rPr>
        <w:t>project outcomes. It is important to establish</w:t>
      </w:r>
      <w:r w:rsidR="00CA2045" w:rsidRPr="00D05EA9">
        <w:rPr>
          <w:rFonts w:ascii="Times New Roman" w:hAnsi="Times New Roman" w:cs="Times New Roman"/>
          <w:sz w:val="24"/>
          <w:szCs w:val="24"/>
        </w:rPr>
        <w:t xml:space="preserve"> the</w:t>
      </w:r>
      <w:r w:rsidRPr="00D05EA9">
        <w:rPr>
          <w:rFonts w:ascii="Times New Roman" w:hAnsi="Times New Roman" w:cs="Times New Roman"/>
          <w:sz w:val="24"/>
          <w:szCs w:val="24"/>
        </w:rPr>
        <w:t xml:space="preserve"> role</w:t>
      </w:r>
      <w:r w:rsidR="009F4A29" w:rsidRPr="00D05EA9">
        <w:rPr>
          <w:rFonts w:ascii="Times New Roman" w:hAnsi="Times New Roman" w:cs="Times New Roman"/>
          <w:sz w:val="24"/>
          <w:szCs w:val="24"/>
        </w:rPr>
        <w:t>s</w:t>
      </w:r>
      <w:r w:rsidRPr="00D05EA9">
        <w:rPr>
          <w:rFonts w:ascii="Times New Roman" w:hAnsi="Times New Roman" w:cs="Times New Roman"/>
          <w:sz w:val="24"/>
          <w:szCs w:val="24"/>
        </w:rPr>
        <w:t xml:space="preserve"> and the level</w:t>
      </w:r>
      <w:r w:rsidR="00AF7636" w:rsidRPr="00D05EA9">
        <w:rPr>
          <w:rFonts w:ascii="Times New Roman" w:hAnsi="Times New Roman" w:cs="Times New Roman"/>
          <w:sz w:val="24"/>
          <w:szCs w:val="24"/>
        </w:rPr>
        <w:t>s</w:t>
      </w:r>
      <w:r w:rsidRPr="00D05EA9">
        <w:rPr>
          <w:rFonts w:ascii="Times New Roman" w:hAnsi="Times New Roman" w:cs="Times New Roman"/>
          <w:sz w:val="24"/>
          <w:szCs w:val="24"/>
        </w:rPr>
        <w:t xml:space="preserve"> of involvement of the key actors as this is crucial to the </w:t>
      </w:r>
      <w:r w:rsidR="00BB022B" w:rsidRPr="00D05EA9">
        <w:rPr>
          <w:rFonts w:ascii="Times New Roman" w:hAnsi="Times New Roman" w:cs="Times New Roman"/>
          <w:sz w:val="24"/>
          <w:szCs w:val="24"/>
        </w:rPr>
        <w:t xml:space="preserve">promotion, </w:t>
      </w:r>
      <w:r w:rsidRPr="00D05EA9">
        <w:rPr>
          <w:rFonts w:ascii="Times New Roman" w:hAnsi="Times New Roman" w:cs="Times New Roman"/>
          <w:bCs/>
          <w:sz w:val="24"/>
          <w:szCs w:val="24"/>
        </w:rPr>
        <w:t>implementation and attainment</w:t>
      </w:r>
      <w:r w:rsidRPr="00D05EA9">
        <w:rPr>
          <w:rFonts w:ascii="Times New Roman" w:hAnsi="Times New Roman" w:cs="Times New Roman"/>
          <w:sz w:val="24"/>
          <w:szCs w:val="24"/>
        </w:rPr>
        <w:t xml:space="preserve"> of sustainability of the </w:t>
      </w:r>
      <w:r w:rsidR="00F24B6F" w:rsidRPr="00D05EA9">
        <w:rPr>
          <w:rFonts w:ascii="Times New Roman" w:hAnsi="Times New Roman" w:cs="Times New Roman"/>
          <w:sz w:val="24"/>
          <w:szCs w:val="24"/>
        </w:rPr>
        <w:t xml:space="preserve">sustainable regeneration </w:t>
      </w:r>
      <w:r w:rsidRPr="00D05EA9">
        <w:rPr>
          <w:rFonts w:ascii="Times New Roman" w:hAnsi="Times New Roman" w:cs="Times New Roman"/>
          <w:sz w:val="24"/>
          <w:szCs w:val="24"/>
        </w:rPr>
        <w:t>projects. Conventionally, the interactions and linkages between the key players ultimately influence and determine the overall performance of the projects (</w:t>
      </w:r>
      <w:r w:rsidR="0030256B" w:rsidRPr="00D05EA9">
        <w:rPr>
          <w:rFonts w:ascii="Times New Roman" w:hAnsi="Times New Roman" w:cs="Times New Roman"/>
          <w:sz w:val="24"/>
          <w:szCs w:val="24"/>
        </w:rPr>
        <w:t>Takim</w:t>
      </w:r>
      <w:r w:rsidRPr="00D05EA9">
        <w:rPr>
          <w:rFonts w:ascii="Times New Roman" w:hAnsi="Times New Roman" w:cs="Times New Roman"/>
          <w:sz w:val="24"/>
          <w:szCs w:val="24"/>
        </w:rPr>
        <w:t xml:space="preserve"> 2009). </w:t>
      </w:r>
      <w:r w:rsidR="00E0160F" w:rsidRPr="00D05EA9">
        <w:rPr>
          <w:rFonts w:ascii="Times New Roman" w:hAnsi="Times New Roman" w:cs="Times New Roman"/>
          <w:sz w:val="24"/>
          <w:szCs w:val="24"/>
        </w:rPr>
        <w:t xml:space="preserve">A study by Clapham (2014) acknowledged this point by indicating that attempts to evaluate the impact of sustainable regeneration have been complicated by the absence of clearly specified sustainability objectives and outcomes. Although there have been some evaluation frameworks developed to evaluate regeneration programmes, yet each one of these frameworks has been deficient in an attempt to measure the social and economic sustainability impacts of the programmes. According to Brandon and Lombardi (2011), several research works undertaken on sustainable regeneration showed that they remained fragmented and also lack a conceptual clarity related to the delivery of sustainability of the projects. They identified sustainable regeneration as an evolving domain and suggested the need for further study as there has not been a well-defined research or evaluation framework that has been able to deal with the issues of socio-economic sustainability benefits evaluation in a comprehensive and a decisive manner. Consequently, </w:t>
      </w:r>
      <w:r w:rsidR="00E0160F" w:rsidRPr="00D05EA9">
        <w:rPr>
          <w:rFonts w:ascii="Times New Roman" w:hAnsi="Times New Roman" w:cs="Times New Roman"/>
          <w:sz w:val="24"/>
          <w:szCs w:val="24"/>
        </w:rPr>
        <w:lastRenderedPageBreak/>
        <w:t xml:space="preserve">in view of this, it is apparent that for sustainable regeneration projects to fully deliver their required socio-economic sustainability </w:t>
      </w:r>
      <w:proofErr w:type="gramStart"/>
      <w:r w:rsidR="00E0160F" w:rsidRPr="00D05EA9">
        <w:rPr>
          <w:rFonts w:ascii="Times New Roman" w:hAnsi="Times New Roman" w:cs="Times New Roman"/>
          <w:sz w:val="24"/>
          <w:szCs w:val="24"/>
        </w:rPr>
        <w:t>benefits,</w:t>
      </w:r>
      <w:proofErr w:type="gramEnd"/>
      <w:r w:rsidR="00E0160F" w:rsidRPr="00D05EA9">
        <w:rPr>
          <w:rFonts w:ascii="Times New Roman" w:hAnsi="Times New Roman" w:cs="Times New Roman"/>
          <w:sz w:val="24"/>
          <w:szCs w:val="24"/>
        </w:rPr>
        <w:t xml:space="preserve"> there is a need for exploration of new ways of evaluating sustainable regeneration projects in the UK.</w:t>
      </w:r>
    </w:p>
    <w:p w:rsidR="00846E48" w:rsidRPr="00D05EA9" w:rsidRDefault="00361470" w:rsidP="00CD5F6F">
      <w:pPr>
        <w:autoSpaceDE w:val="0"/>
        <w:autoSpaceDN w:val="0"/>
        <w:adjustRightInd w:val="0"/>
        <w:spacing w:after="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 xml:space="preserve">Adopting and implementing sustainability on regeneration projects can be influenced by </w:t>
      </w:r>
      <w:r w:rsidR="00440272" w:rsidRPr="00D05EA9">
        <w:rPr>
          <w:rFonts w:ascii="Times New Roman" w:hAnsi="Times New Roman" w:cs="Times New Roman"/>
          <w:sz w:val="24"/>
          <w:szCs w:val="24"/>
        </w:rPr>
        <w:t xml:space="preserve">key </w:t>
      </w:r>
      <w:r w:rsidRPr="00D05EA9">
        <w:rPr>
          <w:rFonts w:ascii="Times New Roman" w:hAnsi="Times New Roman" w:cs="Times New Roman"/>
          <w:sz w:val="24"/>
          <w:szCs w:val="24"/>
        </w:rPr>
        <w:t>practitioner</w:t>
      </w:r>
      <w:r w:rsidR="00C50CD8" w:rsidRPr="00D05EA9">
        <w:rPr>
          <w:rFonts w:ascii="Times New Roman" w:hAnsi="Times New Roman" w:cs="Times New Roman"/>
          <w:sz w:val="24"/>
          <w:szCs w:val="24"/>
        </w:rPr>
        <w:t>s</w:t>
      </w:r>
      <w:r w:rsidR="0005101D" w:rsidRPr="00D05EA9">
        <w:rPr>
          <w:rFonts w:ascii="Times New Roman" w:hAnsi="Times New Roman" w:cs="Times New Roman"/>
          <w:sz w:val="24"/>
          <w:szCs w:val="24"/>
        </w:rPr>
        <w:t xml:space="preserve"> involve</w:t>
      </w:r>
      <w:r w:rsidRPr="00D05EA9">
        <w:rPr>
          <w:rFonts w:ascii="Times New Roman" w:hAnsi="Times New Roman" w:cs="Times New Roman"/>
          <w:sz w:val="24"/>
          <w:szCs w:val="24"/>
        </w:rPr>
        <w:t xml:space="preserve"> the delivery of the project. It has also been argued that, engaging appropriately key participants in a project delivery processes can help to deliver a wide range of project outcomes (</w:t>
      </w:r>
      <w:r w:rsidR="0030256B" w:rsidRPr="00D05EA9">
        <w:rPr>
          <w:rFonts w:ascii="Times New Roman" w:hAnsi="Times New Roman" w:cs="Times New Roman"/>
          <w:sz w:val="24"/>
          <w:szCs w:val="24"/>
        </w:rPr>
        <w:t>Mathur</w:t>
      </w:r>
      <w:r w:rsidRPr="00D05EA9">
        <w:rPr>
          <w:rFonts w:ascii="Times New Roman" w:hAnsi="Times New Roman" w:cs="Times New Roman"/>
          <w:sz w:val="24"/>
          <w:szCs w:val="24"/>
        </w:rPr>
        <w:t xml:space="preserve"> </w:t>
      </w:r>
      <w:r w:rsidR="0030256B" w:rsidRPr="00D05EA9">
        <w:rPr>
          <w:rFonts w:ascii="Times New Roman" w:hAnsi="Times New Roman" w:cs="Times New Roman"/>
          <w:i/>
          <w:iCs/>
          <w:sz w:val="24"/>
          <w:szCs w:val="24"/>
        </w:rPr>
        <w:t xml:space="preserve">et al. </w:t>
      </w:r>
      <w:r w:rsidRPr="00D05EA9">
        <w:rPr>
          <w:rFonts w:ascii="Times New Roman" w:hAnsi="Times New Roman" w:cs="Times New Roman"/>
          <w:sz w:val="24"/>
          <w:szCs w:val="24"/>
        </w:rPr>
        <w:t xml:space="preserve">2008). </w:t>
      </w:r>
      <w:r w:rsidR="00D7292B" w:rsidRPr="00D05EA9">
        <w:rPr>
          <w:rFonts w:ascii="Times New Roman" w:hAnsi="Times New Roman" w:cs="Times New Roman"/>
          <w:sz w:val="24"/>
          <w:szCs w:val="24"/>
        </w:rPr>
        <w:t xml:space="preserve"> </w:t>
      </w:r>
      <w:r w:rsidR="00846E48" w:rsidRPr="00D05EA9">
        <w:rPr>
          <w:rFonts w:ascii="Times New Roman" w:hAnsi="Times New Roman" w:cs="Times New Roman"/>
          <w:sz w:val="24"/>
          <w:szCs w:val="24"/>
        </w:rPr>
        <w:t xml:space="preserve">The aim of this paper is to explore the key </w:t>
      </w:r>
      <w:r w:rsidR="008C7964" w:rsidRPr="00D05EA9">
        <w:rPr>
          <w:rFonts w:ascii="Times New Roman" w:hAnsi="Times New Roman" w:cs="Times New Roman"/>
          <w:sz w:val="24"/>
          <w:szCs w:val="24"/>
        </w:rPr>
        <w:t>practitioner’s</w:t>
      </w:r>
      <w:r w:rsidR="00846E48" w:rsidRPr="00D05EA9">
        <w:rPr>
          <w:rFonts w:ascii="Times New Roman" w:hAnsi="Times New Roman" w:cs="Times New Roman"/>
          <w:sz w:val="24"/>
          <w:szCs w:val="24"/>
        </w:rPr>
        <w:t xml:space="preserve"> levels of involvement in the delivery of sustainable regeneration projects in the UK. </w:t>
      </w:r>
      <w:r w:rsidR="008C7964" w:rsidRPr="00D05EA9">
        <w:rPr>
          <w:rFonts w:ascii="Times New Roman" w:hAnsi="Times New Roman" w:cs="Times New Roman"/>
          <w:sz w:val="24"/>
          <w:szCs w:val="24"/>
        </w:rPr>
        <w:t>To achieve this, the papers</w:t>
      </w:r>
      <w:r w:rsidR="00846E48" w:rsidRPr="00D05EA9">
        <w:rPr>
          <w:rFonts w:ascii="Times New Roman" w:hAnsi="Times New Roman" w:cs="Times New Roman"/>
          <w:sz w:val="24"/>
          <w:szCs w:val="24"/>
        </w:rPr>
        <w:t xml:space="preserve"> begins by providing the background literature on the impacts and importance of the key practitioners’ involvement in the sustainable regenera</w:t>
      </w:r>
      <w:r w:rsidR="008C7964" w:rsidRPr="00D05EA9">
        <w:rPr>
          <w:rFonts w:ascii="Times New Roman" w:hAnsi="Times New Roman" w:cs="Times New Roman"/>
          <w:sz w:val="24"/>
          <w:szCs w:val="24"/>
        </w:rPr>
        <w:t xml:space="preserve">tion projects delivery process, and </w:t>
      </w:r>
      <w:r w:rsidR="00846E48" w:rsidRPr="00D05EA9">
        <w:rPr>
          <w:rFonts w:ascii="Times New Roman" w:hAnsi="Times New Roman" w:cs="Times New Roman"/>
          <w:sz w:val="24"/>
          <w:szCs w:val="24"/>
        </w:rPr>
        <w:t xml:space="preserve">goes on to present the findings and analyses </w:t>
      </w:r>
      <w:r w:rsidR="00D331AC" w:rsidRPr="00D05EA9">
        <w:rPr>
          <w:rFonts w:ascii="Times New Roman" w:hAnsi="Times New Roman" w:cs="Times New Roman"/>
          <w:sz w:val="24"/>
          <w:szCs w:val="24"/>
        </w:rPr>
        <w:t>of</w:t>
      </w:r>
      <w:r w:rsidR="00846E48" w:rsidRPr="00D05EA9">
        <w:rPr>
          <w:rFonts w:ascii="Times New Roman" w:hAnsi="Times New Roman" w:cs="Times New Roman"/>
          <w:sz w:val="24"/>
          <w:szCs w:val="24"/>
        </w:rPr>
        <w:t xml:space="preserve"> </w:t>
      </w:r>
      <w:r w:rsidR="00D331AC" w:rsidRPr="00D05EA9">
        <w:rPr>
          <w:rFonts w:ascii="Times New Roman" w:hAnsi="Times New Roman" w:cs="Times New Roman"/>
          <w:sz w:val="24"/>
          <w:szCs w:val="24"/>
        </w:rPr>
        <w:t xml:space="preserve">a </w:t>
      </w:r>
      <w:r w:rsidR="00846E48" w:rsidRPr="00D05EA9">
        <w:rPr>
          <w:rFonts w:ascii="Times New Roman" w:hAnsi="Times New Roman" w:cs="Times New Roman"/>
          <w:sz w:val="24"/>
          <w:szCs w:val="24"/>
        </w:rPr>
        <w:t>qua</w:t>
      </w:r>
      <w:r w:rsidR="003961A7" w:rsidRPr="00D05EA9">
        <w:rPr>
          <w:rFonts w:ascii="Times New Roman" w:hAnsi="Times New Roman" w:cs="Times New Roman"/>
          <w:sz w:val="24"/>
          <w:szCs w:val="24"/>
        </w:rPr>
        <w:t>litative</w:t>
      </w:r>
      <w:r w:rsidR="00846E48" w:rsidRPr="00D05EA9">
        <w:rPr>
          <w:rFonts w:ascii="Times New Roman" w:hAnsi="Times New Roman" w:cs="Times New Roman"/>
          <w:sz w:val="24"/>
          <w:szCs w:val="24"/>
        </w:rPr>
        <w:t xml:space="preserve"> data obtained </w:t>
      </w:r>
      <w:r w:rsidR="00D331AC" w:rsidRPr="00D05EA9">
        <w:rPr>
          <w:rFonts w:ascii="Times New Roman" w:hAnsi="Times New Roman" w:cs="Times New Roman"/>
          <w:sz w:val="24"/>
          <w:szCs w:val="24"/>
        </w:rPr>
        <w:t xml:space="preserve">through semi-structured interviews </w:t>
      </w:r>
      <w:r w:rsidR="008C7964" w:rsidRPr="00D05EA9">
        <w:rPr>
          <w:rFonts w:ascii="Times New Roman" w:hAnsi="Times New Roman" w:cs="Times New Roman"/>
          <w:sz w:val="24"/>
          <w:szCs w:val="24"/>
        </w:rPr>
        <w:t xml:space="preserve">from </w:t>
      </w:r>
      <w:r w:rsidR="003961A7" w:rsidRPr="00D05EA9">
        <w:rPr>
          <w:rFonts w:ascii="Times New Roman" w:hAnsi="Times New Roman" w:cs="Times New Roman"/>
          <w:sz w:val="24"/>
          <w:szCs w:val="24"/>
        </w:rPr>
        <w:t>21</w:t>
      </w:r>
      <w:r w:rsidR="00846E48" w:rsidRPr="00D05EA9">
        <w:rPr>
          <w:rFonts w:ascii="Times New Roman" w:hAnsi="Times New Roman" w:cs="Times New Roman"/>
          <w:sz w:val="24"/>
          <w:szCs w:val="24"/>
        </w:rPr>
        <w:t xml:space="preserve"> </w:t>
      </w:r>
      <w:r w:rsidR="00D331AC" w:rsidRPr="00D05EA9">
        <w:rPr>
          <w:rFonts w:ascii="Times New Roman" w:hAnsi="Times New Roman" w:cs="Times New Roman"/>
          <w:sz w:val="24"/>
          <w:szCs w:val="24"/>
        </w:rPr>
        <w:t xml:space="preserve">key </w:t>
      </w:r>
      <w:r w:rsidR="008C7964" w:rsidRPr="00D05EA9">
        <w:rPr>
          <w:rFonts w:ascii="Times New Roman" w:hAnsi="Times New Roman" w:cs="Times New Roman"/>
          <w:sz w:val="24"/>
          <w:szCs w:val="24"/>
        </w:rPr>
        <w:t>practitioner</w:t>
      </w:r>
      <w:r w:rsidR="00846E48" w:rsidRPr="00D05EA9">
        <w:rPr>
          <w:rFonts w:ascii="Times New Roman" w:hAnsi="Times New Roman" w:cs="Times New Roman"/>
          <w:sz w:val="24"/>
          <w:szCs w:val="24"/>
        </w:rPr>
        <w:t xml:space="preserve">s who </w:t>
      </w:r>
      <w:r w:rsidR="008C7964" w:rsidRPr="00D05EA9">
        <w:rPr>
          <w:rFonts w:ascii="Times New Roman" w:hAnsi="Times New Roman" w:cs="Times New Roman"/>
          <w:sz w:val="24"/>
          <w:szCs w:val="24"/>
        </w:rPr>
        <w:t>participated</w:t>
      </w:r>
      <w:r w:rsidR="00846E48" w:rsidRPr="00D05EA9">
        <w:rPr>
          <w:rFonts w:ascii="Times New Roman" w:hAnsi="Times New Roman" w:cs="Times New Roman"/>
          <w:sz w:val="24"/>
          <w:szCs w:val="24"/>
        </w:rPr>
        <w:t xml:space="preserve"> </w:t>
      </w:r>
      <w:r w:rsidR="008C7964" w:rsidRPr="00D05EA9">
        <w:rPr>
          <w:rFonts w:ascii="Times New Roman" w:hAnsi="Times New Roman" w:cs="Times New Roman"/>
          <w:sz w:val="24"/>
          <w:szCs w:val="24"/>
        </w:rPr>
        <w:t>in the</w:t>
      </w:r>
      <w:r w:rsidR="00846E48" w:rsidRPr="00D05EA9">
        <w:rPr>
          <w:rFonts w:ascii="Times New Roman" w:hAnsi="Times New Roman" w:cs="Times New Roman"/>
          <w:sz w:val="24"/>
          <w:szCs w:val="24"/>
        </w:rPr>
        <w:t xml:space="preserve"> </w:t>
      </w:r>
      <w:r w:rsidR="008C7964" w:rsidRPr="00D05EA9">
        <w:rPr>
          <w:rFonts w:ascii="Times New Roman" w:hAnsi="Times New Roman" w:cs="Times New Roman"/>
          <w:sz w:val="24"/>
          <w:szCs w:val="24"/>
        </w:rPr>
        <w:t>study</w:t>
      </w:r>
      <w:r w:rsidR="00C465FA" w:rsidRPr="00D05EA9">
        <w:rPr>
          <w:rFonts w:ascii="Times New Roman" w:hAnsi="Times New Roman" w:cs="Times New Roman"/>
          <w:sz w:val="24"/>
          <w:szCs w:val="24"/>
        </w:rPr>
        <w:t>.</w:t>
      </w:r>
      <w:r w:rsidR="00F13A4C" w:rsidRPr="00D05EA9">
        <w:rPr>
          <w:rFonts w:ascii="Times New Roman" w:hAnsi="Times New Roman" w:cs="Times New Roman"/>
          <w:sz w:val="24"/>
          <w:szCs w:val="24"/>
        </w:rPr>
        <w:t xml:space="preserve"> </w:t>
      </w:r>
    </w:p>
    <w:p w:rsidR="00DF3EAC" w:rsidRPr="00D05EA9" w:rsidRDefault="00DF3EAC" w:rsidP="00DF3EAC">
      <w:pPr>
        <w:spacing w:after="0" w:line="240" w:lineRule="auto"/>
        <w:contextualSpacing/>
        <w:jc w:val="both"/>
        <w:rPr>
          <w:rFonts w:ascii="Times New Roman" w:hAnsi="Times New Roman" w:cs="Times New Roman"/>
          <w:b/>
          <w:sz w:val="24"/>
          <w:szCs w:val="24"/>
        </w:rPr>
      </w:pPr>
      <w:bookmarkStart w:id="0" w:name="_Toc394055574"/>
      <w:bookmarkStart w:id="1" w:name="_Toc394512705"/>
      <w:bookmarkStart w:id="2" w:name="_Toc400468238"/>
      <w:bookmarkStart w:id="3" w:name="_Toc400468410"/>
    </w:p>
    <w:p w:rsidR="009714C8" w:rsidRPr="00D05EA9" w:rsidRDefault="004E0DE1" w:rsidP="004347A6">
      <w:pPr>
        <w:pStyle w:val="ListParagraph"/>
        <w:numPr>
          <w:ilvl w:val="0"/>
          <w:numId w:val="8"/>
        </w:numPr>
        <w:spacing w:after="0" w:line="480" w:lineRule="auto"/>
        <w:jc w:val="both"/>
        <w:rPr>
          <w:rFonts w:ascii="Times New Roman" w:eastAsia="Times New Roman" w:hAnsi="Times New Roman" w:cs="Times New Roman"/>
          <w:b/>
          <w:sz w:val="24"/>
          <w:szCs w:val="24"/>
          <w:lang w:val="en-US" w:eastAsia="en-GB"/>
        </w:rPr>
      </w:pPr>
      <w:r w:rsidRPr="00D05EA9">
        <w:rPr>
          <w:rFonts w:ascii="Times New Roman" w:eastAsia="Times New Roman" w:hAnsi="Times New Roman" w:cs="Times New Roman"/>
          <w:b/>
          <w:sz w:val="24"/>
          <w:szCs w:val="24"/>
          <w:lang w:val="en-US" w:eastAsia="en-GB"/>
        </w:rPr>
        <w:t>The Concept of Sustainable Regeneration</w:t>
      </w:r>
    </w:p>
    <w:p w:rsidR="004E0DE1" w:rsidRPr="00D05EA9" w:rsidRDefault="00110FDC" w:rsidP="00F95EDF">
      <w:pPr>
        <w:spacing w:after="0" w:line="480" w:lineRule="auto"/>
        <w:contextualSpacing/>
        <w:jc w:val="both"/>
        <w:rPr>
          <w:rFonts w:ascii="Times New Roman" w:eastAsia="Times New Roman" w:hAnsi="Times New Roman" w:cs="Times New Roman"/>
          <w:sz w:val="24"/>
          <w:szCs w:val="24"/>
          <w:lang w:eastAsia="en-GB"/>
        </w:rPr>
      </w:pPr>
      <w:r w:rsidRPr="00D05EA9">
        <w:rPr>
          <w:rFonts w:ascii="Times New Roman" w:hAnsi="Times New Roman" w:cs="Times New Roman"/>
          <w:sz w:val="24"/>
          <w:szCs w:val="24"/>
          <w:lang w:val="en-US"/>
        </w:rPr>
        <w:t>The objective of the s</w:t>
      </w:r>
      <w:r w:rsidR="009714C8" w:rsidRPr="00D05EA9">
        <w:rPr>
          <w:rFonts w:ascii="Times New Roman" w:hAnsi="Times New Roman" w:cs="Times New Roman"/>
          <w:sz w:val="24"/>
          <w:szCs w:val="24"/>
          <w:lang w:val="en-US"/>
        </w:rPr>
        <w:t xml:space="preserve">ustainable regeneration concept </w:t>
      </w:r>
      <w:r w:rsidRPr="00D05EA9">
        <w:rPr>
          <w:rFonts w:ascii="Times New Roman" w:hAnsi="Times New Roman" w:cs="Times New Roman"/>
          <w:sz w:val="24"/>
          <w:szCs w:val="24"/>
          <w:lang w:val="en-US"/>
        </w:rPr>
        <w:t>is to transform society by creating sustainable places where people want to live, work and feel secure</w:t>
      </w:r>
      <w:r w:rsidR="009714C8" w:rsidRPr="00D05EA9">
        <w:rPr>
          <w:rFonts w:ascii="Times New Roman" w:hAnsi="Times New Roman" w:cs="Times New Roman"/>
          <w:sz w:val="24"/>
          <w:szCs w:val="24"/>
          <w:lang w:val="en-US"/>
        </w:rPr>
        <w:t xml:space="preserve"> (CLG 2009; </w:t>
      </w:r>
      <w:r w:rsidR="007764D5" w:rsidRPr="00D05EA9">
        <w:rPr>
          <w:rFonts w:ascii="Times New Roman" w:eastAsia="Times New Roman" w:hAnsi="Times New Roman" w:cs="Times New Roman"/>
          <w:sz w:val="24"/>
          <w:szCs w:val="24"/>
          <w:lang w:eastAsia="en-GB"/>
        </w:rPr>
        <w:t xml:space="preserve">Glossop </w:t>
      </w:r>
      <w:r w:rsidR="009714C8" w:rsidRPr="00D05EA9">
        <w:rPr>
          <w:rFonts w:ascii="Times New Roman" w:eastAsia="Times New Roman" w:hAnsi="Times New Roman" w:cs="Times New Roman"/>
          <w:sz w:val="24"/>
          <w:szCs w:val="24"/>
          <w:lang w:eastAsia="en-GB"/>
        </w:rPr>
        <w:t xml:space="preserve">2008; </w:t>
      </w:r>
      <w:r w:rsidR="009714C8" w:rsidRPr="00D05EA9">
        <w:rPr>
          <w:rFonts w:ascii="Times New Roman" w:hAnsi="Times New Roman" w:cs="Times New Roman"/>
          <w:sz w:val="24"/>
          <w:szCs w:val="24"/>
          <w:lang w:val="en-US"/>
        </w:rPr>
        <w:t xml:space="preserve">SDC 2003). </w:t>
      </w:r>
      <w:r w:rsidRPr="00D05EA9">
        <w:rPr>
          <w:rFonts w:ascii="Times New Roman" w:eastAsia="Times New Roman" w:hAnsi="Times New Roman" w:cs="Times New Roman"/>
          <w:sz w:val="24"/>
          <w:szCs w:val="24"/>
          <w:lang w:eastAsia="en-GB"/>
        </w:rPr>
        <w:t>It also means meeting the sustainable development needs of the people in a way which delivers social progress, economic growth, environment protection, and a better quality of life (</w:t>
      </w:r>
      <w:r w:rsidR="006526C2" w:rsidRPr="00D05EA9">
        <w:rPr>
          <w:rFonts w:ascii="Times" w:hAnsi="Times" w:cs="Times"/>
          <w:iCs/>
          <w:sz w:val="24"/>
          <w:szCs w:val="24"/>
        </w:rPr>
        <w:t>Erbey and Erbas, 2017;</w:t>
      </w:r>
      <w:r w:rsidR="006526C2" w:rsidRPr="00D05EA9">
        <w:rPr>
          <w:rFonts w:ascii="Times" w:hAnsi="Times" w:cs="Times"/>
          <w:i/>
          <w:iCs/>
          <w:sz w:val="24"/>
          <w:szCs w:val="24"/>
        </w:rPr>
        <w:t xml:space="preserve"> </w:t>
      </w:r>
      <w:r w:rsidR="009714C8" w:rsidRPr="00D05EA9">
        <w:rPr>
          <w:rFonts w:ascii="Times New Roman" w:eastAsia="Times New Roman" w:hAnsi="Times New Roman" w:cs="Times New Roman"/>
          <w:sz w:val="24"/>
          <w:szCs w:val="24"/>
          <w:lang w:eastAsia="en-GB"/>
        </w:rPr>
        <w:t>OG</w:t>
      </w:r>
      <w:r w:rsidR="00117E06" w:rsidRPr="00D05EA9">
        <w:rPr>
          <w:rFonts w:ascii="Times New Roman" w:eastAsia="Times New Roman" w:hAnsi="Times New Roman" w:cs="Times New Roman"/>
          <w:sz w:val="24"/>
          <w:szCs w:val="24"/>
          <w:lang w:eastAsia="en-GB"/>
        </w:rPr>
        <w:t>C 2011</w:t>
      </w:r>
      <w:r w:rsidR="009714C8" w:rsidRPr="00D05EA9">
        <w:rPr>
          <w:rFonts w:ascii="Times New Roman" w:eastAsia="Times New Roman" w:hAnsi="Times New Roman" w:cs="Times New Roman"/>
          <w:sz w:val="24"/>
          <w:szCs w:val="24"/>
          <w:lang w:eastAsia="en-GB"/>
        </w:rPr>
        <w:t xml:space="preserve">; SDC </w:t>
      </w:r>
      <w:r w:rsidRPr="00D05EA9">
        <w:rPr>
          <w:rFonts w:ascii="Times New Roman" w:eastAsia="Times New Roman" w:hAnsi="Times New Roman" w:cs="Times New Roman"/>
          <w:sz w:val="24"/>
          <w:szCs w:val="24"/>
          <w:lang w:eastAsia="en-GB"/>
        </w:rPr>
        <w:t>2003).</w:t>
      </w:r>
      <w:r w:rsidRPr="00D05EA9">
        <w:rPr>
          <w:rFonts w:eastAsia="Times New Roman" w:cs="Times New Roman"/>
          <w:szCs w:val="24"/>
          <w:lang w:eastAsia="en-GB"/>
        </w:rPr>
        <w:t xml:space="preserve"> </w:t>
      </w:r>
      <w:r w:rsidR="004E0DE1" w:rsidRPr="00D05EA9">
        <w:rPr>
          <w:rFonts w:ascii="Times New Roman" w:eastAsia="Times New Roman" w:hAnsi="Times New Roman" w:cs="Times New Roman"/>
          <w:sz w:val="24"/>
          <w:szCs w:val="24"/>
          <w:lang w:val="en-US" w:eastAsia="en-GB"/>
        </w:rPr>
        <w:t xml:space="preserve">In more recent times, there has been a number of research works which sought to study and </w:t>
      </w:r>
      <w:r w:rsidR="004E0DE1" w:rsidRPr="00D05EA9">
        <w:rPr>
          <w:rFonts w:ascii="Times New Roman" w:eastAsia="Times New Roman" w:hAnsi="Times New Roman" w:cs="Times New Roman"/>
          <w:sz w:val="24"/>
          <w:szCs w:val="24"/>
          <w:lang w:eastAsia="en-GB"/>
        </w:rPr>
        <w:t>analyse</w:t>
      </w:r>
      <w:r w:rsidR="004E0DE1" w:rsidRPr="00D05EA9">
        <w:rPr>
          <w:rFonts w:ascii="Times New Roman" w:eastAsia="Times New Roman" w:hAnsi="Times New Roman" w:cs="Times New Roman"/>
          <w:sz w:val="24"/>
          <w:szCs w:val="24"/>
          <w:lang w:val="en-US" w:eastAsia="en-GB"/>
        </w:rPr>
        <w:t xml:space="preserve"> </w:t>
      </w:r>
      <w:r w:rsidR="004E0DE1" w:rsidRPr="00D05EA9">
        <w:rPr>
          <w:rFonts w:ascii="Times New Roman" w:eastAsia="Times New Roman" w:hAnsi="Times New Roman" w:cs="Times New Roman"/>
          <w:sz w:val="24"/>
          <w:szCs w:val="24"/>
          <w:lang w:eastAsia="en-GB"/>
        </w:rPr>
        <w:t>how</w:t>
      </w:r>
      <w:r w:rsidR="004E0DE1" w:rsidRPr="00D05EA9">
        <w:rPr>
          <w:rFonts w:ascii="Times New Roman" w:eastAsia="Times New Roman" w:hAnsi="Times New Roman" w:cs="Times New Roman"/>
          <w:sz w:val="24"/>
          <w:szCs w:val="24"/>
          <w:lang w:val="en-US" w:eastAsia="en-GB"/>
        </w:rPr>
        <w:t xml:space="preserve"> the UK built environment was responding to the challenges of integrating sustainability into regeneration projects (</w:t>
      </w:r>
      <w:r w:rsidR="009714C8" w:rsidRPr="00D05EA9">
        <w:rPr>
          <w:rFonts w:ascii="Times New Roman" w:eastAsia="Times New Roman" w:hAnsi="Times New Roman" w:cs="Times New Roman"/>
          <w:sz w:val="24"/>
          <w:szCs w:val="24"/>
          <w:lang w:val="en-US" w:eastAsia="en-GB"/>
        </w:rPr>
        <w:t xml:space="preserve">Dixon </w:t>
      </w:r>
      <w:r w:rsidR="004E0DE1" w:rsidRPr="00D05EA9">
        <w:rPr>
          <w:rFonts w:ascii="Times New Roman" w:eastAsia="Times New Roman" w:hAnsi="Times New Roman" w:cs="Times New Roman"/>
          <w:sz w:val="24"/>
          <w:szCs w:val="24"/>
          <w:lang w:val="en-US" w:eastAsia="en-GB"/>
        </w:rPr>
        <w:t xml:space="preserve">2006). The </w:t>
      </w:r>
      <w:r w:rsidR="004E0DE1" w:rsidRPr="00D05EA9">
        <w:rPr>
          <w:rFonts w:ascii="Times New Roman" w:eastAsia="Times New Roman" w:hAnsi="Times New Roman" w:cs="Times New Roman"/>
          <w:sz w:val="24"/>
          <w:szCs w:val="24"/>
          <w:lang w:eastAsia="en-GB"/>
        </w:rPr>
        <w:t>Sustainable Development Commission (</w:t>
      </w:r>
      <w:r w:rsidR="009714C8" w:rsidRPr="00D05EA9">
        <w:rPr>
          <w:rFonts w:ascii="Times New Roman" w:eastAsia="Times New Roman" w:hAnsi="Times New Roman" w:cs="Times New Roman"/>
          <w:sz w:val="24"/>
          <w:szCs w:val="24"/>
          <w:lang w:eastAsia="en-GB"/>
        </w:rPr>
        <w:t xml:space="preserve">SDC </w:t>
      </w:r>
      <w:r w:rsidR="004E0DE1" w:rsidRPr="00D05EA9">
        <w:rPr>
          <w:rFonts w:ascii="Times New Roman" w:eastAsia="Times New Roman" w:hAnsi="Times New Roman" w:cs="Times New Roman"/>
          <w:sz w:val="24"/>
          <w:szCs w:val="24"/>
          <w:lang w:eastAsia="en-GB"/>
        </w:rPr>
        <w:t xml:space="preserve">2003), for example, suggested that the development and delivery of regeneration projects has proved to be a testing and on-going challenge for government agencies, construction industry practitioners and communities in which </w:t>
      </w:r>
      <w:r w:rsidR="009714C8" w:rsidRPr="00D05EA9">
        <w:rPr>
          <w:rFonts w:ascii="Times New Roman" w:eastAsia="Times New Roman" w:hAnsi="Times New Roman" w:cs="Times New Roman"/>
          <w:sz w:val="24"/>
          <w:szCs w:val="24"/>
          <w:lang w:eastAsia="en-GB"/>
        </w:rPr>
        <w:t>regeneration projects</w:t>
      </w:r>
      <w:r w:rsidR="004E0DE1" w:rsidRPr="00D05EA9">
        <w:rPr>
          <w:rFonts w:ascii="Times New Roman" w:eastAsia="Times New Roman" w:hAnsi="Times New Roman" w:cs="Times New Roman"/>
          <w:sz w:val="24"/>
          <w:szCs w:val="24"/>
          <w:lang w:eastAsia="en-GB"/>
        </w:rPr>
        <w:t xml:space="preserve"> have been sited. In their seminal work, Jones </w:t>
      </w:r>
      <w:r w:rsidR="004E0DE1" w:rsidRPr="00D05EA9">
        <w:rPr>
          <w:rFonts w:ascii="Times New Roman" w:eastAsia="Times New Roman" w:hAnsi="Times New Roman" w:cs="Times New Roman"/>
          <w:i/>
          <w:iCs/>
          <w:sz w:val="24"/>
          <w:szCs w:val="24"/>
          <w:lang w:eastAsia="en-GB"/>
        </w:rPr>
        <w:lastRenderedPageBreak/>
        <w:t>et al</w:t>
      </w:r>
      <w:r w:rsidR="009714C8" w:rsidRPr="00D05EA9">
        <w:rPr>
          <w:rFonts w:ascii="Times New Roman" w:eastAsia="Times New Roman" w:hAnsi="Times New Roman" w:cs="Times New Roman"/>
          <w:sz w:val="24"/>
          <w:szCs w:val="24"/>
          <w:lang w:eastAsia="en-GB"/>
        </w:rPr>
        <w:t xml:space="preserve">. </w:t>
      </w:r>
      <w:r w:rsidR="004E0DE1" w:rsidRPr="00D05EA9">
        <w:rPr>
          <w:rFonts w:ascii="Times New Roman" w:eastAsia="Times New Roman" w:hAnsi="Times New Roman" w:cs="Times New Roman"/>
          <w:sz w:val="24"/>
          <w:szCs w:val="24"/>
          <w:lang w:eastAsia="en-GB"/>
        </w:rPr>
        <w:t xml:space="preserve">(2003) argued that achieving successful sustainable regeneration has proved to be elusive and difficult to deliver due to lack of understanding and over generalisation of sustainability factors. Winston (2009) for instance, identified many such problems associated with the successful delivery of sustainable regeneration initiatives to be of a social and economic nature rather than the environmental aspects of the projects. </w:t>
      </w:r>
      <w:r w:rsidR="004E0DE1" w:rsidRPr="00D05EA9">
        <w:rPr>
          <w:rFonts w:ascii="Times New Roman" w:hAnsi="Times New Roman" w:cs="Times New Roman"/>
          <w:sz w:val="24"/>
          <w:szCs w:val="24"/>
          <w:lang w:val="en-US"/>
        </w:rPr>
        <w:t xml:space="preserve">The Audit Commission Report (2007) has revealed that many sustainable regeneration projects are yet to have a consistent and positive impact on the most deprived localities in which the projects have been implemented. For example, the report indicated that the level of long-term unemployment in such ‘so called regenerated’ communities has remained static and targeted work to develop skills and access to sustainable jobs and employment for these communities has remained under developed. </w:t>
      </w:r>
    </w:p>
    <w:p w:rsidR="00B77E79" w:rsidRPr="00D05EA9" w:rsidRDefault="004E0DE1" w:rsidP="00F95EDF">
      <w:pPr>
        <w:spacing w:after="0" w:line="480" w:lineRule="auto"/>
        <w:contextualSpacing/>
        <w:jc w:val="both"/>
        <w:rPr>
          <w:rFonts w:ascii="Times New Roman" w:eastAsia="Times New Roman" w:hAnsi="Times New Roman" w:cs="Times New Roman"/>
          <w:sz w:val="24"/>
          <w:szCs w:val="24"/>
          <w:lang w:val="en-US" w:eastAsia="en-GB"/>
        </w:rPr>
      </w:pPr>
      <w:r w:rsidRPr="00D05EA9">
        <w:rPr>
          <w:rFonts w:ascii="Times New Roman" w:eastAsia="Times New Roman" w:hAnsi="Times New Roman" w:cs="Times New Roman"/>
          <w:sz w:val="24"/>
          <w:szCs w:val="24"/>
          <w:lang w:eastAsia="en-GB"/>
        </w:rPr>
        <w:t xml:space="preserve">According to </w:t>
      </w:r>
      <w:r w:rsidR="00532333" w:rsidRPr="00D05EA9">
        <w:rPr>
          <w:rFonts w:ascii="Times New Roman" w:hAnsi="Times New Roman" w:cs="Times New Roman"/>
          <w:sz w:val="24"/>
          <w:szCs w:val="24"/>
        </w:rPr>
        <w:t xml:space="preserve">Afacan (2015) and </w:t>
      </w:r>
      <w:r w:rsidRPr="00D05EA9">
        <w:rPr>
          <w:rFonts w:ascii="Times New Roman" w:eastAsia="Times New Roman" w:hAnsi="Times New Roman" w:cs="Times New Roman"/>
          <w:sz w:val="24"/>
          <w:szCs w:val="24"/>
          <w:lang w:eastAsia="en-GB"/>
        </w:rPr>
        <w:t xml:space="preserve">Brandon and Lombardi (2011), previous works undertaken on sustainable regeneration have shown that they lack a conceptual clarity related to the evaluation of sustainability outcomes of the projects. They argued that most of the existing evaluation methods designed for regeneration projects were based on environmental indicators that were derived from ideas and assumptions of individual practitioners. </w:t>
      </w:r>
      <w:r w:rsidRPr="00D05EA9">
        <w:rPr>
          <w:rFonts w:ascii="Times New Roman" w:eastAsia="Times New Roman" w:hAnsi="Times New Roman" w:cs="Times New Roman"/>
          <w:sz w:val="24"/>
          <w:szCs w:val="24"/>
          <w:lang w:val="en-US" w:eastAsia="en-GB"/>
        </w:rPr>
        <w:t xml:space="preserve">Numerous attempts aimed at delivering sustainable regeneration have primarily been limited to the environmental performance of the projects </w:t>
      </w:r>
      <w:r w:rsidRPr="00D05EA9">
        <w:rPr>
          <w:rFonts w:ascii="Times New Roman" w:hAnsi="Times New Roman" w:cs="Times New Roman"/>
          <w:sz w:val="24"/>
          <w:szCs w:val="24"/>
        </w:rPr>
        <w:t>(</w:t>
      </w:r>
      <w:r w:rsidR="003D4A27" w:rsidRPr="00D05EA9">
        <w:rPr>
          <w:rFonts w:ascii="Times New Roman" w:hAnsi="Times New Roman" w:cs="Times New Roman"/>
          <w:sz w:val="24"/>
          <w:szCs w:val="24"/>
        </w:rPr>
        <w:t>Abdel-Raheem and Ramsbottom 2016;</w:t>
      </w:r>
      <w:r w:rsidR="003D4A27" w:rsidRPr="00D05EA9">
        <w:t xml:space="preserve"> </w:t>
      </w:r>
      <w:r w:rsidRPr="00D05EA9">
        <w:rPr>
          <w:rFonts w:ascii="Times New Roman" w:hAnsi="Times New Roman" w:cs="Times New Roman"/>
          <w:sz w:val="24"/>
          <w:szCs w:val="24"/>
        </w:rPr>
        <w:t xml:space="preserve">Reyes </w:t>
      </w:r>
      <w:r w:rsidR="009714C8" w:rsidRPr="00D05EA9">
        <w:rPr>
          <w:rFonts w:ascii="Times New Roman" w:hAnsi="Times New Roman" w:cs="Times New Roman"/>
          <w:i/>
          <w:sz w:val="24"/>
          <w:szCs w:val="24"/>
        </w:rPr>
        <w:t xml:space="preserve">et al. </w:t>
      </w:r>
      <w:r w:rsidRPr="00D05EA9">
        <w:rPr>
          <w:rFonts w:ascii="Times New Roman" w:hAnsi="Times New Roman" w:cs="Times New Roman"/>
          <w:sz w:val="24"/>
          <w:szCs w:val="24"/>
        </w:rPr>
        <w:t>2014)</w:t>
      </w:r>
      <w:r w:rsidRPr="00D05EA9">
        <w:rPr>
          <w:rFonts w:ascii="Times New Roman" w:hAnsi="Times New Roman" w:cs="Times New Roman"/>
          <w:sz w:val="24"/>
          <w:szCs w:val="24"/>
          <w:lang w:val="en-US"/>
        </w:rPr>
        <w:t>.</w:t>
      </w:r>
      <w:r w:rsidRPr="00D05EA9">
        <w:rPr>
          <w:rFonts w:ascii="Times New Roman" w:eastAsia="Times New Roman" w:hAnsi="Times New Roman" w:cs="Times New Roman"/>
          <w:sz w:val="24"/>
          <w:szCs w:val="24"/>
          <w:lang w:eastAsia="en-GB"/>
        </w:rPr>
        <w:t xml:space="preserve"> Although a number of evaluation systems have been developed over the period, their focus and considerations have largely remained limited to evaluating the environmental impacts of the projects. Many of</w:t>
      </w:r>
      <w:r w:rsidRPr="00D05EA9">
        <w:rPr>
          <w:rFonts w:ascii="Times New Roman" w:eastAsia="Times New Roman" w:hAnsi="Times New Roman" w:cs="Times New Roman"/>
          <w:sz w:val="24"/>
          <w:szCs w:val="24"/>
          <w:lang w:val="en-US" w:eastAsia="en-GB"/>
        </w:rPr>
        <w:t xml:space="preserve"> the earlier regeneration initiatives that were meant to address socio-economic disparities have focused on improving the environmental aspects of regeneration. This has resulted in many sustainable regeneration projects’ inability to deliver their required sustainability objectives.</w:t>
      </w:r>
    </w:p>
    <w:p w:rsidR="00AA5BB3" w:rsidRPr="00D05EA9" w:rsidRDefault="00AA5BB3" w:rsidP="00F95EDF">
      <w:pPr>
        <w:spacing w:after="0" w:line="480" w:lineRule="auto"/>
        <w:contextualSpacing/>
        <w:jc w:val="both"/>
        <w:rPr>
          <w:rFonts w:ascii="Times New Roman" w:eastAsia="Times New Roman" w:hAnsi="Times New Roman" w:cs="Times New Roman"/>
          <w:sz w:val="24"/>
          <w:szCs w:val="24"/>
          <w:lang w:eastAsia="en-GB"/>
        </w:rPr>
      </w:pPr>
      <w:r w:rsidRPr="00D05EA9">
        <w:rPr>
          <w:rFonts w:ascii="Times New Roman" w:eastAsia="Times New Roman" w:hAnsi="Times New Roman" w:cs="Times New Roman"/>
          <w:sz w:val="24"/>
          <w:szCs w:val="24"/>
          <w:lang w:eastAsia="en-GB"/>
        </w:rPr>
        <w:lastRenderedPageBreak/>
        <w:t>However, it has been suggested that improving the socio-economic sustainability aspects of regeneration projects can potentially enable sustainable regeneration projects to deliver better sustainability outcomes to address the socio-economic disparities that were entrenched in the communities (</w:t>
      </w:r>
      <w:r w:rsidRPr="00D05EA9">
        <w:rPr>
          <w:rFonts w:ascii="Times New Roman" w:hAnsi="Times New Roman" w:cs="Times New Roman"/>
          <w:sz w:val="24"/>
          <w:szCs w:val="24"/>
          <w:lang w:val="en-US"/>
        </w:rPr>
        <w:t xml:space="preserve">Haran </w:t>
      </w:r>
      <w:r w:rsidRPr="00D05EA9">
        <w:rPr>
          <w:rFonts w:ascii="Times New Roman" w:hAnsi="Times New Roman" w:cs="Times New Roman"/>
          <w:i/>
          <w:sz w:val="24"/>
          <w:szCs w:val="24"/>
          <w:lang w:val="en-US"/>
        </w:rPr>
        <w:t>et al.</w:t>
      </w:r>
      <w:r w:rsidR="009714C8" w:rsidRPr="00D05EA9">
        <w:rPr>
          <w:rFonts w:ascii="Times New Roman" w:hAnsi="Times New Roman" w:cs="Times New Roman"/>
          <w:sz w:val="24"/>
          <w:szCs w:val="24"/>
          <w:lang w:val="en-US"/>
        </w:rPr>
        <w:t xml:space="preserve"> </w:t>
      </w:r>
      <w:r w:rsidRPr="00D05EA9">
        <w:rPr>
          <w:rFonts w:ascii="Times New Roman" w:hAnsi="Times New Roman" w:cs="Times New Roman"/>
          <w:sz w:val="24"/>
          <w:szCs w:val="24"/>
          <w:lang w:val="en-US"/>
        </w:rPr>
        <w:t xml:space="preserve">2011; </w:t>
      </w:r>
      <w:r w:rsidR="009714C8" w:rsidRPr="00D05EA9">
        <w:rPr>
          <w:rFonts w:ascii="Times New Roman" w:eastAsia="Times New Roman" w:hAnsi="Times New Roman" w:cs="Times New Roman"/>
          <w:bCs/>
          <w:sz w:val="24"/>
          <w:szCs w:val="24"/>
          <w:lang w:eastAsia="en-GB"/>
        </w:rPr>
        <w:t xml:space="preserve">Adamson </w:t>
      </w:r>
      <w:r w:rsidRPr="00D05EA9">
        <w:rPr>
          <w:rFonts w:ascii="Times New Roman" w:eastAsia="Times New Roman" w:hAnsi="Times New Roman" w:cs="Times New Roman"/>
          <w:bCs/>
          <w:sz w:val="24"/>
          <w:szCs w:val="24"/>
          <w:lang w:eastAsia="en-GB"/>
        </w:rPr>
        <w:t>2010;</w:t>
      </w:r>
      <w:r w:rsidRPr="00D05EA9">
        <w:rPr>
          <w:rFonts w:ascii="Times New Roman" w:hAnsi="Times New Roman" w:cs="Times New Roman"/>
          <w:sz w:val="24"/>
          <w:szCs w:val="24"/>
          <w:lang w:val="en-US"/>
        </w:rPr>
        <w:t xml:space="preserve"> </w:t>
      </w:r>
      <w:r w:rsidR="009714C8" w:rsidRPr="00D05EA9">
        <w:rPr>
          <w:rFonts w:ascii="Times New Roman" w:hAnsi="Times New Roman" w:cs="Times New Roman"/>
          <w:sz w:val="24"/>
          <w:szCs w:val="24"/>
          <w:lang w:val="en-US"/>
        </w:rPr>
        <w:t xml:space="preserve">CLG </w:t>
      </w:r>
      <w:r w:rsidRPr="00D05EA9">
        <w:rPr>
          <w:rFonts w:ascii="Times New Roman" w:hAnsi="Times New Roman" w:cs="Times New Roman"/>
          <w:sz w:val="24"/>
          <w:szCs w:val="24"/>
          <w:lang w:val="en-US"/>
        </w:rPr>
        <w:t xml:space="preserve">2008; </w:t>
      </w:r>
      <w:r w:rsidR="009714C8" w:rsidRPr="00D05EA9">
        <w:rPr>
          <w:rFonts w:ascii="Times New Roman" w:eastAsia="Times New Roman" w:hAnsi="Times New Roman" w:cs="Times New Roman"/>
          <w:sz w:val="24"/>
          <w:szCs w:val="24"/>
          <w:lang w:eastAsia="en-GB"/>
        </w:rPr>
        <w:t xml:space="preserve">SDC </w:t>
      </w:r>
      <w:r w:rsidRPr="00D05EA9">
        <w:rPr>
          <w:rFonts w:ascii="Times New Roman" w:eastAsia="Times New Roman" w:hAnsi="Times New Roman" w:cs="Times New Roman"/>
          <w:sz w:val="24"/>
          <w:szCs w:val="24"/>
          <w:lang w:eastAsia="en-GB"/>
        </w:rPr>
        <w:t xml:space="preserve">2003). In this regard, </w:t>
      </w:r>
      <w:r w:rsidR="00787C30" w:rsidRPr="00D05EA9">
        <w:rPr>
          <w:rFonts w:ascii="Times New Roman" w:hAnsi="Times New Roman" w:cs="Times New Roman"/>
          <w:sz w:val="24"/>
          <w:szCs w:val="24"/>
        </w:rPr>
        <w:t xml:space="preserve">Abdel-Raheem and Ramsbottom (2016) and </w:t>
      </w:r>
      <w:r w:rsidRPr="00D05EA9">
        <w:rPr>
          <w:rFonts w:ascii="Times New Roman" w:hAnsi="Times New Roman" w:cs="Times New Roman"/>
          <w:sz w:val="24"/>
          <w:szCs w:val="24"/>
          <w:lang w:val="en-US"/>
        </w:rPr>
        <w:t>Smith (2006</w:t>
      </w:r>
      <w:r w:rsidR="00AE7A7F" w:rsidRPr="00D05EA9">
        <w:rPr>
          <w:rFonts w:ascii="Times New Roman" w:hAnsi="Times New Roman" w:cs="Times New Roman"/>
          <w:sz w:val="24"/>
          <w:szCs w:val="24"/>
          <w:lang w:val="en-US"/>
        </w:rPr>
        <w:t xml:space="preserve">) argued that sustainability </w:t>
      </w:r>
      <w:r w:rsidRPr="00D05EA9">
        <w:rPr>
          <w:rFonts w:ascii="Times New Roman" w:hAnsi="Times New Roman" w:cs="Times New Roman"/>
          <w:sz w:val="24"/>
          <w:szCs w:val="24"/>
          <w:lang w:val="en-US"/>
        </w:rPr>
        <w:t>projects should not only focus on addressing environmental aspects, but should also consider the broader issues of social and economic sustainability factors of the projects as well.</w:t>
      </w:r>
      <w:r w:rsidRPr="00D05EA9">
        <w:rPr>
          <w:rFonts w:ascii="Times New Roman" w:hAnsi="Times New Roman" w:cs="Times New Roman"/>
          <w:sz w:val="24"/>
          <w:szCs w:val="24"/>
        </w:rPr>
        <w:t xml:space="preserve"> </w:t>
      </w:r>
      <w:r w:rsidRPr="00D05EA9">
        <w:rPr>
          <w:rFonts w:ascii="Times New Roman" w:eastAsia="Times New Roman" w:hAnsi="Times New Roman" w:cs="Times New Roman"/>
          <w:sz w:val="24"/>
          <w:szCs w:val="24"/>
          <w:lang w:eastAsia="en-GB"/>
        </w:rPr>
        <w:t xml:space="preserve">Similarly it is also suggested that </w:t>
      </w:r>
      <w:r w:rsidRPr="00D05EA9">
        <w:rPr>
          <w:rFonts w:ascii="Times New Roman" w:hAnsi="Times New Roman" w:cs="Times New Roman"/>
          <w:sz w:val="24"/>
          <w:szCs w:val="24"/>
          <w:lang w:val="en-US"/>
        </w:rPr>
        <w:t>sustainable regeneration projects can reinforce a sense of community confidence, make an important contribution to the local economy and act as a catalyst for improving the wider area (</w:t>
      </w:r>
      <w:r w:rsidR="00B77E79" w:rsidRPr="00D05EA9">
        <w:rPr>
          <w:rFonts w:ascii="Times New Roman" w:hAnsi="Times New Roman" w:cs="Times New Roman"/>
          <w:sz w:val="24"/>
          <w:szCs w:val="24"/>
        </w:rPr>
        <w:t xml:space="preserve">Afacan 2015; </w:t>
      </w:r>
      <w:r w:rsidR="009714C8" w:rsidRPr="00D05EA9">
        <w:rPr>
          <w:rFonts w:ascii="Times New Roman" w:hAnsi="Times New Roman" w:cs="Times New Roman"/>
          <w:sz w:val="24"/>
          <w:szCs w:val="24"/>
          <w:lang w:val="en-US"/>
        </w:rPr>
        <w:t xml:space="preserve">ODPM </w:t>
      </w:r>
      <w:r w:rsidRPr="00D05EA9">
        <w:rPr>
          <w:rFonts w:ascii="Times New Roman" w:hAnsi="Times New Roman" w:cs="Times New Roman"/>
          <w:sz w:val="24"/>
          <w:szCs w:val="24"/>
          <w:lang w:val="en-US"/>
        </w:rPr>
        <w:t>2005), if the social and economic sustainability deliverables are well incorporated and delivered as an outcome of the projects.</w:t>
      </w:r>
      <w:r w:rsidRPr="00D05EA9">
        <w:rPr>
          <w:rFonts w:ascii="Times New Roman" w:eastAsia="Times New Roman" w:hAnsi="Times New Roman" w:cs="Times New Roman"/>
          <w:sz w:val="24"/>
          <w:szCs w:val="24"/>
          <w:lang w:eastAsia="en-GB"/>
        </w:rPr>
        <w:t xml:space="preserve"> </w:t>
      </w:r>
      <w:r w:rsidRPr="00D05EA9">
        <w:rPr>
          <w:rFonts w:ascii="Times New Roman" w:hAnsi="Times New Roman" w:cs="Times New Roman"/>
          <w:sz w:val="24"/>
          <w:szCs w:val="24"/>
          <w:lang w:val="en-US"/>
        </w:rPr>
        <w:t xml:space="preserve">However, this will require innovative practices and </w:t>
      </w:r>
      <w:r w:rsidRPr="00D05EA9">
        <w:rPr>
          <w:rFonts w:ascii="Times New Roman" w:eastAsia="Times New Roman" w:hAnsi="Times New Roman" w:cs="Times New Roman"/>
          <w:sz w:val="24"/>
          <w:szCs w:val="24"/>
          <w:lang w:eastAsia="en-GB"/>
        </w:rPr>
        <w:t xml:space="preserve">evaluation systems </w:t>
      </w:r>
      <w:r w:rsidRPr="00D05EA9">
        <w:rPr>
          <w:rFonts w:ascii="Times New Roman" w:hAnsi="Times New Roman" w:cs="Times New Roman"/>
          <w:sz w:val="24"/>
          <w:szCs w:val="24"/>
          <w:lang w:val="en-US"/>
        </w:rPr>
        <w:t>that are capable of embracing other dimensions beyond the current consideration of sustainability, and not the one that just focuses only on environmental dimension (</w:t>
      </w:r>
      <w:r w:rsidR="00E9462F" w:rsidRPr="00D05EA9">
        <w:rPr>
          <w:rFonts w:ascii="Times New Roman" w:hAnsi="Times New Roman" w:cs="Times New Roman"/>
          <w:sz w:val="24"/>
          <w:szCs w:val="24"/>
        </w:rPr>
        <w:t xml:space="preserve">Abdel-Raheem and Ramsbottom, </w:t>
      </w:r>
      <w:r w:rsidR="00927F8A" w:rsidRPr="00D05EA9">
        <w:rPr>
          <w:rFonts w:ascii="Times New Roman" w:hAnsi="Times New Roman" w:cs="Times New Roman"/>
          <w:sz w:val="24"/>
          <w:szCs w:val="24"/>
        </w:rPr>
        <w:t xml:space="preserve">2016; </w:t>
      </w:r>
      <w:r w:rsidR="009714C8" w:rsidRPr="00D05EA9">
        <w:rPr>
          <w:rFonts w:ascii="Times New Roman" w:hAnsi="Times New Roman" w:cs="Times New Roman"/>
          <w:sz w:val="24"/>
          <w:szCs w:val="24"/>
          <w:lang w:val="en-US"/>
        </w:rPr>
        <w:t xml:space="preserve">Dixon </w:t>
      </w:r>
      <w:r w:rsidRPr="00D05EA9">
        <w:rPr>
          <w:rFonts w:ascii="Times New Roman" w:hAnsi="Times New Roman" w:cs="Times New Roman"/>
          <w:sz w:val="24"/>
          <w:szCs w:val="24"/>
          <w:lang w:val="en-US"/>
        </w:rPr>
        <w:t xml:space="preserve">2006; </w:t>
      </w:r>
      <w:r w:rsidR="009714C8" w:rsidRPr="00D05EA9">
        <w:rPr>
          <w:rFonts w:ascii="Times New Roman" w:hAnsi="Times New Roman" w:cs="Times New Roman"/>
          <w:sz w:val="24"/>
          <w:szCs w:val="24"/>
          <w:lang w:val="en-US"/>
        </w:rPr>
        <w:t xml:space="preserve">SDC </w:t>
      </w:r>
      <w:r w:rsidRPr="00D05EA9">
        <w:rPr>
          <w:rFonts w:ascii="Times New Roman" w:hAnsi="Times New Roman" w:cs="Times New Roman"/>
          <w:sz w:val="24"/>
          <w:szCs w:val="24"/>
          <w:lang w:val="en-US"/>
        </w:rPr>
        <w:t>2003</w:t>
      </w:r>
      <w:r w:rsidRPr="00D05EA9">
        <w:rPr>
          <w:rFonts w:ascii="Times New Roman" w:hAnsi="Times New Roman" w:cs="Times New Roman"/>
          <w:bCs/>
          <w:sz w:val="24"/>
          <w:szCs w:val="24"/>
          <w:lang w:val="en-US"/>
        </w:rPr>
        <w:t>).</w:t>
      </w:r>
      <w:r w:rsidRPr="00D05EA9">
        <w:rPr>
          <w:rFonts w:ascii="Times New Roman" w:eastAsia="Times New Roman" w:hAnsi="Times New Roman" w:cs="Times New Roman"/>
          <w:sz w:val="24"/>
          <w:szCs w:val="24"/>
          <w:lang w:eastAsia="en-GB"/>
        </w:rPr>
        <w:t xml:space="preserve"> In this regard the built environment practitioners also have a key role to play in ensuring that sustainable regeneration projects deliver their required socio-economic sustainability benefits.  </w:t>
      </w:r>
    </w:p>
    <w:p w:rsidR="007764D5" w:rsidRPr="00D05EA9" w:rsidRDefault="007764D5" w:rsidP="00CF3959">
      <w:pPr>
        <w:spacing w:after="120" w:line="240" w:lineRule="auto"/>
        <w:contextualSpacing/>
        <w:rPr>
          <w:rFonts w:ascii="Times New Roman" w:hAnsi="Times New Roman" w:cs="Times New Roman"/>
          <w:b/>
          <w:bCs/>
          <w:sz w:val="24"/>
          <w:szCs w:val="24"/>
        </w:rPr>
      </w:pPr>
    </w:p>
    <w:p w:rsidR="000F799A" w:rsidRPr="00D05EA9" w:rsidRDefault="007764D5" w:rsidP="007764D5">
      <w:pPr>
        <w:pStyle w:val="ListParagraph"/>
        <w:numPr>
          <w:ilvl w:val="0"/>
          <w:numId w:val="8"/>
        </w:numPr>
        <w:spacing w:after="120" w:line="240" w:lineRule="auto"/>
        <w:rPr>
          <w:rFonts w:ascii="Times New Roman" w:hAnsi="Times New Roman" w:cs="Times New Roman"/>
          <w:b/>
          <w:bCs/>
          <w:sz w:val="24"/>
          <w:szCs w:val="24"/>
        </w:rPr>
      </w:pPr>
      <w:r w:rsidRPr="00D05EA9">
        <w:rPr>
          <w:rFonts w:ascii="Times New Roman" w:hAnsi="Times New Roman" w:cs="Times New Roman"/>
          <w:b/>
          <w:bCs/>
          <w:sz w:val="24"/>
          <w:szCs w:val="24"/>
        </w:rPr>
        <w:t>Involvement of key p</w:t>
      </w:r>
      <w:r w:rsidR="000F799A" w:rsidRPr="00D05EA9">
        <w:rPr>
          <w:rFonts w:ascii="Times New Roman" w:hAnsi="Times New Roman" w:cs="Times New Roman"/>
          <w:b/>
          <w:bCs/>
          <w:sz w:val="24"/>
          <w:szCs w:val="24"/>
        </w:rPr>
        <w:t>layers (Practitioners) in Sustainable Regeneration Projects</w:t>
      </w:r>
      <w:bookmarkEnd w:id="0"/>
      <w:bookmarkEnd w:id="1"/>
      <w:bookmarkEnd w:id="2"/>
      <w:bookmarkEnd w:id="3"/>
    </w:p>
    <w:p w:rsidR="00056745" w:rsidRPr="00D05EA9" w:rsidRDefault="000F799A" w:rsidP="00C236AE">
      <w:pPr>
        <w:autoSpaceDE w:val="0"/>
        <w:autoSpaceDN w:val="0"/>
        <w:adjustRightInd w:val="0"/>
        <w:spacing w:after="0" w:line="480" w:lineRule="auto"/>
        <w:jc w:val="both"/>
        <w:rPr>
          <w:rFonts w:ascii="Times New Roman" w:hAnsi="Times New Roman" w:cs="Times New Roman"/>
          <w:sz w:val="24"/>
          <w:szCs w:val="24"/>
        </w:rPr>
      </w:pPr>
      <w:r w:rsidRPr="00D05EA9">
        <w:rPr>
          <w:rFonts w:ascii="Times New Roman" w:hAnsi="Times New Roman" w:cs="Times New Roman"/>
          <w:sz w:val="24"/>
          <w:szCs w:val="24"/>
        </w:rPr>
        <w:t xml:space="preserve">In the context of </w:t>
      </w:r>
      <w:r w:rsidR="00EF62E2" w:rsidRPr="00D05EA9">
        <w:rPr>
          <w:rFonts w:ascii="Times New Roman" w:hAnsi="Times New Roman" w:cs="Times New Roman"/>
          <w:sz w:val="24"/>
          <w:szCs w:val="24"/>
        </w:rPr>
        <w:t xml:space="preserve">sustainable </w:t>
      </w:r>
      <w:r w:rsidRPr="00D05EA9">
        <w:rPr>
          <w:rFonts w:ascii="Times New Roman" w:hAnsi="Times New Roman" w:cs="Times New Roman"/>
          <w:sz w:val="24"/>
          <w:szCs w:val="24"/>
        </w:rPr>
        <w:t>regeneration, the involvement of key players in the delivery of projects is fundamental to the projects’ sustainability outcomes.</w:t>
      </w:r>
      <w:r w:rsidR="00383E5E" w:rsidRPr="00D05EA9">
        <w:rPr>
          <w:rFonts w:ascii="Times New Roman" w:hAnsi="Times New Roman" w:cs="Times New Roman"/>
          <w:sz w:val="24"/>
          <w:szCs w:val="24"/>
        </w:rPr>
        <w:t xml:space="preserve"> Afacan (2015: 222) noted that, often times, “regeneration processes are undertaken with inadequate involvement of relevant stakeholders and without planning for all sustainability issues”. </w:t>
      </w:r>
      <w:r w:rsidRPr="00D05EA9">
        <w:rPr>
          <w:rFonts w:ascii="Times New Roman" w:hAnsi="Times New Roman" w:cs="Times New Roman"/>
          <w:sz w:val="24"/>
          <w:szCs w:val="24"/>
        </w:rPr>
        <w:t xml:space="preserve">It is important to establish the roles and the level of involvement of practitioners, as these are crucial towards the adoption and </w:t>
      </w:r>
      <w:r w:rsidRPr="00D05EA9">
        <w:rPr>
          <w:rFonts w:ascii="Times New Roman" w:hAnsi="Times New Roman" w:cs="Times New Roman"/>
          <w:bCs/>
          <w:sz w:val="24"/>
          <w:szCs w:val="24"/>
        </w:rPr>
        <w:t xml:space="preserve">implementation </w:t>
      </w:r>
      <w:r w:rsidRPr="00D05EA9">
        <w:rPr>
          <w:rFonts w:ascii="Times New Roman" w:hAnsi="Times New Roman" w:cs="Times New Roman"/>
          <w:sz w:val="24"/>
          <w:szCs w:val="24"/>
        </w:rPr>
        <w:t xml:space="preserve">of sustainability features in regeneration projects. Conventionally, the interactions and linkages between these key players ultimately influence </w:t>
      </w:r>
      <w:r w:rsidRPr="00D05EA9">
        <w:rPr>
          <w:rFonts w:ascii="Times New Roman" w:hAnsi="Times New Roman" w:cs="Times New Roman"/>
          <w:sz w:val="24"/>
          <w:szCs w:val="24"/>
        </w:rPr>
        <w:lastRenderedPageBreak/>
        <w:t>and determine the overall performance of the projects (</w:t>
      </w:r>
      <w:r w:rsidR="009746B7" w:rsidRPr="00D05EA9">
        <w:rPr>
          <w:rFonts w:ascii="Times New Roman" w:hAnsi="Times New Roman" w:cs="Times New Roman"/>
          <w:sz w:val="24"/>
          <w:szCs w:val="24"/>
        </w:rPr>
        <w:t xml:space="preserve">Takim </w:t>
      </w:r>
      <w:r w:rsidRPr="00D05EA9">
        <w:rPr>
          <w:rFonts w:ascii="Times New Roman" w:hAnsi="Times New Roman" w:cs="Times New Roman"/>
          <w:sz w:val="24"/>
          <w:szCs w:val="24"/>
        </w:rPr>
        <w:t xml:space="preserve">2009). It has also been argued that engaging key practitioners appropriately in </w:t>
      </w:r>
      <w:r w:rsidR="002D636A" w:rsidRPr="00D05EA9">
        <w:rPr>
          <w:rFonts w:ascii="Times New Roman" w:hAnsi="Times New Roman" w:cs="Times New Roman"/>
          <w:sz w:val="24"/>
          <w:szCs w:val="24"/>
        </w:rPr>
        <w:t xml:space="preserve">the </w:t>
      </w:r>
      <w:r w:rsidRPr="00D05EA9">
        <w:rPr>
          <w:rFonts w:ascii="Times New Roman" w:hAnsi="Times New Roman" w:cs="Times New Roman"/>
          <w:sz w:val="24"/>
          <w:szCs w:val="24"/>
        </w:rPr>
        <w:t>project delivery processes can help to influence efforts towards the adoption and implementation of a wide range of sustainability deliverables for the projects (</w:t>
      </w:r>
      <w:r w:rsidR="009746B7" w:rsidRPr="00D05EA9">
        <w:rPr>
          <w:rFonts w:ascii="Times New Roman" w:hAnsi="Times New Roman" w:cs="Times New Roman"/>
          <w:sz w:val="24"/>
          <w:szCs w:val="24"/>
        </w:rPr>
        <w:t xml:space="preserve">Mathur </w:t>
      </w:r>
      <w:r w:rsidR="009746B7" w:rsidRPr="00D05EA9">
        <w:rPr>
          <w:rFonts w:ascii="Times New Roman" w:hAnsi="Times New Roman" w:cs="Times New Roman"/>
          <w:i/>
          <w:iCs/>
          <w:sz w:val="24"/>
          <w:szCs w:val="24"/>
        </w:rPr>
        <w:t xml:space="preserve">et al. </w:t>
      </w:r>
      <w:r w:rsidR="00842529" w:rsidRPr="00D05EA9">
        <w:rPr>
          <w:rFonts w:ascii="Times New Roman" w:hAnsi="Times New Roman" w:cs="Times New Roman"/>
          <w:sz w:val="24"/>
          <w:szCs w:val="24"/>
        </w:rPr>
        <w:t>2008)</w:t>
      </w:r>
      <w:r w:rsidR="00DD23D9" w:rsidRPr="00D05EA9">
        <w:rPr>
          <w:rFonts w:ascii="Times New Roman" w:hAnsi="Times New Roman" w:cs="Times New Roman"/>
          <w:sz w:val="24"/>
          <w:szCs w:val="24"/>
        </w:rPr>
        <w:t>.</w:t>
      </w:r>
    </w:p>
    <w:p w:rsidR="00C330B7" w:rsidRPr="00D05EA9" w:rsidRDefault="000F799A" w:rsidP="00C236AE">
      <w:pPr>
        <w:spacing w:after="12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 xml:space="preserve">Sustainable </w:t>
      </w:r>
      <w:r w:rsidR="00EA08E1" w:rsidRPr="00D05EA9">
        <w:rPr>
          <w:rFonts w:ascii="Times New Roman" w:hAnsi="Times New Roman" w:cs="Times New Roman"/>
          <w:sz w:val="24"/>
          <w:szCs w:val="24"/>
        </w:rPr>
        <w:t>construction projects, and in particular regeneration projects, consists</w:t>
      </w:r>
      <w:r w:rsidRPr="00D05EA9">
        <w:rPr>
          <w:rFonts w:ascii="Times New Roman" w:hAnsi="Times New Roman" w:cs="Times New Roman"/>
          <w:sz w:val="24"/>
          <w:szCs w:val="24"/>
        </w:rPr>
        <w:t xml:space="preserve"> of a number of complex and interactive activities which require a number of practitioners to deliver them. It has been said that sustainability features in regeneration projects are multifaceted and often subjected to different processes and interpretations during different stages of the project, and therefore require a collective approach to drive the sustainability processes of the projects. </w:t>
      </w:r>
      <w:r w:rsidR="009B3D13" w:rsidRPr="00D05EA9">
        <w:rPr>
          <w:rFonts w:ascii="Times New Roman" w:hAnsi="Times New Roman" w:cs="Times New Roman"/>
          <w:sz w:val="24"/>
          <w:szCs w:val="24"/>
        </w:rPr>
        <w:t xml:space="preserve">Missimer; </w:t>
      </w:r>
      <w:r w:rsidR="009B3D13" w:rsidRPr="00D05EA9">
        <w:rPr>
          <w:rFonts w:ascii="Times New Roman" w:hAnsi="Times New Roman" w:cs="Times New Roman"/>
          <w:i/>
          <w:sz w:val="24"/>
          <w:szCs w:val="24"/>
        </w:rPr>
        <w:t>et al</w:t>
      </w:r>
      <w:r w:rsidR="009B3D13" w:rsidRPr="00D05EA9">
        <w:rPr>
          <w:rFonts w:ascii="Times New Roman" w:hAnsi="Times New Roman" w:cs="Times New Roman"/>
          <w:sz w:val="24"/>
          <w:szCs w:val="24"/>
        </w:rPr>
        <w:t>, (2017)</w:t>
      </w:r>
      <w:r w:rsidR="009B3D13" w:rsidRPr="00D05EA9">
        <w:rPr>
          <w:rFonts w:ascii="Arial" w:hAnsi="Arial" w:cs="Arial"/>
        </w:rPr>
        <w:t xml:space="preserve"> </w:t>
      </w:r>
      <w:r w:rsidR="009B3D13" w:rsidRPr="00D05EA9">
        <w:rPr>
          <w:rFonts w:ascii="Times New Roman" w:hAnsi="Times New Roman" w:cs="Times New Roman"/>
          <w:sz w:val="24"/>
          <w:szCs w:val="24"/>
        </w:rPr>
        <w:t>and</w:t>
      </w:r>
      <w:r w:rsidR="009B3D13" w:rsidRPr="00D05EA9">
        <w:rPr>
          <w:rFonts w:ascii="Arial" w:hAnsi="Arial" w:cs="Arial"/>
        </w:rPr>
        <w:t xml:space="preserve"> </w:t>
      </w:r>
      <w:r w:rsidR="009746B7" w:rsidRPr="00D05EA9">
        <w:rPr>
          <w:rFonts w:ascii="Times New Roman" w:hAnsi="Times New Roman" w:cs="Times New Roman"/>
          <w:sz w:val="24"/>
          <w:szCs w:val="24"/>
        </w:rPr>
        <w:t xml:space="preserve">Feige </w:t>
      </w:r>
      <w:r w:rsidRPr="00D05EA9">
        <w:rPr>
          <w:rFonts w:ascii="Times New Roman" w:hAnsi="Times New Roman" w:cs="Times New Roman"/>
          <w:i/>
          <w:iCs/>
          <w:sz w:val="24"/>
          <w:szCs w:val="24"/>
        </w:rPr>
        <w:t>et al.</w:t>
      </w:r>
      <w:r w:rsidRPr="00D05EA9">
        <w:rPr>
          <w:rFonts w:ascii="Times New Roman" w:hAnsi="Times New Roman" w:cs="Times New Roman"/>
          <w:sz w:val="24"/>
          <w:szCs w:val="24"/>
        </w:rPr>
        <w:t xml:space="preserve"> (2011) pointed out that the sustainability concept in itself causes various forms of challenges to different groups of practitioners</w:t>
      </w:r>
      <w:r w:rsidR="00382007" w:rsidRPr="00D05EA9">
        <w:rPr>
          <w:rFonts w:ascii="Times New Roman" w:hAnsi="Times New Roman" w:cs="Times New Roman"/>
          <w:sz w:val="24"/>
          <w:szCs w:val="24"/>
        </w:rPr>
        <w:t xml:space="preserve"> and stakeholders</w:t>
      </w:r>
      <w:r w:rsidRPr="00D05EA9">
        <w:rPr>
          <w:rFonts w:ascii="Times New Roman" w:hAnsi="Times New Roman" w:cs="Times New Roman"/>
          <w:sz w:val="24"/>
          <w:szCs w:val="24"/>
        </w:rPr>
        <w:t xml:space="preserve">. According to Mathur </w:t>
      </w:r>
      <w:r w:rsidRPr="00D05EA9">
        <w:rPr>
          <w:rFonts w:ascii="Times New Roman" w:hAnsi="Times New Roman" w:cs="Times New Roman"/>
          <w:i/>
          <w:iCs/>
          <w:sz w:val="24"/>
          <w:szCs w:val="24"/>
        </w:rPr>
        <w:t>et al.</w:t>
      </w:r>
      <w:r w:rsidRPr="00D05EA9">
        <w:rPr>
          <w:rFonts w:ascii="Times New Roman" w:hAnsi="Times New Roman" w:cs="Times New Roman"/>
          <w:sz w:val="24"/>
          <w:szCs w:val="24"/>
        </w:rPr>
        <w:t xml:space="preserve"> (2008), the contesting nature of sustainability issues and the benefits associated with the delivery of sustainability projects, provide a compelling case to effectively engage key players in their delivery processes. The processes and activities involved in delivering sustai</w:t>
      </w:r>
      <w:r w:rsidR="007764D5" w:rsidRPr="00D05EA9">
        <w:rPr>
          <w:rFonts w:ascii="Times New Roman" w:hAnsi="Times New Roman" w:cs="Times New Roman"/>
          <w:sz w:val="24"/>
          <w:szCs w:val="24"/>
        </w:rPr>
        <w:t xml:space="preserve">nable regeneration projects are </w:t>
      </w:r>
      <w:r w:rsidRPr="00D05EA9">
        <w:rPr>
          <w:rFonts w:ascii="Times New Roman" w:hAnsi="Times New Roman" w:cs="Times New Roman"/>
          <w:sz w:val="24"/>
          <w:szCs w:val="24"/>
        </w:rPr>
        <w:t>often considered as complicated</w:t>
      </w:r>
      <w:r w:rsidR="00380D71" w:rsidRPr="00D05EA9">
        <w:rPr>
          <w:rFonts w:ascii="Times New Roman" w:hAnsi="Times New Roman" w:cs="Times New Roman"/>
          <w:sz w:val="24"/>
          <w:szCs w:val="24"/>
        </w:rPr>
        <w:t xml:space="preserve"> (Jung </w:t>
      </w:r>
      <w:r w:rsidR="00380D71" w:rsidRPr="00D05EA9">
        <w:rPr>
          <w:rFonts w:ascii="Times New Roman" w:hAnsi="Times New Roman" w:cs="Times New Roman"/>
          <w:i/>
          <w:sz w:val="24"/>
          <w:szCs w:val="24"/>
        </w:rPr>
        <w:t>et al,</w:t>
      </w:r>
      <w:r w:rsidR="00380D71" w:rsidRPr="00D05EA9">
        <w:rPr>
          <w:rFonts w:ascii="Times New Roman" w:hAnsi="Times New Roman" w:cs="Times New Roman"/>
          <w:sz w:val="24"/>
          <w:szCs w:val="24"/>
        </w:rPr>
        <w:t xml:space="preserve"> 2015)</w:t>
      </w:r>
      <w:r w:rsidRPr="00D05EA9">
        <w:rPr>
          <w:rFonts w:ascii="Times New Roman" w:hAnsi="Times New Roman" w:cs="Times New Roman"/>
          <w:sz w:val="24"/>
          <w:szCs w:val="24"/>
        </w:rPr>
        <w:t xml:space="preserve">. Such complexities have also been cited as one of the reasons for many practitioners’ inability to adopt and implement sustainability features on their projects in practical terms (Tippett </w:t>
      </w:r>
      <w:r w:rsidR="009746B7" w:rsidRPr="00D05EA9">
        <w:rPr>
          <w:rFonts w:ascii="Times New Roman" w:hAnsi="Times New Roman" w:cs="Times New Roman"/>
          <w:i/>
          <w:iCs/>
          <w:sz w:val="24"/>
          <w:szCs w:val="24"/>
        </w:rPr>
        <w:t>et al</w:t>
      </w:r>
      <w:r w:rsidRPr="00D05EA9">
        <w:rPr>
          <w:rFonts w:ascii="Times New Roman" w:hAnsi="Times New Roman" w:cs="Times New Roman"/>
          <w:sz w:val="24"/>
          <w:szCs w:val="24"/>
        </w:rPr>
        <w:t xml:space="preserve"> 2007).</w:t>
      </w:r>
    </w:p>
    <w:p w:rsidR="000F799A" w:rsidRPr="00D05EA9" w:rsidRDefault="000F799A" w:rsidP="00C338CF">
      <w:pPr>
        <w:spacing w:after="12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The complexity and the multifaceted nature of sustainable regeneration projects, coupled with the implications and impacts of sustainability, make it even more crucial to engage key players in the delivery of sustainable regeneration projects. Hence, the requirement to adopt and implement sustainability features in regeneration projects, taking into account the multi-dimensional issues and impacts, calls for a “multi-scale, trans-disciplinary and pluralistic approach that is able to integrate and synthesise the many different perspectives” for the project (</w:t>
      </w:r>
      <w:r w:rsidR="009746B7" w:rsidRPr="00D05EA9">
        <w:rPr>
          <w:rFonts w:ascii="Times New Roman" w:hAnsi="Times New Roman" w:cs="Times New Roman"/>
          <w:sz w:val="24"/>
          <w:szCs w:val="24"/>
        </w:rPr>
        <w:t xml:space="preserve">Lombardi </w:t>
      </w:r>
      <w:r w:rsidRPr="00D05EA9">
        <w:rPr>
          <w:rFonts w:ascii="Times New Roman" w:hAnsi="Times New Roman" w:cs="Times New Roman"/>
          <w:sz w:val="24"/>
          <w:szCs w:val="24"/>
        </w:rPr>
        <w:t xml:space="preserve">2009: 179). In that way, many sustainability challenges associated with the </w:t>
      </w:r>
      <w:r w:rsidRPr="00D05EA9">
        <w:rPr>
          <w:rFonts w:ascii="Times New Roman" w:hAnsi="Times New Roman" w:cs="Times New Roman"/>
          <w:sz w:val="24"/>
          <w:szCs w:val="24"/>
        </w:rPr>
        <w:lastRenderedPageBreak/>
        <w:t>execution of such complex activities and processes can well be dealt with. It is only then that such a project’s sustainability deliverables can be addressed collectively. The performance and achievement of the projects’ sustainability outcomes largely depends on the inputs from these players. It is believed that sustainability features would be best executed when key players are actively represented in such regeneration delivery processes</w:t>
      </w:r>
      <w:r w:rsidR="009D2A2B" w:rsidRPr="00D05EA9">
        <w:rPr>
          <w:rFonts w:ascii="Times New Roman" w:hAnsi="Times New Roman" w:cs="Times New Roman"/>
          <w:sz w:val="24"/>
          <w:szCs w:val="24"/>
        </w:rPr>
        <w:t xml:space="preserve"> (Jung </w:t>
      </w:r>
      <w:r w:rsidR="009D2A2B" w:rsidRPr="00D05EA9">
        <w:rPr>
          <w:rFonts w:ascii="Times New Roman" w:hAnsi="Times New Roman" w:cs="Times New Roman"/>
          <w:i/>
          <w:sz w:val="24"/>
          <w:szCs w:val="24"/>
        </w:rPr>
        <w:t>et al,</w:t>
      </w:r>
      <w:r w:rsidR="009D2A2B" w:rsidRPr="00D05EA9">
        <w:rPr>
          <w:rFonts w:ascii="Times New Roman" w:hAnsi="Times New Roman" w:cs="Times New Roman"/>
          <w:sz w:val="24"/>
          <w:szCs w:val="24"/>
        </w:rPr>
        <w:t xml:space="preserve"> 2015)</w:t>
      </w:r>
      <w:r w:rsidRPr="00D05EA9">
        <w:rPr>
          <w:rFonts w:ascii="Times New Roman" w:hAnsi="Times New Roman" w:cs="Times New Roman"/>
          <w:sz w:val="24"/>
          <w:szCs w:val="24"/>
        </w:rPr>
        <w:t xml:space="preserve">. Adequate involvement of key players will also ensure effective collaboration to overcome any possible difficulties and divisions, which are likely to undermine the projects’ success. Active and effective involvement, particularly at the conception stages of the projects, is considered as fundamental towards the adoption and implementation of sustainability </w:t>
      </w:r>
      <w:r w:rsidR="003655A1" w:rsidRPr="00D05EA9">
        <w:rPr>
          <w:rFonts w:ascii="Times New Roman" w:hAnsi="Times New Roman" w:cs="Times New Roman"/>
          <w:sz w:val="24"/>
          <w:szCs w:val="24"/>
        </w:rPr>
        <w:t>factors</w:t>
      </w:r>
      <w:r w:rsidRPr="00D05EA9">
        <w:rPr>
          <w:rFonts w:ascii="Times New Roman" w:hAnsi="Times New Roman" w:cs="Times New Roman"/>
          <w:sz w:val="24"/>
          <w:szCs w:val="24"/>
        </w:rPr>
        <w:t xml:space="preserve"> in regeneration projects.  </w:t>
      </w:r>
    </w:p>
    <w:p w:rsidR="00762C5F" w:rsidRPr="00D05EA9" w:rsidRDefault="000F799A" w:rsidP="00CD7A0E">
      <w:pPr>
        <w:spacing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It is suggested that focusing attention on the selection and formation of the main project team early in the planning stages is fundamental in achieving the successful delivery of a project’s objectives (</w:t>
      </w:r>
      <w:r w:rsidR="009746B7" w:rsidRPr="00D05EA9">
        <w:rPr>
          <w:rFonts w:ascii="Times New Roman" w:hAnsi="Times New Roman" w:cs="Times New Roman"/>
          <w:sz w:val="24"/>
          <w:szCs w:val="24"/>
        </w:rPr>
        <w:t xml:space="preserve">DBIS </w:t>
      </w:r>
      <w:r w:rsidRPr="00D05EA9">
        <w:rPr>
          <w:rFonts w:ascii="Times New Roman" w:hAnsi="Times New Roman" w:cs="Times New Roman"/>
          <w:sz w:val="24"/>
          <w:szCs w:val="24"/>
        </w:rPr>
        <w:t xml:space="preserve">2013; Rowlinson </w:t>
      </w:r>
      <w:r w:rsidR="009746B7" w:rsidRPr="00D05EA9">
        <w:rPr>
          <w:rFonts w:ascii="Times New Roman" w:hAnsi="Times New Roman" w:cs="Times New Roman"/>
          <w:i/>
          <w:iCs/>
          <w:sz w:val="24"/>
          <w:szCs w:val="24"/>
        </w:rPr>
        <w:t xml:space="preserve">et al. </w:t>
      </w:r>
      <w:r w:rsidRPr="00D05EA9">
        <w:rPr>
          <w:rFonts w:ascii="Times New Roman" w:hAnsi="Times New Roman" w:cs="Times New Roman"/>
          <w:sz w:val="24"/>
          <w:szCs w:val="24"/>
        </w:rPr>
        <w:t>2008). It is believed that a project team, if well-</w:t>
      </w:r>
      <w:r w:rsidR="000B3F02" w:rsidRPr="00D05EA9">
        <w:rPr>
          <w:rFonts w:ascii="Times New Roman" w:hAnsi="Times New Roman" w:cs="Times New Roman"/>
          <w:sz w:val="24"/>
          <w:szCs w:val="24"/>
        </w:rPr>
        <w:t xml:space="preserve"> formulated</w:t>
      </w:r>
      <w:r w:rsidRPr="00D05EA9">
        <w:rPr>
          <w:rFonts w:ascii="Times New Roman" w:hAnsi="Times New Roman" w:cs="Times New Roman"/>
          <w:sz w:val="24"/>
          <w:szCs w:val="24"/>
        </w:rPr>
        <w:t xml:space="preserve">, with individual practitioners well represented in the team formation process, would enable such practitioners to understand what is required to be achieved in terms of sustainability (Mathur </w:t>
      </w:r>
      <w:r w:rsidR="009746B7" w:rsidRPr="00D05EA9">
        <w:rPr>
          <w:rFonts w:ascii="Times New Roman" w:hAnsi="Times New Roman" w:cs="Times New Roman"/>
          <w:i/>
          <w:iCs/>
          <w:sz w:val="24"/>
          <w:szCs w:val="24"/>
        </w:rPr>
        <w:t xml:space="preserve">et al. </w:t>
      </w:r>
      <w:r w:rsidRPr="00D05EA9">
        <w:rPr>
          <w:rFonts w:ascii="Times New Roman" w:hAnsi="Times New Roman" w:cs="Times New Roman"/>
          <w:sz w:val="24"/>
          <w:szCs w:val="24"/>
        </w:rPr>
        <w:t>2008). Apparently, such an approach will also help to foster a strong spirit of corporation among practitioners, overcome division</w:t>
      </w:r>
      <w:r w:rsidR="00154F0B" w:rsidRPr="00D05EA9">
        <w:rPr>
          <w:rFonts w:ascii="Times New Roman" w:hAnsi="Times New Roman" w:cs="Times New Roman"/>
          <w:sz w:val="24"/>
          <w:szCs w:val="24"/>
        </w:rPr>
        <w:t xml:space="preserve">s and oppositions to new ideas and </w:t>
      </w:r>
      <w:r w:rsidRPr="00D05EA9">
        <w:rPr>
          <w:rFonts w:ascii="Times New Roman" w:hAnsi="Times New Roman" w:cs="Times New Roman"/>
          <w:sz w:val="24"/>
          <w:szCs w:val="24"/>
        </w:rPr>
        <w:t>build consensus</w:t>
      </w:r>
      <w:r w:rsidR="00154F0B" w:rsidRPr="00D05EA9">
        <w:rPr>
          <w:rFonts w:ascii="Times New Roman" w:hAnsi="Times New Roman" w:cs="Times New Roman"/>
          <w:sz w:val="24"/>
          <w:szCs w:val="24"/>
        </w:rPr>
        <w:t>.</w:t>
      </w:r>
    </w:p>
    <w:p w:rsidR="00363E7C" w:rsidRPr="00D05EA9" w:rsidRDefault="00363E7C" w:rsidP="00363E7C">
      <w:pPr>
        <w:spacing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 xml:space="preserve">Delivering sustainable regeneration projects is about the responsibility of all the key practitioners to contribute to the planning and preparation activities of the projects. Practitioners such as project managers and others with sustainability responsibilities are crucial. A study carried out by Ali, et al. (2008), and Hussin (2009) identified the early stage of the project delivery as the domain for architects and clients’ representatives, in which the two practitioners were heavily involved in planning and preparation activities of the projects. For most clients and construction organisations, the early involvement of commercial </w:t>
      </w:r>
      <w:r w:rsidRPr="00D05EA9">
        <w:rPr>
          <w:rFonts w:ascii="Times New Roman" w:hAnsi="Times New Roman" w:cs="Times New Roman"/>
          <w:sz w:val="24"/>
          <w:szCs w:val="24"/>
        </w:rPr>
        <w:lastRenderedPageBreak/>
        <w:t>managers provides the opportunity for them to seek early advice about the cost implications of adopting and implementing sustainability features on their projects. The key practitioners who were highly involved in discharging their responsibilities at the construction stage of the sustainable regeneration project delivery were the architects, clients, project managers and commercial managers (Ali et al., 2008; Trigunarsyah, 2004). At the post construction stage, clients and architects were predominantly more highly involved than the other key practitioners in undertaking post project monitoring and evaluation activities of the completed projects (Williams et al., 2013).</w:t>
      </w:r>
    </w:p>
    <w:p w:rsidR="00363E7C" w:rsidRPr="00D05EA9" w:rsidRDefault="00363E7C" w:rsidP="00CD7A0E">
      <w:pPr>
        <w:spacing w:line="480" w:lineRule="auto"/>
        <w:contextualSpacing/>
        <w:jc w:val="both"/>
        <w:rPr>
          <w:rFonts w:ascii="Times New Roman" w:hAnsi="Times New Roman" w:cs="Times New Roman"/>
          <w:sz w:val="24"/>
          <w:szCs w:val="24"/>
        </w:rPr>
      </w:pPr>
    </w:p>
    <w:p w:rsidR="00B40446" w:rsidRPr="00D05EA9" w:rsidRDefault="00BD2CAF" w:rsidP="00B526EE">
      <w:pPr>
        <w:pStyle w:val="ListParagraph"/>
        <w:numPr>
          <w:ilvl w:val="0"/>
          <w:numId w:val="8"/>
        </w:numPr>
        <w:spacing w:line="240" w:lineRule="auto"/>
        <w:rPr>
          <w:rFonts w:ascii="Times New Roman" w:hAnsi="Times New Roman" w:cs="Times New Roman"/>
          <w:b/>
          <w:sz w:val="24"/>
          <w:szCs w:val="24"/>
        </w:rPr>
      </w:pPr>
      <w:r>
        <w:rPr>
          <w:rFonts w:ascii="Times New Roman" w:hAnsi="Times New Roman" w:cs="Times New Roman"/>
          <w:b/>
          <w:sz w:val="24"/>
          <w:szCs w:val="24"/>
        </w:rPr>
        <w:t>Research Methodology a</w:t>
      </w:r>
      <w:r w:rsidRPr="00D05EA9">
        <w:rPr>
          <w:rFonts w:ascii="Times New Roman" w:hAnsi="Times New Roman" w:cs="Times New Roman"/>
          <w:b/>
          <w:sz w:val="24"/>
          <w:szCs w:val="24"/>
        </w:rPr>
        <w:t>nd Approach</w:t>
      </w:r>
    </w:p>
    <w:p w:rsidR="00916A8D" w:rsidRPr="00D05EA9" w:rsidRDefault="00916A8D" w:rsidP="00F25B3A">
      <w:pPr>
        <w:spacing w:after="12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 xml:space="preserve">In the context of this study, the roles of practitioners </w:t>
      </w:r>
      <w:r w:rsidR="00056CE5" w:rsidRPr="00D05EA9">
        <w:rPr>
          <w:rFonts w:ascii="Times New Roman" w:hAnsi="Times New Roman" w:cs="Times New Roman"/>
          <w:sz w:val="24"/>
          <w:szCs w:val="24"/>
        </w:rPr>
        <w:t>refer</w:t>
      </w:r>
      <w:r w:rsidRPr="00D05EA9">
        <w:rPr>
          <w:rFonts w:ascii="Times New Roman" w:hAnsi="Times New Roman" w:cs="Times New Roman"/>
          <w:sz w:val="24"/>
          <w:szCs w:val="24"/>
        </w:rPr>
        <w:t xml:space="preserve"> </w:t>
      </w:r>
      <w:r w:rsidR="00056CE5" w:rsidRPr="00D05EA9">
        <w:rPr>
          <w:rFonts w:ascii="Times New Roman" w:hAnsi="Times New Roman" w:cs="Times New Roman"/>
          <w:sz w:val="24"/>
          <w:szCs w:val="24"/>
        </w:rPr>
        <w:t xml:space="preserve">to </w:t>
      </w:r>
      <w:r w:rsidRPr="00D05EA9">
        <w:rPr>
          <w:rFonts w:ascii="Times New Roman" w:hAnsi="Times New Roman" w:cs="Times New Roman"/>
          <w:sz w:val="24"/>
          <w:szCs w:val="24"/>
        </w:rPr>
        <w:t xml:space="preserve">their professional background (i.e. architect etc.), while the responsibilities refer to the core duties (i.e. preparing drawings, designing etc.) they perform in the delivery of the projects. Also, </w:t>
      </w:r>
      <w:r w:rsidR="00A17B0B" w:rsidRPr="00D05EA9">
        <w:rPr>
          <w:rFonts w:ascii="Times New Roman" w:hAnsi="Times New Roman" w:cs="Times New Roman"/>
          <w:sz w:val="24"/>
          <w:szCs w:val="24"/>
        </w:rPr>
        <w:t xml:space="preserve">for the purpose of this study, the </w:t>
      </w:r>
      <w:r w:rsidRPr="00D05EA9">
        <w:rPr>
          <w:rFonts w:ascii="Times New Roman" w:hAnsi="Times New Roman" w:cs="Times New Roman"/>
          <w:sz w:val="24"/>
          <w:szCs w:val="24"/>
        </w:rPr>
        <w:t xml:space="preserve">practitioners identified to be mainly involved in the delivery of regeneration projects, who participated in the </w:t>
      </w:r>
      <w:r w:rsidR="0096583D" w:rsidRPr="00D05EA9">
        <w:rPr>
          <w:rFonts w:ascii="Times New Roman" w:hAnsi="Times New Roman" w:cs="Times New Roman"/>
          <w:sz w:val="24"/>
          <w:szCs w:val="24"/>
        </w:rPr>
        <w:t>study,</w:t>
      </w:r>
      <w:r w:rsidR="003524F2" w:rsidRPr="00D05EA9">
        <w:rPr>
          <w:rFonts w:ascii="Times New Roman" w:hAnsi="Times New Roman" w:cs="Times New Roman"/>
          <w:sz w:val="24"/>
          <w:szCs w:val="24"/>
        </w:rPr>
        <w:t xml:space="preserve"> are</w:t>
      </w:r>
      <w:r w:rsidRPr="00D05EA9">
        <w:rPr>
          <w:rFonts w:ascii="Times New Roman" w:hAnsi="Times New Roman" w:cs="Times New Roman"/>
          <w:sz w:val="24"/>
          <w:szCs w:val="24"/>
        </w:rPr>
        <w:t xml:space="preserve"> referred to as key practitioners</w:t>
      </w:r>
      <w:r w:rsidR="0096583D" w:rsidRPr="00D05EA9">
        <w:rPr>
          <w:rFonts w:ascii="Times New Roman" w:hAnsi="Times New Roman" w:cs="Times New Roman"/>
          <w:sz w:val="24"/>
          <w:szCs w:val="24"/>
        </w:rPr>
        <w:t>.</w:t>
      </w:r>
      <w:r w:rsidR="00A015C4" w:rsidRPr="00D05EA9">
        <w:rPr>
          <w:rFonts w:ascii="Times New Roman" w:hAnsi="Times New Roman" w:cs="Times New Roman"/>
          <w:sz w:val="24"/>
          <w:szCs w:val="24"/>
        </w:rPr>
        <w:t xml:space="preserve"> </w:t>
      </w:r>
      <w:r w:rsidR="00C635A2" w:rsidRPr="00D05EA9">
        <w:rPr>
          <w:rFonts w:ascii="Times New Roman" w:hAnsi="Times New Roman" w:cs="Times New Roman"/>
          <w:sz w:val="24"/>
          <w:szCs w:val="24"/>
        </w:rPr>
        <w:t>The</w:t>
      </w:r>
      <w:r w:rsidR="00C42C9F" w:rsidRPr="00D05EA9">
        <w:rPr>
          <w:rFonts w:ascii="Times New Roman" w:hAnsi="Times New Roman" w:cs="Times New Roman"/>
          <w:sz w:val="24"/>
          <w:szCs w:val="24"/>
        </w:rPr>
        <w:t>se</w:t>
      </w:r>
      <w:r w:rsidR="00C635A2" w:rsidRPr="00D05EA9">
        <w:rPr>
          <w:rFonts w:ascii="Times New Roman" w:hAnsi="Times New Roman" w:cs="Times New Roman"/>
          <w:sz w:val="24"/>
          <w:szCs w:val="24"/>
        </w:rPr>
        <w:t xml:space="preserve"> ke</w:t>
      </w:r>
      <w:r w:rsidR="00CE6808" w:rsidRPr="00D05EA9">
        <w:rPr>
          <w:rFonts w:ascii="Times New Roman" w:hAnsi="Times New Roman" w:cs="Times New Roman"/>
          <w:sz w:val="24"/>
          <w:szCs w:val="24"/>
        </w:rPr>
        <w:t xml:space="preserve">y practitioners were identified from the three construction organisations (selected through a purposive sampling approach) as the practitioners who were assigned with the responsibilities of delivering their regeneration projects. </w:t>
      </w:r>
      <w:r w:rsidRPr="00D05EA9">
        <w:rPr>
          <w:rFonts w:ascii="Times New Roman" w:hAnsi="Times New Roman" w:cs="Times New Roman"/>
          <w:sz w:val="24"/>
          <w:szCs w:val="24"/>
        </w:rPr>
        <w:t>Below are the identified key practitioners, their roles and responsibilities in the delivery of sustainable regeneration projects:</w:t>
      </w:r>
    </w:p>
    <w:p w:rsidR="002C021C" w:rsidRPr="00D05EA9" w:rsidRDefault="002C021C" w:rsidP="002C021C">
      <w:pPr>
        <w:spacing w:after="120" w:line="240" w:lineRule="auto"/>
        <w:contextualSpacing/>
        <w:rPr>
          <w:rFonts w:ascii="Times New Roman" w:hAnsi="Times New Roman" w:cs="Times New Roman"/>
          <w:sz w:val="24"/>
          <w:szCs w:val="24"/>
        </w:rPr>
      </w:pPr>
    </w:p>
    <w:p w:rsidR="002C021C" w:rsidRPr="00D05EA9" w:rsidRDefault="00916A8D" w:rsidP="00F25B3A">
      <w:pPr>
        <w:numPr>
          <w:ilvl w:val="0"/>
          <w:numId w:val="1"/>
        </w:numPr>
        <w:spacing w:after="120" w:line="480" w:lineRule="auto"/>
        <w:ind w:left="357" w:hanging="357"/>
        <w:contextualSpacing/>
        <w:jc w:val="both"/>
        <w:rPr>
          <w:rFonts w:ascii="Times New Roman" w:hAnsi="Times New Roman" w:cs="Times New Roman"/>
          <w:sz w:val="24"/>
          <w:szCs w:val="24"/>
        </w:rPr>
      </w:pPr>
      <w:r w:rsidRPr="00BD2CAF">
        <w:rPr>
          <w:rFonts w:ascii="Times New Roman" w:hAnsi="Times New Roman" w:cs="Times New Roman"/>
          <w:i/>
          <w:sz w:val="24"/>
          <w:szCs w:val="24"/>
        </w:rPr>
        <w:t>Architect</w:t>
      </w:r>
      <w:r w:rsidRPr="00D05EA9">
        <w:rPr>
          <w:rFonts w:ascii="Times New Roman" w:hAnsi="Times New Roman" w:cs="Times New Roman"/>
          <w:sz w:val="24"/>
          <w:szCs w:val="24"/>
        </w:rPr>
        <w:t>: is the practitioner tasked with the responsibility of producing the drawings and design solutions of the project to meet the client’s needs/requirements.</w:t>
      </w:r>
    </w:p>
    <w:p w:rsidR="002C021C" w:rsidRPr="00D05EA9" w:rsidRDefault="00916A8D" w:rsidP="00F25B3A">
      <w:pPr>
        <w:numPr>
          <w:ilvl w:val="0"/>
          <w:numId w:val="1"/>
        </w:numPr>
        <w:spacing w:after="120" w:line="480" w:lineRule="auto"/>
        <w:ind w:left="357" w:hanging="357"/>
        <w:contextualSpacing/>
        <w:jc w:val="both"/>
        <w:rPr>
          <w:rFonts w:ascii="Times New Roman" w:hAnsi="Times New Roman" w:cs="Times New Roman"/>
          <w:sz w:val="24"/>
          <w:szCs w:val="24"/>
        </w:rPr>
      </w:pPr>
      <w:r w:rsidRPr="00BD2CAF">
        <w:rPr>
          <w:rFonts w:ascii="Times New Roman" w:hAnsi="Times New Roman" w:cs="Times New Roman"/>
          <w:i/>
          <w:sz w:val="24"/>
          <w:szCs w:val="24"/>
        </w:rPr>
        <w:t>The client’s representative</w:t>
      </w:r>
      <w:r w:rsidRPr="00D05EA9">
        <w:rPr>
          <w:rFonts w:ascii="Times New Roman" w:hAnsi="Times New Roman" w:cs="Times New Roman"/>
          <w:sz w:val="24"/>
          <w:szCs w:val="24"/>
        </w:rPr>
        <w:t xml:space="preserve">: For the purpose of this research, the client representative is any practitioner representing the client’s interests on the project. The greatest responsibility for achieving the client’s requirements lies with the client’s representative, </w:t>
      </w:r>
      <w:r w:rsidRPr="00D05EA9">
        <w:rPr>
          <w:rFonts w:ascii="Times New Roman" w:hAnsi="Times New Roman" w:cs="Times New Roman"/>
          <w:sz w:val="24"/>
          <w:szCs w:val="24"/>
        </w:rPr>
        <w:lastRenderedPageBreak/>
        <w:t>who is one of the most influential practitioners in the construction project delivery processes.</w:t>
      </w:r>
    </w:p>
    <w:p w:rsidR="002C021C" w:rsidRPr="00D05EA9" w:rsidRDefault="00916A8D" w:rsidP="00F25B3A">
      <w:pPr>
        <w:numPr>
          <w:ilvl w:val="0"/>
          <w:numId w:val="1"/>
        </w:numPr>
        <w:spacing w:after="120" w:line="480" w:lineRule="auto"/>
        <w:contextualSpacing/>
        <w:jc w:val="both"/>
        <w:rPr>
          <w:rFonts w:ascii="Times New Roman" w:hAnsi="Times New Roman" w:cs="Times New Roman"/>
          <w:sz w:val="24"/>
          <w:szCs w:val="24"/>
        </w:rPr>
      </w:pPr>
      <w:r w:rsidRPr="00BD2CAF">
        <w:rPr>
          <w:rFonts w:ascii="Times New Roman" w:hAnsi="Times New Roman" w:cs="Times New Roman"/>
          <w:i/>
          <w:sz w:val="24"/>
          <w:szCs w:val="24"/>
        </w:rPr>
        <w:t>Project manager</w:t>
      </w:r>
      <w:r w:rsidRPr="00D05EA9">
        <w:rPr>
          <w:rFonts w:ascii="Times New Roman" w:hAnsi="Times New Roman" w:cs="Times New Roman"/>
          <w:sz w:val="24"/>
          <w:szCs w:val="24"/>
        </w:rPr>
        <w:t>: is the practitioner responsible for managing and coordinating processes, resources (including other practitioners on a daily basis), and facilitating effective delivery of all the projects’ deliverables, to meet all the requirements of the projects, and also provides other construction information on progress and variations. A key practitioner for the adoption and implementation of decisions etc., for the project.</w:t>
      </w:r>
    </w:p>
    <w:p w:rsidR="002C021C" w:rsidRPr="00D05EA9" w:rsidRDefault="00916A8D" w:rsidP="00F25B3A">
      <w:pPr>
        <w:numPr>
          <w:ilvl w:val="0"/>
          <w:numId w:val="1"/>
        </w:numPr>
        <w:spacing w:after="120" w:line="480" w:lineRule="auto"/>
        <w:contextualSpacing/>
        <w:jc w:val="both"/>
        <w:rPr>
          <w:rFonts w:ascii="Times New Roman" w:hAnsi="Times New Roman" w:cs="Times New Roman"/>
          <w:sz w:val="24"/>
          <w:szCs w:val="24"/>
        </w:rPr>
      </w:pPr>
      <w:r w:rsidRPr="00BD2CAF">
        <w:rPr>
          <w:rFonts w:ascii="Times New Roman" w:hAnsi="Times New Roman" w:cs="Times New Roman"/>
          <w:i/>
          <w:sz w:val="24"/>
          <w:szCs w:val="24"/>
        </w:rPr>
        <w:t>Commercial manager</w:t>
      </w:r>
      <w:r w:rsidRPr="00D05EA9">
        <w:rPr>
          <w:rFonts w:ascii="Times New Roman" w:hAnsi="Times New Roman" w:cs="Times New Roman"/>
          <w:sz w:val="24"/>
          <w:szCs w:val="24"/>
        </w:rPr>
        <w:t>: is the practitioner responsible for managing and controlling the cost aspects of the project.</w:t>
      </w:r>
    </w:p>
    <w:p w:rsidR="002C021C" w:rsidRPr="00D05EA9" w:rsidRDefault="00916A8D" w:rsidP="00F25B3A">
      <w:pPr>
        <w:numPr>
          <w:ilvl w:val="0"/>
          <w:numId w:val="1"/>
        </w:numPr>
        <w:spacing w:after="120" w:line="480" w:lineRule="auto"/>
        <w:ind w:left="357" w:hanging="357"/>
        <w:contextualSpacing/>
        <w:jc w:val="both"/>
        <w:rPr>
          <w:rFonts w:ascii="Times New Roman" w:hAnsi="Times New Roman" w:cs="Times New Roman"/>
          <w:sz w:val="24"/>
          <w:szCs w:val="24"/>
        </w:rPr>
      </w:pPr>
      <w:r w:rsidRPr="00BD2CAF">
        <w:rPr>
          <w:rFonts w:ascii="Times New Roman" w:hAnsi="Times New Roman" w:cs="Times New Roman"/>
          <w:i/>
          <w:sz w:val="24"/>
          <w:szCs w:val="24"/>
        </w:rPr>
        <w:t>Sustainability manager</w:t>
      </w:r>
      <w:r w:rsidRPr="00D05EA9">
        <w:rPr>
          <w:rFonts w:ascii="Times New Roman" w:hAnsi="Times New Roman" w:cs="Times New Roman"/>
          <w:sz w:val="24"/>
          <w:szCs w:val="24"/>
        </w:rPr>
        <w:t>: is the practitioner responsible for the sustainability aspects, including the environmental aspects of the project. They are responsible for ensuring that all other practitioners, including the client’s representative, are aware of their sustainability responsibilities in relation to sustainable construction projects.</w:t>
      </w:r>
    </w:p>
    <w:p w:rsidR="002C021C" w:rsidRPr="00D05EA9" w:rsidRDefault="00916A8D" w:rsidP="00F25B3A">
      <w:pPr>
        <w:numPr>
          <w:ilvl w:val="0"/>
          <w:numId w:val="1"/>
        </w:numPr>
        <w:spacing w:after="120" w:line="480" w:lineRule="auto"/>
        <w:contextualSpacing/>
        <w:jc w:val="both"/>
        <w:rPr>
          <w:rFonts w:ascii="Times New Roman" w:hAnsi="Times New Roman" w:cs="Times New Roman"/>
          <w:sz w:val="24"/>
          <w:szCs w:val="24"/>
        </w:rPr>
      </w:pPr>
      <w:r w:rsidRPr="00BD2CAF">
        <w:rPr>
          <w:rFonts w:ascii="Times New Roman" w:hAnsi="Times New Roman" w:cs="Times New Roman"/>
          <w:i/>
          <w:sz w:val="24"/>
          <w:szCs w:val="24"/>
        </w:rPr>
        <w:t>Regeneration manager</w:t>
      </w:r>
      <w:r w:rsidRPr="00D05EA9">
        <w:rPr>
          <w:rFonts w:ascii="Times New Roman" w:hAnsi="Times New Roman" w:cs="Times New Roman"/>
          <w:sz w:val="24"/>
          <w:szCs w:val="24"/>
        </w:rPr>
        <w:t>: is the practitioner responsible for developing regeneration strategies for the project and ensuring that sustainable regeneration features are incorporated into the project, to deliver a wide range of regeneration outcomes for stakeholders, including the local community. They provide advice on sustainable regeneration deliverables to the project team/practitioners.</w:t>
      </w:r>
    </w:p>
    <w:p w:rsidR="00466BB3" w:rsidRPr="00D05EA9" w:rsidRDefault="00916A8D" w:rsidP="00466BB3">
      <w:pPr>
        <w:numPr>
          <w:ilvl w:val="0"/>
          <w:numId w:val="1"/>
        </w:numPr>
        <w:spacing w:after="120" w:line="480" w:lineRule="auto"/>
        <w:contextualSpacing/>
        <w:jc w:val="both"/>
        <w:rPr>
          <w:rFonts w:ascii="Times New Roman" w:hAnsi="Times New Roman" w:cs="Times New Roman"/>
          <w:sz w:val="24"/>
          <w:szCs w:val="24"/>
        </w:rPr>
      </w:pPr>
      <w:r w:rsidRPr="00BD2CAF">
        <w:rPr>
          <w:rFonts w:ascii="Times New Roman" w:hAnsi="Times New Roman" w:cs="Times New Roman"/>
          <w:i/>
          <w:sz w:val="24"/>
          <w:szCs w:val="24"/>
        </w:rPr>
        <w:t>Training/corporate social responsibility (CSR) manager</w:t>
      </w:r>
      <w:r w:rsidRPr="00D05EA9">
        <w:rPr>
          <w:rFonts w:ascii="Times New Roman" w:hAnsi="Times New Roman" w:cs="Times New Roman"/>
          <w:sz w:val="24"/>
          <w:szCs w:val="24"/>
        </w:rPr>
        <w:t>: is the practitioner responsible for ensuring that the local content is incorporated in the project. This includes recruitment and procurement of local labour and materials, and training and apprenticeships and work placements etc., for local people on the project.</w:t>
      </w:r>
    </w:p>
    <w:p w:rsidR="00466BB3" w:rsidRPr="00D05EA9" w:rsidRDefault="00466BB3" w:rsidP="00466BB3">
      <w:pPr>
        <w:spacing w:after="120" w:line="480" w:lineRule="auto"/>
        <w:ind w:left="360"/>
        <w:contextualSpacing/>
        <w:jc w:val="both"/>
        <w:rPr>
          <w:rFonts w:ascii="Times New Roman" w:hAnsi="Times New Roman" w:cs="Times New Roman"/>
          <w:sz w:val="24"/>
          <w:szCs w:val="24"/>
        </w:rPr>
      </w:pPr>
    </w:p>
    <w:p w:rsidR="00466BB3" w:rsidRPr="00D05EA9" w:rsidRDefault="00916A8D" w:rsidP="00466BB3">
      <w:pPr>
        <w:spacing w:after="12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 xml:space="preserve">The involvement of the above key practitioners for the purpose of this study means engaging </w:t>
      </w:r>
      <w:r w:rsidR="00BC5832" w:rsidRPr="00D05EA9">
        <w:rPr>
          <w:rFonts w:ascii="Times New Roman" w:hAnsi="Times New Roman" w:cs="Times New Roman"/>
          <w:sz w:val="24"/>
          <w:szCs w:val="24"/>
        </w:rPr>
        <w:t>them</w:t>
      </w:r>
      <w:r w:rsidRPr="00D05EA9">
        <w:rPr>
          <w:rFonts w:ascii="Times New Roman" w:hAnsi="Times New Roman" w:cs="Times New Roman"/>
          <w:sz w:val="24"/>
          <w:szCs w:val="24"/>
        </w:rPr>
        <w:t xml:space="preserve"> as participants in the discharge of their responsibilities in the delivery of regeneration </w:t>
      </w:r>
      <w:r w:rsidRPr="00D05EA9">
        <w:rPr>
          <w:rFonts w:ascii="Times New Roman" w:hAnsi="Times New Roman" w:cs="Times New Roman"/>
          <w:sz w:val="24"/>
          <w:szCs w:val="24"/>
        </w:rPr>
        <w:lastRenderedPageBreak/>
        <w:t>projects. In this regard, the words ‘involvement’ and ‘engagement’ are used interchangeably</w:t>
      </w:r>
      <w:r w:rsidR="00343107" w:rsidRPr="00D05EA9">
        <w:rPr>
          <w:rFonts w:ascii="Times New Roman" w:hAnsi="Times New Roman" w:cs="Times New Roman"/>
          <w:sz w:val="24"/>
          <w:szCs w:val="24"/>
        </w:rPr>
        <w:t xml:space="preserve"> to mean the same thing</w:t>
      </w:r>
      <w:r w:rsidRPr="00D05EA9">
        <w:rPr>
          <w:rFonts w:ascii="Times New Roman" w:hAnsi="Times New Roman" w:cs="Times New Roman"/>
          <w:sz w:val="24"/>
          <w:szCs w:val="24"/>
        </w:rPr>
        <w:t>.</w:t>
      </w:r>
      <w:r w:rsidR="00B972BF" w:rsidRPr="00D05EA9">
        <w:rPr>
          <w:rFonts w:ascii="Times New Roman" w:hAnsi="Times New Roman" w:cs="Times New Roman"/>
          <w:sz w:val="24"/>
          <w:szCs w:val="24"/>
        </w:rPr>
        <w:t xml:space="preserve"> </w:t>
      </w:r>
    </w:p>
    <w:p w:rsidR="006476D9" w:rsidRPr="00D05EA9" w:rsidRDefault="002E43DA" w:rsidP="00466BB3">
      <w:pPr>
        <w:spacing w:after="120" w:line="480" w:lineRule="auto"/>
        <w:contextualSpacing/>
        <w:jc w:val="both"/>
        <w:rPr>
          <w:rFonts w:ascii="Times New Roman" w:hAnsi="Times New Roman" w:cs="Times New Roman"/>
          <w:sz w:val="24"/>
          <w:szCs w:val="24"/>
        </w:rPr>
      </w:pPr>
      <w:r w:rsidRPr="00D05EA9">
        <w:rPr>
          <w:rFonts w:ascii="Times New Roman" w:eastAsia="Calibri" w:hAnsi="Times New Roman" w:cs="Times New Roman"/>
          <w:sz w:val="24"/>
          <w:szCs w:val="24"/>
        </w:rPr>
        <w:t xml:space="preserve">The </w:t>
      </w:r>
      <w:r w:rsidRPr="00D05EA9">
        <w:rPr>
          <w:rFonts w:ascii="Times New Roman" w:hAnsi="Times New Roman" w:cs="Times New Roman"/>
          <w:sz w:val="24"/>
          <w:szCs w:val="24"/>
        </w:rPr>
        <w:t xml:space="preserve">study adopted </w:t>
      </w:r>
      <w:r w:rsidRPr="00D05EA9">
        <w:rPr>
          <w:rFonts w:ascii="Times New Roman" w:eastAsia="Calibri" w:hAnsi="Times New Roman" w:cs="Times New Roman"/>
          <w:sz w:val="24"/>
          <w:szCs w:val="24"/>
        </w:rPr>
        <w:t xml:space="preserve">qualitative </w:t>
      </w:r>
      <w:r w:rsidRPr="00D05EA9">
        <w:rPr>
          <w:rFonts w:ascii="Times New Roman" w:hAnsi="Times New Roman" w:cs="Times New Roman"/>
          <w:sz w:val="24"/>
          <w:szCs w:val="24"/>
        </w:rPr>
        <w:t>research approach</w:t>
      </w:r>
      <w:r w:rsidRPr="00D05EA9">
        <w:rPr>
          <w:rFonts w:ascii="Times New Roman" w:eastAsia="Calibri" w:hAnsi="Times New Roman" w:cs="Times New Roman"/>
          <w:sz w:val="24"/>
          <w:szCs w:val="24"/>
        </w:rPr>
        <w:t xml:space="preserve"> </w:t>
      </w:r>
      <w:r w:rsidRPr="00D05EA9">
        <w:rPr>
          <w:rFonts w:ascii="Times New Roman" w:hAnsi="Times New Roman" w:cs="Times New Roman"/>
          <w:sz w:val="24"/>
          <w:szCs w:val="24"/>
        </w:rPr>
        <w:t>using</w:t>
      </w:r>
      <w:r w:rsidRPr="00D05EA9">
        <w:rPr>
          <w:rFonts w:ascii="Times New Roman" w:eastAsia="Calibri" w:hAnsi="Times New Roman" w:cs="Times New Roman"/>
          <w:sz w:val="24"/>
          <w:szCs w:val="24"/>
        </w:rPr>
        <w:t xml:space="preserve"> semi-structured interviews to collect data from twenty-one (21) key practitioners identified to be involved in the delivery of sustainable regeneration projects within their construction organisations to </w:t>
      </w:r>
      <w:r w:rsidR="002E0761" w:rsidRPr="00D05EA9">
        <w:rPr>
          <w:rFonts w:ascii="Times New Roman" w:hAnsi="Times New Roman" w:cs="Times New Roman"/>
          <w:sz w:val="24"/>
          <w:szCs w:val="24"/>
        </w:rPr>
        <w:t>ascertain their level</w:t>
      </w:r>
      <w:r w:rsidRPr="00D05EA9">
        <w:rPr>
          <w:rFonts w:ascii="Times New Roman" w:hAnsi="Times New Roman" w:cs="Times New Roman"/>
          <w:sz w:val="24"/>
          <w:szCs w:val="24"/>
        </w:rPr>
        <w:t xml:space="preserve"> of involvement in the delivery of sustainable regeneration projects at the three main delivery stages (early, construction and post-construction). </w:t>
      </w:r>
      <w:r w:rsidR="00F5507D" w:rsidRPr="00D05EA9">
        <w:rPr>
          <w:rFonts w:ascii="Times New Roman" w:hAnsi="Times New Roman" w:cs="Times New Roman"/>
          <w:sz w:val="24"/>
          <w:szCs w:val="24"/>
        </w:rPr>
        <w:t>All the twenty-one (21) interviewees (key practitioners) were asked questions about their level of involvement in the delivery of sustainable regeneration projects at these three main stages of the sustainable regeneration projects’ delivery in undertaking the following activities:</w:t>
      </w:r>
    </w:p>
    <w:p w:rsidR="00916A8D" w:rsidRPr="00D05EA9" w:rsidRDefault="00916A8D" w:rsidP="003853BF">
      <w:pPr>
        <w:numPr>
          <w:ilvl w:val="0"/>
          <w:numId w:val="2"/>
        </w:numPr>
        <w:spacing w:after="0" w:line="480" w:lineRule="auto"/>
        <w:ind w:left="714" w:hanging="357"/>
        <w:contextualSpacing/>
        <w:jc w:val="both"/>
        <w:rPr>
          <w:rFonts w:ascii="Times New Roman" w:hAnsi="Times New Roman" w:cs="Times New Roman"/>
          <w:sz w:val="24"/>
          <w:szCs w:val="24"/>
        </w:rPr>
      </w:pPr>
      <w:r w:rsidRPr="00D05EA9">
        <w:rPr>
          <w:rFonts w:ascii="Times New Roman" w:hAnsi="Times New Roman" w:cs="Times New Roman"/>
          <w:sz w:val="24"/>
          <w:szCs w:val="24"/>
        </w:rPr>
        <w:t>Planning and preparation (PP)</w:t>
      </w:r>
    </w:p>
    <w:p w:rsidR="00916A8D" w:rsidRPr="00D05EA9" w:rsidRDefault="00916A8D" w:rsidP="003853BF">
      <w:pPr>
        <w:numPr>
          <w:ilvl w:val="0"/>
          <w:numId w:val="2"/>
        </w:numPr>
        <w:spacing w:after="0" w:line="480" w:lineRule="auto"/>
        <w:ind w:left="714" w:hanging="357"/>
        <w:contextualSpacing/>
        <w:jc w:val="both"/>
        <w:rPr>
          <w:rFonts w:ascii="Times New Roman" w:hAnsi="Times New Roman" w:cs="Times New Roman"/>
          <w:sz w:val="24"/>
          <w:szCs w:val="24"/>
        </w:rPr>
      </w:pPr>
      <w:r w:rsidRPr="00D05EA9">
        <w:rPr>
          <w:rFonts w:ascii="Times New Roman" w:hAnsi="Times New Roman" w:cs="Times New Roman"/>
          <w:sz w:val="24"/>
          <w:szCs w:val="24"/>
        </w:rPr>
        <w:t>Adoption and implementation (AI)</w:t>
      </w:r>
    </w:p>
    <w:p w:rsidR="00916A8D" w:rsidRPr="00D05EA9" w:rsidRDefault="00916A8D" w:rsidP="003853BF">
      <w:pPr>
        <w:numPr>
          <w:ilvl w:val="0"/>
          <w:numId w:val="2"/>
        </w:numPr>
        <w:spacing w:after="0" w:line="480" w:lineRule="auto"/>
        <w:ind w:left="714" w:hanging="357"/>
        <w:contextualSpacing/>
        <w:jc w:val="both"/>
        <w:rPr>
          <w:rFonts w:ascii="Times New Roman" w:hAnsi="Times New Roman" w:cs="Times New Roman"/>
          <w:sz w:val="24"/>
          <w:szCs w:val="24"/>
        </w:rPr>
      </w:pPr>
      <w:r w:rsidRPr="00D05EA9">
        <w:rPr>
          <w:rFonts w:ascii="Times New Roman" w:hAnsi="Times New Roman" w:cs="Times New Roman"/>
          <w:sz w:val="24"/>
          <w:szCs w:val="24"/>
        </w:rPr>
        <w:t>Coordination and supervision (CS)</w:t>
      </w:r>
    </w:p>
    <w:p w:rsidR="008E60A2" w:rsidRPr="00D05EA9" w:rsidRDefault="00916A8D" w:rsidP="003853BF">
      <w:pPr>
        <w:numPr>
          <w:ilvl w:val="0"/>
          <w:numId w:val="2"/>
        </w:numPr>
        <w:spacing w:after="0" w:line="480" w:lineRule="auto"/>
        <w:ind w:left="714" w:hanging="357"/>
        <w:contextualSpacing/>
        <w:jc w:val="both"/>
        <w:rPr>
          <w:rFonts w:ascii="Times New Roman" w:hAnsi="Times New Roman" w:cs="Times New Roman"/>
          <w:sz w:val="24"/>
          <w:szCs w:val="24"/>
        </w:rPr>
      </w:pPr>
      <w:r w:rsidRPr="00D05EA9">
        <w:rPr>
          <w:rFonts w:ascii="Times New Roman" w:hAnsi="Times New Roman" w:cs="Times New Roman"/>
          <w:sz w:val="24"/>
          <w:szCs w:val="24"/>
        </w:rPr>
        <w:t>Monitoring and evaluation (ME)</w:t>
      </w:r>
    </w:p>
    <w:p w:rsidR="001F03F4" w:rsidRPr="00D05EA9" w:rsidRDefault="00916A8D" w:rsidP="001F03F4">
      <w:pPr>
        <w:spacing w:after="12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The Royal Institute of British Architects’ (</w:t>
      </w:r>
      <w:r w:rsidR="00B526EE" w:rsidRPr="00D05EA9">
        <w:rPr>
          <w:rFonts w:ascii="Times New Roman" w:hAnsi="Times New Roman" w:cs="Times New Roman"/>
          <w:sz w:val="24"/>
          <w:szCs w:val="24"/>
        </w:rPr>
        <w:t>RIBA) outline plan of work (2013</w:t>
      </w:r>
      <w:r w:rsidRPr="00D05EA9">
        <w:rPr>
          <w:rFonts w:ascii="Times New Roman" w:hAnsi="Times New Roman" w:cs="Times New Roman"/>
          <w:sz w:val="24"/>
          <w:szCs w:val="24"/>
        </w:rPr>
        <w:t xml:space="preserve">) forms the basis for the definition of the projects’ main delivery stages - early, construction and post construction. At the early stage of the projects’ delivery, the main activities that are performed by the key practitioners are planning and preparation. Although planning and preparation are two separate words, they are employed in this study to refer to all the activities that are required to be undertaken before the commencement of the construction stage of the project. These include feasibility, goal setting, design, tendering etc. Planning and preparation could be useful to ensure a greater buy-in from all the key practitioners, to achieve a common objective for the project. </w:t>
      </w:r>
      <w:r w:rsidR="0089188D" w:rsidRPr="00D05EA9">
        <w:rPr>
          <w:rFonts w:ascii="Times New Roman" w:hAnsi="Times New Roman" w:cs="Times New Roman"/>
          <w:sz w:val="24"/>
          <w:szCs w:val="24"/>
        </w:rPr>
        <w:t>Undertaking planning and preparation activities would help to set out performance targets for other activities (i.e. AI, CS, and ME).</w:t>
      </w:r>
    </w:p>
    <w:p w:rsidR="00B526EE" w:rsidRPr="00D05EA9" w:rsidRDefault="00412B10" w:rsidP="00E8579F">
      <w:pPr>
        <w:spacing w:after="120" w:line="480" w:lineRule="auto"/>
        <w:contextualSpacing/>
        <w:jc w:val="both"/>
        <w:rPr>
          <w:rFonts w:ascii="Times New Roman" w:hAnsi="Times New Roman" w:cs="Times New Roman"/>
          <w:sz w:val="24"/>
          <w:szCs w:val="24"/>
        </w:rPr>
      </w:pPr>
      <w:r w:rsidRPr="00D05EA9">
        <w:rPr>
          <w:rFonts w:ascii="Times New Roman" w:eastAsia="Calibri" w:hAnsi="Times New Roman" w:cs="Times New Roman"/>
          <w:sz w:val="24"/>
          <w:szCs w:val="24"/>
        </w:rPr>
        <w:lastRenderedPageBreak/>
        <w:t xml:space="preserve">At the construction stage of a projects’ delivery, the main activities that are to be undertaken include </w:t>
      </w:r>
      <w:r w:rsidRPr="00D05EA9">
        <w:rPr>
          <w:rFonts w:ascii="Times New Roman" w:eastAsia="Calibri" w:hAnsi="Times New Roman" w:cs="Times New Roman"/>
          <w:sz w:val="24"/>
          <w:szCs w:val="24"/>
          <w:lang w:eastAsia="en-GB"/>
        </w:rPr>
        <w:t>adoption and implementation, and c</w:t>
      </w:r>
      <w:r w:rsidRPr="00D05EA9">
        <w:rPr>
          <w:rFonts w:ascii="Times New Roman" w:eastAsia="Calibri" w:hAnsi="Times New Roman" w:cs="Times New Roman"/>
          <w:sz w:val="24"/>
          <w:szCs w:val="24"/>
        </w:rPr>
        <w:t xml:space="preserve">oordination and supervision. Adoption refers to the embracement of activities from the early stage, while implementation is concerned with implementing the adopted activities. In other words, putting the ‘adopted’ activities into practice. Coordination activities entail the interaction and integration of work and resources, while supervision activities on the other hand are concerned with overseeing the performance of works and resources. </w:t>
      </w:r>
      <w:r w:rsidRPr="00D05EA9">
        <w:rPr>
          <w:rFonts w:ascii="Times New Roman" w:eastAsia="Calibri" w:hAnsi="Times New Roman" w:cs="Times New Roman"/>
          <w:sz w:val="24"/>
          <w:szCs w:val="24"/>
          <w:lang w:eastAsia="en-GB"/>
        </w:rPr>
        <w:t xml:space="preserve">At the post construction stage of the </w:t>
      </w:r>
      <w:r w:rsidRPr="00D05EA9">
        <w:rPr>
          <w:rFonts w:ascii="Times New Roman" w:eastAsia="Calibri" w:hAnsi="Times New Roman" w:cs="Times New Roman"/>
          <w:sz w:val="24"/>
          <w:szCs w:val="24"/>
        </w:rPr>
        <w:t>projects’ delivery,</w:t>
      </w:r>
      <w:r w:rsidRPr="00D05EA9">
        <w:rPr>
          <w:rFonts w:ascii="Times New Roman" w:eastAsia="Calibri" w:hAnsi="Times New Roman" w:cs="Times New Roman"/>
          <w:sz w:val="24"/>
          <w:szCs w:val="24"/>
          <w:lang w:eastAsia="en-GB"/>
        </w:rPr>
        <w:t xml:space="preserve"> the activities that are required to be carried out in the context of this </w:t>
      </w:r>
      <w:r w:rsidR="005C6974" w:rsidRPr="00D05EA9">
        <w:rPr>
          <w:rFonts w:ascii="Times New Roman" w:eastAsia="Calibri" w:hAnsi="Times New Roman" w:cs="Times New Roman"/>
          <w:sz w:val="24"/>
          <w:szCs w:val="24"/>
          <w:lang w:eastAsia="en-GB"/>
        </w:rPr>
        <w:t>study</w:t>
      </w:r>
      <w:r w:rsidRPr="00D05EA9">
        <w:rPr>
          <w:rFonts w:ascii="Times New Roman" w:eastAsia="Calibri" w:hAnsi="Times New Roman" w:cs="Times New Roman"/>
          <w:sz w:val="24"/>
          <w:szCs w:val="24"/>
          <w:lang w:eastAsia="en-GB"/>
        </w:rPr>
        <w:t xml:space="preserve"> include monitoring and evaluation. Even though the words ‘monitoring’ and ‘evaluation’ are two separate words, they are used in this context to mean the tracking of performance towards the specified targets set out at the early and construction stages of the projects’ delivery processes.   </w:t>
      </w:r>
    </w:p>
    <w:p w:rsidR="003460A5" w:rsidRPr="00D05EA9" w:rsidRDefault="003460A5" w:rsidP="00E8579F">
      <w:pPr>
        <w:spacing w:after="120" w:line="480" w:lineRule="auto"/>
        <w:contextualSpacing/>
        <w:rPr>
          <w:rFonts w:ascii="Times New Roman" w:hAnsi="Times New Roman" w:cs="Times New Roman"/>
          <w:b/>
          <w:sz w:val="24"/>
          <w:szCs w:val="24"/>
        </w:rPr>
      </w:pPr>
    </w:p>
    <w:p w:rsidR="007C180E" w:rsidRPr="0049793C" w:rsidRDefault="00B526EE" w:rsidP="00E8579F">
      <w:pPr>
        <w:spacing w:after="120" w:line="480" w:lineRule="auto"/>
        <w:contextualSpacing/>
        <w:rPr>
          <w:rFonts w:ascii="Times New Roman" w:hAnsi="Times New Roman" w:cs="Times New Roman"/>
          <w:i/>
          <w:sz w:val="24"/>
          <w:szCs w:val="24"/>
        </w:rPr>
      </w:pPr>
      <w:r w:rsidRPr="0049793C">
        <w:rPr>
          <w:rFonts w:ascii="Times New Roman" w:hAnsi="Times New Roman" w:cs="Times New Roman"/>
          <w:i/>
          <w:sz w:val="24"/>
          <w:szCs w:val="24"/>
        </w:rPr>
        <w:t xml:space="preserve">4.1 </w:t>
      </w:r>
      <w:r w:rsidR="007C180E" w:rsidRPr="0049793C">
        <w:rPr>
          <w:rFonts w:ascii="Times New Roman" w:hAnsi="Times New Roman" w:cs="Times New Roman"/>
          <w:i/>
          <w:sz w:val="24"/>
          <w:szCs w:val="24"/>
        </w:rPr>
        <w:t xml:space="preserve">Data Collection </w:t>
      </w:r>
      <w:r w:rsidR="0028210E" w:rsidRPr="0049793C">
        <w:rPr>
          <w:rFonts w:ascii="Times New Roman" w:hAnsi="Times New Roman" w:cs="Times New Roman"/>
          <w:i/>
          <w:sz w:val="24"/>
          <w:szCs w:val="24"/>
        </w:rPr>
        <w:t xml:space="preserve">Approach </w:t>
      </w:r>
    </w:p>
    <w:p w:rsidR="0090760F" w:rsidRPr="0049793C" w:rsidRDefault="0090760F" w:rsidP="0049793C">
      <w:pPr>
        <w:spacing w:after="12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 xml:space="preserve">The key practitioners (participants) </w:t>
      </w:r>
      <w:r w:rsidR="005A7384" w:rsidRPr="00D05EA9">
        <w:rPr>
          <w:rFonts w:ascii="Times New Roman" w:hAnsi="Times New Roman" w:cs="Times New Roman"/>
          <w:sz w:val="24"/>
          <w:szCs w:val="24"/>
        </w:rPr>
        <w:t xml:space="preserve">for the study </w:t>
      </w:r>
      <w:r w:rsidRPr="00D05EA9">
        <w:rPr>
          <w:rFonts w:ascii="Times New Roman" w:hAnsi="Times New Roman" w:cs="Times New Roman"/>
          <w:sz w:val="24"/>
          <w:szCs w:val="24"/>
        </w:rPr>
        <w:t xml:space="preserve">were selected through a purposive sample technique from a list of top construction organisations in the UK, with the experience and knowledge of delivering sustainable regeneration projects across </w:t>
      </w:r>
      <w:r w:rsidR="006D04EC" w:rsidRPr="00D05EA9">
        <w:rPr>
          <w:rFonts w:ascii="Times New Roman" w:hAnsi="Times New Roman" w:cs="Times New Roman"/>
          <w:sz w:val="24"/>
          <w:szCs w:val="24"/>
        </w:rPr>
        <w:t xml:space="preserve">the </w:t>
      </w:r>
      <w:r w:rsidRPr="00D05EA9">
        <w:rPr>
          <w:rFonts w:ascii="Times New Roman" w:hAnsi="Times New Roman" w:cs="Times New Roman"/>
          <w:sz w:val="24"/>
          <w:szCs w:val="24"/>
        </w:rPr>
        <w:t>UK.</w:t>
      </w:r>
      <w:r w:rsidR="00115AE6" w:rsidRPr="00D05EA9">
        <w:rPr>
          <w:rFonts w:ascii="Times New Roman" w:hAnsi="Times New Roman" w:cs="Times New Roman"/>
          <w:sz w:val="24"/>
          <w:szCs w:val="24"/>
        </w:rPr>
        <w:t xml:space="preserve"> </w:t>
      </w:r>
      <w:r w:rsidR="005B1BD7" w:rsidRPr="00D05EA9">
        <w:rPr>
          <w:rFonts w:ascii="Times New Roman" w:eastAsia="Times New Roman" w:hAnsi="Times New Roman" w:cs="Times New Roman"/>
          <w:sz w:val="24"/>
          <w:szCs w:val="24"/>
          <w:lang w:eastAsia="en-GB"/>
        </w:rPr>
        <w:t>Originally, fifteen (15) leading construction organisations in the UK were selected</w:t>
      </w:r>
      <w:r w:rsidR="003F6512" w:rsidRPr="00D05EA9">
        <w:rPr>
          <w:rFonts w:ascii="Times New Roman" w:eastAsia="Times New Roman" w:hAnsi="Times New Roman" w:cs="Times New Roman"/>
          <w:sz w:val="24"/>
          <w:szCs w:val="24"/>
          <w:lang w:eastAsia="en-GB"/>
        </w:rPr>
        <w:t xml:space="preserve"> and contacted through formal letters and proposal, explaining the purpose of the study to them. </w:t>
      </w:r>
      <w:r w:rsidR="00115AE6" w:rsidRPr="00D05EA9">
        <w:rPr>
          <w:rFonts w:ascii="Times New Roman" w:hAnsi="Times New Roman" w:cs="Times New Roman"/>
          <w:sz w:val="24"/>
          <w:szCs w:val="24"/>
        </w:rPr>
        <w:t xml:space="preserve">Follow up telephone calls were made to these construction organisations to further explain the purpose of the study. </w:t>
      </w:r>
      <w:r w:rsidR="0023310A" w:rsidRPr="00D05EA9">
        <w:rPr>
          <w:rFonts w:ascii="Times New Roman" w:hAnsi="Times New Roman" w:cs="Times New Roman"/>
          <w:sz w:val="24"/>
          <w:szCs w:val="24"/>
        </w:rPr>
        <w:t xml:space="preserve">However, in all three (3) </w:t>
      </w:r>
      <w:r w:rsidR="00A229C5" w:rsidRPr="00D05EA9">
        <w:rPr>
          <w:rFonts w:ascii="Times New Roman" w:hAnsi="Times New Roman" w:cs="Times New Roman"/>
          <w:sz w:val="24"/>
          <w:szCs w:val="24"/>
        </w:rPr>
        <w:t xml:space="preserve">out of the fifteen (15) </w:t>
      </w:r>
      <w:r w:rsidR="0023310A" w:rsidRPr="00D05EA9">
        <w:rPr>
          <w:rFonts w:ascii="Times New Roman" w:hAnsi="Times New Roman" w:cs="Times New Roman"/>
          <w:sz w:val="24"/>
          <w:szCs w:val="24"/>
        </w:rPr>
        <w:t xml:space="preserve">construction organisations agreed to participate in the study. </w:t>
      </w:r>
      <w:r w:rsidR="00115AE6" w:rsidRPr="00D05EA9">
        <w:rPr>
          <w:rFonts w:ascii="Times New Roman" w:hAnsi="Times New Roman" w:cs="Times New Roman"/>
          <w:sz w:val="24"/>
          <w:szCs w:val="24"/>
        </w:rPr>
        <w:t xml:space="preserve">Face-to-face in-depth semi-structured interviews were then conducted with the 21 </w:t>
      </w:r>
      <w:r w:rsidR="003D253E" w:rsidRPr="00D05EA9">
        <w:rPr>
          <w:rFonts w:ascii="Times New Roman" w:hAnsi="Times New Roman" w:cs="Times New Roman"/>
          <w:sz w:val="24"/>
          <w:szCs w:val="24"/>
        </w:rPr>
        <w:t>practitioners, made up of</w:t>
      </w:r>
      <w:r w:rsidR="00115AE6" w:rsidRPr="00D05EA9">
        <w:rPr>
          <w:rFonts w:ascii="Times New Roman" w:hAnsi="Times New Roman" w:cs="Times New Roman"/>
          <w:sz w:val="24"/>
          <w:szCs w:val="24"/>
        </w:rPr>
        <w:t xml:space="preserve"> seven (7) practitioners from each of the three </w:t>
      </w:r>
      <w:r w:rsidR="006D04EC" w:rsidRPr="00D05EA9">
        <w:rPr>
          <w:rFonts w:ascii="Times New Roman" w:hAnsi="Times New Roman" w:cs="Times New Roman"/>
          <w:sz w:val="24"/>
          <w:szCs w:val="24"/>
        </w:rPr>
        <w:t xml:space="preserve">agreed </w:t>
      </w:r>
      <w:r w:rsidR="00115AE6" w:rsidRPr="00D05EA9">
        <w:rPr>
          <w:rFonts w:ascii="Times New Roman" w:hAnsi="Times New Roman" w:cs="Times New Roman"/>
          <w:sz w:val="24"/>
          <w:szCs w:val="24"/>
        </w:rPr>
        <w:t xml:space="preserve">construction organisations, with each interview lasting for about an hour. </w:t>
      </w:r>
      <w:r w:rsidR="00DC057B" w:rsidRPr="00D05EA9">
        <w:rPr>
          <w:rFonts w:ascii="Times New Roman" w:eastAsia="Calibri" w:hAnsi="Times New Roman" w:cs="Times New Roman"/>
          <w:sz w:val="24"/>
          <w:szCs w:val="24"/>
        </w:rPr>
        <w:t xml:space="preserve">Each of the three agreed construction organisation was made up of seven (7) key practitioners: architect, </w:t>
      </w:r>
      <w:r w:rsidR="00DC057B" w:rsidRPr="00D05EA9">
        <w:rPr>
          <w:rFonts w:ascii="Times New Roman" w:hAnsi="Times New Roman" w:cs="Times New Roman"/>
          <w:sz w:val="24"/>
          <w:szCs w:val="24"/>
        </w:rPr>
        <w:t xml:space="preserve">client’s representatives, </w:t>
      </w:r>
      <w:r w:rsidR="00DC057B" w:rsidRPr="00D05EA9">
        <w:rPr>
          <w:rFonts w:ascii="Times New Roman" w:eastAsia="Calibri" w:hAnsi="Times New Roman" w:cs="Times New Roman"/>
          <w:sz w:val="24"/>
          <w:szCs w:val="24"/>
        </w:rPr>
        <w:t xml:space="preserve">project manager, commercial manager, sustainability manager, </w:t>
      </w:r>
      <w:r w:rsidR="00DC057B" w:rsidRPr="00D05EA9">
        <w:rPr>
          <w:rFonts w:ascii="Times New Roman" w:eastAsia="Calibri" w:hAnsi="Times New Roman" w:cs="Times New Roman"/>
          <w:sz w:val="24"/>
          <w:szCs w:val="24"/>
        </w:rPr>
        <w:lastRenderedPageBreak/>
        <w:t xml:space="preserve">regeneration manager and </w:t>
      </w:r>
      <w:r w:rsidR="00DC057B" w:rsidRPr="00D05EA9">
        <w:rPr>
          <w:rFonts w:ascii="Times New Roman" w:hAnsi="Times New Roman" w:cs="Times New Roman"/>
          <w:sz w:val="24"/>
          <w:szCs w:val="24"/>
        </w:rPr>
        <w:t xml:space="preserve">training/CSR managers as shown in Table 1. </w:t>
      </w:r>
      <w:r w:rsidR="00115AE6" w:rsidRPr="00D05EA9">
        <w:rPr>
          <w:rFonts w:ascii="Times New Roman" w:hAnsi="Times New Roman" w:cs="Times New Roman"/>
          <w:sz w:val="24"/>
          <w:szCs w:val="24"/>
        </w:rPr>
        <w:t xml:space="preserve">The interviews were conducted in an interactive and open manner with a minimum interview structure in an attempt to obtain more detailed information and also to gain a deeper appreciation of the issues with the </w:t>
      </w:r>
      <w:r w:rsidR="00F43B26" w:rsidRPr="00D05EA9">
        <w:rPr>
          <w:rFonts w:ascii="Times New Roman" w:hAnsi="Times New Roman" w:cs="Times New Roman"/>
          <w:sz w:val="24"/>
          <w:szCs w:val="24"/>
        </w:rPr>
        <w:t xml:space="preserve">key </w:t>
      </w:r>
      <w:r w:rsidR="00115AE6" w:rsidRPr="00D05EA9">
        <w:rPr>
          <w:rFonts w:ascii="Times New Roman" w:hAnsi="Times New Roman" w:cs="Times New Roman"/>
          <w:sz w:val="24"/>
          <w:szCs w:val="24"/>
        </w:rPr>
        <w:t>practitioners (</w:t>
      </w:r>
      <w:r w:rsidR="009746B7" w:rsidRPr="00D05EA9">
        <w:rPr>
          <w:rFonts w:ascii="Times New Roman" w:hAnsi="Times New Roman" w:cs="Times New Roman"/>
          <w:sz w:val="24"/>
          <w:szCs w:val="24"/>
        </w:rPr>
        <w:t xml:space="preserve">Denzin and Lincoln </w:t>
      </w:r>
      <w:r w:rsidR="00115AE6" w:rsidRPr="00D05EA9">
        <w:rPr>
          <w:rFonts w:ascii="Times New Roman" w:hAnsi="Times New Roman" w:cs="Times New Roman"/>
          <w:sz w:val="24"/>
          <w:szCs w:val="24"/>
        </w:rPr>
        <w:t>2008)</w:t>
      </w:r>
      <w:r w:rsidR="00A8325B" w:rsidRPr="00D05EA9">
        <w:rPr>
          <w:rFonts w:ascii="Times New Roman" w:hAnsi="Times New Roman" w:cs="Times New Roman"/>
          <w:sz w:val="24"/>
          <w:szCs w:val="24"/>
        </w:rPr>
        <w:t>.</w:t>
      </w:r>
    </w:p>
    <w:p w:rsidR="00BD2CAF" w:rsidRDefault="00BD2CAF" w:rsidP="00BD2CAF">
      <w:pPr>
        <w:pStyle w:val="Tabletitle"/>
      </w:pPr>
      <w:r>
        <w:t>T</w:t>
      </w:r>
      <w:r w:rsidRPr="00282399">
        <w:t xml:space="preserve">able 1: Profiles of key practitioners interviewed </w:t>
      </w:r>
    </w:p>
    <w:tbl>
      <w:tblPr>
        <w:tblStyle w:val="TableGrid"/>
        <w:tblpPr w:vertAnchor="text" w:tblpX="109" w:tblpY="1"/>
        <w:tblW w:w="9279" w:type="dxa"/>
        <w:tblLook w:val="04A0" w:firstRow="1" w:lastRow="0" w:firstColumn="1" w:lastColumn="0" w:noHBand="0" w:noVBand="1"/>
      </w:tblPr>
      <w:tblGrid>
        <w:gridCol w:w="1550"/>
        <w:gridCol w:w="2641"/>
        <w:gridCol w:w="2716"/>
        <w:gridCol w:w="2372"/>
      </w:tblGrid>
      <w:tr w:rsidR="00BD2CAF" w:rsidRPr="00BD2CAF" w:rsidTr="00BD2CAF">
        <w:trPr>
          <w:trHeight w:val="531"/>
        </w:trPr>
        <w:tc>
          <w:tcPr>
            <w:tcW w:w="1550" w:type="dxa"/>
          </w:tcPr>
          <w:p w:rsidR="00BD2CAF" w:rsidRPr="00BD2CAF" w:rsidRDefault="00BD2CAF" w:rsidP="00150FD5">
            <w:pPr>
              <w:rPr>
                <w:rFonts w:ascii="Times New Roman" w:hAnsi="Times New Roman" w:cs="Times New Roman"/>
              </w:rPr>
            </w:pPr>
            <w:r w:rsidRPr="00BD2CAF">
              <w:rPr>
                <w:rFonts w:ascii="Times New Roman" w:hAnsi="Times New Roman" w:cs="Times New Roman"/>
              </w:rPr>
              <w:t>Construction Organisation</w:t>
            </w:r>
          </w:p>
        </w:tc>
        <w:tc>
          <w:tcPr>
            <w:tcW w:w="2641" w:type="dxa"/>
          </w:tcPr>
          <w:p w:rsidR="00BD2CAF" w:rsidRPr="00BD2CAF" w:rsidRDefault="00BD2CAF" w:rsidP="00150FD5">
            <w:pPr>
              <w:rPr>
                <w:rFonts w:ascii="Times New Roman" w:hAnsi="Times New Roman" w:cs="Times New Roman"/>
              </w:rPr>
            </w:pPr>
            <w:r w:rsidRPr="00BD2CAF">
              <w:rPr>
                <w:rFonts w:ascii="Times New Roman" w:hAnsi="Times New Roman" w:cs="Times New Roman"/>
              </w:rPr>
              <w:t>Organisation 1</w:t>
            </w:r>
          </w:p>
        </w:tc>
        <w:tc>
          <w:tcPr>
            <w:tcW w:w="2716" w:type="dxa"/>
          </w:tcPr>
          <w:p w:rsidR="00BD2CAF" w:rsidRPr="00BD2CAF" w:rsidRDefault="00BD2CAF" w:rsidP="00150FD5">
            <w:pPr>
              <w:rPr>
                <w:rFonts w:ascii="Times New Roman" w:hAnsi="Times New Roman" w:cs="Times New Roman"/>
              </w:rPr>
            </w:pPr>
            <w:r w:rsidRPr="00BD2CAF">
              <w:rPr>
                <w:rFonts w:ascii="Times New Roman" w:hAnsi="Times New Roman" w:cs="Times New Roman"/>
              </w:rPr>
              <w:t>Organisation 2</w:t>
            </w:r>
          </w:p>
        </w:tc>
        <w:tc>
          <w:tcPr>
            <w:tcW w:w="2372" w:type="dxa"/>
          </w:tcPr>
          <w:p w:rsidR="00BD2CAF" w:rsidRPr="00BD2CAF" w:rsidRDefault="00BD2CAF" w:rsidP="00150FD5">
            <w:pPr>
              <w:rPr>
                <w:rFonts w:ascii="Times New Roman" w:hAnsi="Times New Roman" w:cs="Times New Roman"/>
              </w:rPr>
            </w:pPr>
            <w:r w:rsidRPr="00BD2CAF">
              <w:rPr>
                <w:rFonts w:ascii="Times New Roman" w:hAnsi="Times New Roman" w:cs="Times New Roman"/>
              </w:rPr>
              <w:t>Organisation 3</w:t>
            </w:r>
          </w:p>
        </w:tc>
      </w:tr>
      <w:tr w:rsidR="00BD2CAF" w:rsidRPr="00BD2CAF" w:rsidTr="00BD2CAF">
        <w:trPr>
          <w:trHeight w:val="355"/>
        </w:trPr>
        <w:tc>
          <w:tcPr>
            <w:tcW w:w="1550" w:type="dxa"/>
            <w:vMerge w:val="restart"/>
          </w:tcPr>
          <w:p w:rsidR="00BD2CAF" w:rsidRPr="00BD2CAF" w:rsidRDefault="00BD2CAF" w:rsidP="00150FD5">
            <w:pPr>
              <w:pStyle w:val="Newparagraph"/>
              <w:spacing w:line="240" w:lineRule="auto"/>
              <w:rPr>
                <w:sz w:val="22"/>
                <w:szCs w:val="22"/>
              </w:rPr>
            </w:pPr>
          </w:p>
          <w:p w:rsidR="00BD2CAF" w:rsidRPr="00BD2CAF" w:rsidRDefault="00BD2CAF" w:rsidP="00150FD5">
            <w:pPr>
              <w:pStyle w:val="Newparagraph"/>
              <w:spacing w:line="240" w:lineRule="auto"/>
              <w:rPr>
                <w:sz w:val="22"/>
                <w:szCs w:val="22"/>
              </w:rPr>
            </w:pPr>
          </w:p>
          <w:p w:rsidR="00BD2CAF" w:rsidRPr="00BD2CAF" w:rsidRDefault="00BD2CAF" w:rsidP="00150FD5">
            <w:pPr>
              <w:pStyle w:val="Newparagraph"/>
              <w:spacing w:line="240" w:lineRule="auto"/>
              <w:ind w:firstLine="0"/>
              <w:rPr>
                <w:sz w:val="22"/>
                <w:szCs w:val="22"/>
              </w:rPr>
            </w:pPr>
            <w:r w:rsidRPr="00BD2CAF">
              <w:rPr>
                <w:sz w:val="22"/>
                <w:szCs w:val="22"/>
              </w:rPr>
              <w:t>Practitioners Role</w:t>
            </w:r>
          </w:p>
        </w:tc>
        <w:tc>
          <w:tcPr>
            <w:tcW w:w="2641" w:type="dxa"/>
          </w:tcPr>
          <w:p w:rsidR="00BD2CAF" w:rsidRPr="00BD2CAF" w:rsidRDefault="00BD2CAF" w:rsidP="00150FD5">
            <w:pPr>
              <w:pStyle w:val="Newparagraph"/>
              <w:spacing w:line="240" w:lineRule="auto"/>
              <w:ind w:firstLine="0"/>
              <w:rPr>
                <w:sz w:val="22"/>
                <w:szCs w:val="22"/>
              </w:rPr>
            </w:pPr>
            <w:r w:rsidRPr="00BD2CAF">
              <w:rPr>
                <w:sz w:val="22"/>
                <w:szCs w:val="22"/>
              </w:rPr>
              <w:t>Architect  (AR1)</w:t>
            </w:r>
          </w:p>
        </w:tc>
        <w:tc>
          <w:tcPr>
            <w:tcW w:w="2716" w:type="dxa"/>
          </w:tcPr>
          <w:p w:rsidR="00BD2CAF" w:rsidRPr="00BD2CAF" w:rsidRDefault="00BD2CAF" w:rsidP="00150FD5">
            <w:pPr>
              <w:pStyle w:val="Newparagraph"/>
              <w:spacing w:line="240" w:lineRule="auto"/>
              <w:ind w:firstLine="0"/>
              <w:rPr>
                <w:sz w:val="22"/>
                <w:szCs w:val="22"/>
              </w:rPr>
            </w:pPr>
            <w:r w:rsidRPr="00BD2CAF">
              <w:rPr>
                <w:sz w:val="22"/>
                <w:szCs w:val="22"/>
              </w:rPr>
              <w:t>Architect (AR2)</w:t>
            </w:r>
          </w:p>
        </w:tc>
        <w:tc>
          <w:tcPr>
            <w:tcW w:w="2372" w:type="dxa"/>
          </w:tcPr>
          <w:p w:rsidR="00BD2CAF" w:rsidRPr="00BD2CAF" w:rsidRDefault="00BD2CAF" w:rsidP="00150FD5">
            <w:pPr>
              <w:pStyle w:val="Newparagraph"/>
              <w:spacing w:line="240" w:lineRule="auto"/>
              <w:ind w:firstLine="0"/>
              <w:rPr>
                <w:sz w:val="22"/>
                <w:szCs w:val="22"/>
              </w:rPr>
            </w:pPr>
            <w:r w:rsidRPr="00BD2CAF">
              <w:rPr>
                <w:sz w:val="22"/>
                <w:szCs w:val="22"/>
              </w:rPr>
              <w:t>Architect (AR3)</w:t>
            </w:r>
          </w:p>
        </w:tc>
      </w:tr>
      <w:tr w:rsidR="00BD2CAF" w:rsidRPr="00BD2CAF" w:rsidTr="00BD2CAF">
        <w:trPr>
          <w:trHeight w:val="392"/>
        </w:trPr>
        <w:tc>
          <w:tcPr>
            <w:tcW w:w="1550" w:type="dxa"/>
            <w:vMerge/>
          </w:tcPr>
          <w:p w:rsidR="00BD2CAF" w:rsidRPr="00BD2CAF" w:rsidRDefault="00BD2CAF" w:rsidP="00150FD5">
            <w:pPr>
              <w:pStyle w:val="Newparagraph"/>
              <w:spacing w:line="240" w:lineRule="auto"/>
              <w:rPr>
                <w:sz w:val="22"/>
                <w:szCs w:val="22"/>
              </w:rPr>
            </w:pPr>
          </w:p>
        </w:tc>
        <w:tc>
          <w:tcPr>
            <w:tcW w:w="2641" w:type="dxa"/>
          </w:tcPr>
          <w:p w:rsidR="00BD2CAF" w:rsidRPr="00BD2CAF" w:rsidRDefault="00BD2CAF" w:rsidP="00150FD5">
            <w:pPr>
              <w:pStyle w:val="Newparagraph"/>
              <w:spacing w:line="240" w:lineRule="auto"/>
              <w:ind w:firstLine="0"/>
              <w:rPr>
                <w:bCs/>
                <w:sz w:val="22"/>
                <w:szCs w:val="22"/>
              </w:rPr>
            </w:pPr>
            <w:r w:rsidRPr="00BD2CAF">
              <w:rPr>
                <w:bCs/>
                <w:sz w:val="22"/>
                <w:szCs w:val="22"/>
              </w:rPr>
              <w:t>Client representative (CR1)</w:t>
            </w:r>
          </w:p>
        </w:tc>
        <w:tc>
          <w:tcPr>
            <w:tcW w:w="2716" w:type="dxa"/>
          </w:tcPr>
          <w:p w:rsidR="00BD2CAF" w:rsidRPr="00BD2CAF" w:rsidRDefault="00BD2CAF" w:rsidP="00150FD5">
            <w:pPr>
              <w:pStyle w:val="Newparagraph"/>
              <w:spacing w:line="240" w:lineRule="auto"/>
              <w:ind w:firstLine="0"/>
              <w:rPr>
                <w:bCs/>
                <w:sz w:val="22"/>
                <w:szCs w:val="22"/>
              </w:rPr>
            </w:pPr>
            <w:r w:rsidRPr="00BD2CAF">
              <w:rPr>
                <w:bCs/>
                <w:sz w:val="22"/>
                <w:szCs w:val="22"/>
              </w:rPr>
              <w:t>Client representative (CR2)</w:t>
            </w:r>
          </w:p>
        </w:tc>
        <w:tc>
          <w:tcPr>
            <w:tcW w:w="2372" w:type="dxa"/>
          </w:tcPr>
          <w:p w:rsidR="00BD2CAF" w:rsidRPr="00BD2CAF" w:rsidRDefault="00BD2CAF" w:rsidP="00150FD5">
            <w:pPr>
              <w:pStyle w:val="Newparagraph"/>
              <w:spacing w:line="240" w:lineRule="auto"/>
              <w:ind w:firstLine="0"/>
              <w:rPr>
                <w:sz w:val="22"/>
                <w:szCs w:val="22"/>
              </w:rPr>
            </w:pPr>
            <w:r w:rsidRPr="00BD2CAF">
              <w:rPr>
                <w:bCs/>
                <w:sz w:val="22"/>
                <w:szCs w:val="22"/>
              </w:rPr>
              <w:t>Client representative (CR3)</w:t>
            </w:r>
          </w:p>
        </w:tc>
      </w:tr>
      <w:tr w:rsidR="00BD2CAF" w:rsidRPr="00BD2CAF" w:rsidTr="00BD2CAF">
        <w:trPr>
          <w:trHeight w:val="230"/>
        </w:trPr>
        <w:tc>
          <w:tcPr>
            <w:tcW w:w="1550" w:type="dxa"/>
            <w:vMerge/>
          </w:tcPr>
          <w:p w:rsidR="00BD2CAF" w:rsidRPr="00BD2CAF" w:rsidRDefault="00BD2CAF" w:rsidP="00150FD5">
            <w:pPr>
              <w:pStyle w:val="Newparagraph"/>
              <w:spacing w:line="240" w:lineRule="auto"/>
              <w:rPr>
                <w:sz w:val="22"/>
                <w:szCs w:val="22"/>
              </w:rPr>
            </w:pPr>
          </w:p>
        </w:tc>
        <w:tc>
          <w:tcPr>
            <w:tcW w:w="2641" w:type="dxa"/>
          </w:tcPr>
          <w:p w:rsidR="00BD2CAF" w:rsidRPr="00BD2CAF" w:rsidRDefault="00BD2CAF" w:rsidP="00150FD5">
            <w:pPr>
              <w:pStyle w:val="Newparagraph"/>
              <w:spacing w:line="240" w:lineRule="auto"/>
              <w:ind w:firstLine="0"/>
              <w:rPr>
                <w:sz w:val="22"/>
                <w:szCs w:val="22"/>
              </w:rPr>
            </w:pPr>
            <w:r w:rsidRPr="00BD2CAF">
              <w:rPr>
                <w:sz w:val="22"/>
                <w:szCs w:val="22"/>
              </w:rPr>
              <w:t>Project manager (PM1)</w:t>
            </w:r>
          </w:p>
        </w:tc>
        <w:tc>
          <w:tcPr>
            <w:tcW w:w="2716" w:type="dxa"/>
          </w:tcPr>
          <w:p w:rsidR="00BD2CAF" w:rsidRPr="00BD2CAF" w:rsidRDefault="00BD2CAF" w:rsidP="00150FD5">
            <w:pPr>
              <w:pStyle w:val="Newparagraph"/>
              <w:spacing w:line="240" w:lineRule="auto"/>
              <w:ind w:firstLine="0"/>
              <w:rPr>
                <w:sz w:val="22"/>
                <w:szCs w:val="22"/>
              </w:rPr>
            </w:pPr>
            <w:r w:rsidRPr="00BD2CAF">
              <w:rPr>
                <w:sz w:val="22"/>
                <w:szCs w:val="22"/>
              </w:rPr>
              <w:t>Project manager (PM2)</w:t>
            </w:r>
          </w:p>
        </w:tc>
        <w:tc>
          <w:tcPr>
            <w:tcW w:w="2372" w:type="dxa"/>
          </w:tcPr>
          <w:p w:rsidR="00BD2CAF" w:rsidRPr="00BD2CAF" w:rsidRDefault="00BD2CAF" w:rsidP="00150FD5">
            <w:pPr>
              <w:pStyle w:val="Newparagraph"/>
              <w:spacing w:line="240" w:lineRule="auto"/>
              <w:ind w:firstLine="0"/>
              <w:rPr>
                <w:sz w:val="22"/>
                <w:szCs w:val="22"/>
              </w:rPr>
            </w:pPr>
            <w:r w:rsidRPr="00BD2CAF">
              <w:rPr>
                <w:sz w:val="22"/>
                <w:szCs w:val="22"/>
              </w:rPr>
              <w:t>Project manager (PM3)</w:t>
            </w:r>
          </w:p>
        </w:tc>
      </w:tr>
      <w:tr w:rsidR="00BD2CAF" w:rsidRPr="00BD2CAF" w:rsidTr="00BD2CAF">
        <w:trPr>
          <w:trHeight w:val="150"/>
        </w:trPr>
        <w:tc>
          <w:tcPr>
            <w:tcW w:w="1550" w:type="dxa"/>
            <w:vMerge/>
          </w:tcPr>
          <w:p w:rsidR="00BD2CAF" w:rsidRPr="00BD2CAF" w:rsidRDefault="00BD2CAF" w:rsidP="00150FD5">
            <w:pPr>
              <w:pStyle w:val="Newparagraph"/>
              <w:spacing w:line="240" w:lineRule="auto"/>
              <w:rPr>
                <w:sz w:val="22"/>
                <w:szCs w:val="22"/>
              </w:rPr>
            </w:pPr>
          </w:p>
        </w:tc>
        <w:tc>
          <w:tcPr>
            <w:tcW w:w="2641" w:type="dxa"/>
          </w:tcPr>
          <w:p w:rsidR="00BD2CAF" w:rsidRPr="00BD2CAF" w:rsidRDefault="00BD2CAF" w:rsidP="00150FD5">
            <w:pPr>
              <w:pStyle w:val="Newparagraph"/>
              <w:spacing w:line="240" w:lineRule="auto"/>
              <w:ind w:firstLine="0"/>
              <w:rPr>
                <w:sz w:val="22"/>
                <w:szCs w:val="22"/>
              </w:rPr>
            </w:pPr>
            <w:r w:rsidRPr="00BD2CAF">
              <w:rPr>
                <w:sz w:val="22"/>
                <w:szCs w:val="22"/>
              </w:rPr>
              <w:t xml:space="preserve">Commercial manager (CM1) </w:t>
            </w:r>
          </w:p>
        </w:tc>
        <w:tc>
          <w:tcPr>
            <w:tcW w:w="2716" w:type="dxa"/>
          </w:tcPr>
          <w:p w:rsidR="00BD2CAF" w:rsidRPr="00BD2CAF" w:rsidRDefault="00BD2CAF" w:rsidP="00150FD5">
            <w:pPr>
              <w:pStyle w:val="Newparagraph"/>
              <w:spacing w:line="240" w:lineRule="auto"/>
              <w:ind w:firstLine="0"/>
              <w:rPr>
                <w:sz w:val="22"/>
                <w:szCs w:val="22"/>
              </w:rPr>
            </w:pPr>
            <w:r w:rsidRPr="00BD2CAF">
              <w:rPr>
                <w:sz w:val="22"/>
                <w:szCs w:val="22"/>
              </w:rPr>
              <w:t xml:space="preserve">Commercial manager (CM2) </w:t>
            </w:r>
          </w:p>
        </w:tc>
        <w:tc>
          <w:tcPr>
            <w:tcW w:w="2372" w:type="dxa"/>
          </w:tcPr>
          <w:p w:rsidR="00BD2CAF" w:rsidRPr="00BD2CAF" w:rsidRDefault="00BD2CAF" w:rsidP="00150FD5">
            <w:pPr>
              <w:pStyle w:val="Newparagraph"/>
              <w:spacing w:line="240" w:lineRule="auto"/>
              <w:ind w:firstLine="0"/>
              <w:rPr>
                <w:sz w:val="22"/>
                <w:szCs w:val="22"/>
              </w:rPr>
            </w:pPr>
            <w:r w:rsidRPr="00BD2CAF">
              <w:rPr>
                <w:sz w:val="22"/>
                <w:szCs w:val="22"/>
              </w:rPr>
              <w:t>Commercial manager (CM3)</w:t>
            </w:r>
          </w:p>
        </w:tc>
      </w:tr>
      <w:tr w:rsidR="00BD2CAF" w:rsidRPr="00BD2CAF" w:rsidTr="00BD2CAF">
        <w:trPr>
          <w:trHeight w:val="540"/>
        </w:trPr>
        <w:tc>
          <w:tcPr>
            <w:tcW w:w="1550" w:type="dxa"/>
            <w:vMerge/>
          </w:tcPr>
          <w:p w:rsidR="00BD2CAF" w:rsidRPr="00BD2CAF" w:rsidRDefault="00BD2CAF" w:rsidP="00150FD5">
            <w:pPr>
              <w:pStyle w:val="Newparagraph"/>
              <w:spacing w:line="240" w:lineRule="auto"/>
              <w:rPr>
                <w:sz w:val="22"/>
                <w:szCs w:val="22"/>
              </w:rPr>
            </w:pPr>
          </w:p>
        </w:tc>
        <w:tc>
          <w:tcPr>
            <w:tcW w:w="2641" w:type="dxa"/>
          </w:tcPr>
          <w:p w:rsidR="00BD2CAF" w:rsidRPr="00BD2CAF" w:rsidRDefault="00BD2CAF" w:rsidP="00150FD5">
            <w:pPr>
              <w:pStyle w:val="Newparagraph"/>
              <w:spacing w:line="240" w:lineRule="auto"/>
              <w:ind w:firstLine="0"/>
              <w:rPr>
                <w:sz w:val="22"/>
                <w:szCs w:val="22"/>
              </w:rPr>
            </w:pPr>
            <w:r w:rsidRPr="00BD2CAF">
              <w:rPr>
                <w:sz w:val="22"/>
                <w:szCs w:val="22"/>
              </w:rPr>
              <w:t>Sustainability manager (SM1)</w:t>
            </w:r>
          </w:p>
        </w:tc>
        <w:tc>
          <w:tcPr>
            <w:tcW w:w="2716" w:type="dxa"/>
          </w:tcPr>
          <w:p w:rsidR="00BD2CAF" w:rsidRPr="00BD2CAF" w:rsidRDefault="00BD2CAF" w:rsidP="00150FD5">
            <w:pPr>
              <w:pStyle w:val="Newparagraph"/>
              <w:spacing w:line="240" w:lineRule="auto"/>
              <w:ind w:firstLine="0"/>
              <w:rPr>
                <w:sz w:val="22"/>
                <w:szCs w:val="22"/>
              </w:rPr>
            </w:pPr>
            <w:r w:rsidRPr="00BD2CAF">
              <w:rPr>
                <w:sz w:val="22"/>
                <w:szCs w:val="22"/>
              </w:rPr>
              <w:t>Sustainability manager (SM2)</w:t>
            </w:r>
          </w:p>
        </w:tc>
        <w:tc>
          <w:tcPr>
            <w:tcW w:w="2372" w:type="dxa"/>
          </w:tcPr>
          <w:p w:rsidR="00BD2CAF" w:rsidRPr="00BD2CAF" w:rsidRDefault="00BD2CAF" w:rsidP="00150FD5">
            <w:pPr>
              <w:pStyle w:val="Newparagraph"/>
              <w:spacing w:line="240" w:lineRule="auto"/>
              <w:ind w:firstLine="0"/>
              <w:rPr>
                <w:sz w:val="22"/>
                <w:szCs w:val="22"/>
              </w:rPr>
            </w:pPr>
            <w:r w:rsidRPr="00BD2CAF">
              <w:rPr>
                <w:sz w:val="22"/>
                <w:szCs w:val="22"/>
              </w:rPr>
              <w:t>Sustainability manager (SM3)</w:t>
            </w:r>
          </w:p>
        </w:tc>
      </w:tr>
      <w:tr w:rsidR="00BD2CAF" w:rsidRPr="00BD2CAF" w:rsidTr="00BD2CAF">
        <w:trPr>
          <w:trHeight w:val="649"/>
        </w:trPr>
        <w:tc>
          <w:tcPr>
            <w:tcW w:w="1550" w:type="dxa"/>
            <w:vMerge/>
          </w:tcPr>
          <w:p w:rsidR="00BD2CAF" w:rsidRPr="00BD2CAF" w:rsidRDefault="00BD2CAF" w:rsidP="00150FD5">
            <w:pPr>
              <w:pStyle w:val="Newparagraph"/>
              <w:spacing w:line="240" w:lineRule="auto"/>
              <w:rPr>
                <w:sz w:val="22"/>
                <w:szCs w:val="22"/>
              </w:rPr>
            </w:pPr>
          </w:p>
        </w:tc>
        <w:tc>
          <w:tcPr>
            <w:tcW w:w="2641" w:type="dxa"/>
          </w:tcPr>
          <w:p w:rsidR="00BD2CAF" w:rsidRPr="00BD2CAF" w:rsidRDefault="00BD2CAF" w:rsidP="00150FD5">
            <w:pPr>
              <w:pStyle w:val="Newparagraph"/>
              <w:spacing w:line="240" w:lineRule="auto"/>
              <w:ind w:firstLine="0"/>
              <w:rPr>
                <w:sz w:val="22"/>
                <w:szCs w:val="22"/>
              </w:rPr>
            </w:pPr>
            <w:r w:rsidRPr="00BD2CAF">
              <w:rPr>
                <w:sz w:val="22"/>
                <w:szCs w:val="22"/>
              </w:rPr>
              <w:t>Regeneration manager (RM1)</w:t>
            </w:r>
          </w:p>
        </w:tc>
        <w:tc>
          <w:tcPr>
            <w:tcW w:w="2716" w:type="dxa"/>
          </w:tcPr>
          <w:p w:rsidR="00BD2CAF" w:rsidRPr="00BD2CAF" w:rsidRDefault="00BD2CAF" w:rsidP="00150FD5">
            <w:pPr>
              <w:pStyle w:val="Newparagraph"/>
              <w:spacing w:line="240" w:lineRule="auto"/>
              <w:ind w:firstLine="0"/>
              <w:rPr>
                <w:sz w:val="22"/>
                <w:szCs w:val="22"/>
              </w:rPr>
            </w:pPr>
            <w:r w:rsidRPr="00BD2CAF">
              <w:rPr>
                <w:sz w:val="22"/>
                <w:szCs w:val="22"/>
              </w:rPr>
              <w:t>Regeneration manager (RM2)</w:t>
            </w:r>
          </w:p>
        </w:tc>
        <w:tc>
          <w:tcPr>
            <w:tcW w:w="2372" w:type="dxa"/>
          </w:tcPr>
          <w:p w:rsidR="00BD2CAF" w:rsidRPr="00BD2CAF" w:rsidRDefault="00BD2CAF" w:rsidP="00150FD5">
            <w:pPr>
              <w:pStyle w:val="Newparagraph"/>
              <w:spacing w:line="240" w:lineRule="auto"/>
              <w:ind w:firstLine="0"/>
              <w:rPr>
                <w:sz w:val="22"/>
                <w:szCs w:val="22"/>
              </w:rPr>
            </w:pPr>
            <w:r w:rsidRPr="00BD2CAF">
              <w:rPr>
                <w:sz w:val="22"/>
                <w:szCs w:val="22"/>
              </w:rPr>
              <w:t>Regeneration manager (RM3)</w:t>
            </w:r>
          </w:p>
        </w:tc>
      </w:tr>
      <w:tr w:rsidR="00BD2CAF" w:rsidRPr="00BD2CAF" w:rsidTr="00BD2CAF">
        <w:trPr>
          <w:trHeight w:val="618"/>
        </w:trPr>
        <w:tc>
          <w:tcPr>
            <w:tcW w:w="1550" w:type="dxa"/>
            <w:vMerge/>
          </w:tcPr>
          <w:p w:rsidR="00BD2CAF" w:rsidRPr="00BD2CAF" w:rsidRDefault="00BD2CAF" w:rsidP="00150FD5">
            <w:pPr>
              <w:pStyle w:val="Newparagraph"/>
              <w:spacing w:line="240" w:lineRule="auto"/>
              <w:rPr>
                <w:sz w:val="22"/>
                <w:szCs w:val="22"/>
              </w:rPr>
            </w:pPr>
          </w:p>
        </w:tc>
        <w:tc>
          <w:tcPr>
            <w:tcW w:w="2641" w:type="dxa"/>
          </w:tcPr>
          <w:p w:rsidR="00BD2CAF" w:rsidRPr="00BD2CAF" w:rsidRDefault="00BD2CAF" w:rsidP="00150FD5">
            <w:pPr>
              <w:pStyle w:val="Newparagraph"/>
              <w:spacing w:line="240" w:lineRule="auto"/>
              <w:ind w:firstLine="0"/>
              <w:rPr>
                <w:bCs/>
                <w:sz w:val="22"/>
                <w:szCs w:val="22"/>
              </w:rPr>
            </w:pPr>
            <w:r w:rsidRPr="00BD2CAF">
              <w:rPr>
                <w:bCs/>
                <w:sz w:val="22"/>
                <w:szCs w:val="22"/>
              </w:rPr>
              <w:t>Training/CSR manager (TM/CSRM 1)</w:t>
            </w:r>
          </w:p>
        </w:tc>
        <w:tc>
          <w:tcPr>
            <w:tcW w:w="2716" w:type="dxa"/>
          </w:tcPr>
          <w:p w:rsidR="00BD2CAF" w:rsidRPr="00BD2CAF" w:rsidRDefault="00BD2CAF" w:rsidP="00150FD5">
            <w:pPr>
              <w:pStyle w:val="Newparagraph"/>
              <w:spacing w:line="240" w:lineRule="auto"/>
              <w:ind w:firstLine="0"/>
              <w:rPr>
                <w:sz w:val="22"/>
                <w:szCs w:val="22"/>
              </w:rPr>
            </w:pPr>
            <w:r w:rsidRPr="00BD2CAF">
              <w:rPr>
                <w:sz w:val="22"/>
                <w:szCs w:val="22"/>
              </w:rPr>
              <w:t>Training/CSR manager (TM/CSRM 2)</w:t>
            </w:r>
          </w:p>
        </w:tc>
        <w:tc>
          <w:tcPr>
            <w:tcW w:w="2372" w:type="dxa"/>
          </w:tcPr>
          <w:p w:rsidR="00BD2CAF" w:rsidRPr="00BD2CAF" w:rsidRDefault="00BD2CAF" w:rsidP="00150FD5">
            <w:pPr>
              <w:pStyle w:val="Newparagraph"/>
              <w:spacing w:line="240" w:lineRule="auto"/>
              <w:ind w:firstLine="0"/>
              <w:rPr>
                <w:sz w:val="22"/>
                <w:szCs w:val="22"/>
              </w:rPr>
            </w:pPr>
            <w:r w:rsidRPr="00BD2CAF">
              <w:rPr>
                <w:bCs/>
                <w:sz w:val="22"/>
                <w:szCs w:val="22"/>
              </w:rPr>
              <w:t>Training/CSR manager (TM/CSRM 3)</w:t>
            </w:r>
          </w:p>
        </w:tc>
      </w:tr>
    </w:tbl>
    <w:p w:rsidR="00BD2CAF" w:rsidRDefault="00BD2CAF" w:rsidP="00BD2CAF">
      <w:pPr>
        <w:pStyle w:val="References"/>
        <w:ind w:left="0" w:firstLine="0"/>
      </w:pPr>
    </w:p>
    <w:p w:rsidR="00BD2CAF" w:rsidRPr="00D05EA9" w:rsidRDefault="00BD2CAF" w:rsidP="007468CF">
      <w:pPr>
        <w:spacing w:after="120" w:line="240" w:lineRule="auto"/>
        <w:contextualSpacing/>
        <w:jc w:val="both"/>
        <w:rPr>
          <w:rFonts w:ascii="Times New Roman" w:eastAsia="Calibri" w:hAnsi="Times New Roman" w:cs="Times New Roman"/>
          <w:bCs/>
          <w:sz w:val="24"/>
          <w:szCs w:val="24"/>
        </w:rPr>
      </w:pPr>
    </w:p>
    <w:p w:rsidR="00D6291E" w:rsidRPr="00D05EA9" w:rsidRDefault="00D6291E" w:rsidP="008C2A86">
      <w:pPr>
        <w:spacing w:after="120" w:line="480" w:lineRule="auto"/>
        <w:contextualSpacing/>
        <w:jc w:val="both"/>
        <w:rPr>
          <w:rFonts w:ascii="Times New Roman" w:hAnsi="Times New Roman" w:cs="Times New Roman"/>
          <w:sz w:val="24"/>
          <w:szCs w:val="24"/>
        </w:rPr>
      </w:pPr>
      <w:r w:rsidRPr="00D05EA9">
        <w:rPr>
          <w:rFonts w:ascii="Times New Roman" w:eastAsia="Calibri" w:hAnsi="Times New Roman" w:cs="Times New Roman"/>
          <w:bCs/>
          <w:sz w:val="24"/>
          <w:szCs w:val="24"/>
        </w:rPr>
        <w:t xml:space="preserve">The </w:t>
      </w:r>
      <w:r w:rsidR="0061384D" w:rsidRPr="00D05EA9">
        <w:rPr>
          <w:rFonts w:ascii="Times New Roman" w:eastAsia="Calibri" w:hAnsi="Times New Roman" w:cs="Times New Roman"/>
          <w:bCs/>
          <w:sz w:val="24"/>
          <w:szCs w:val="24"/>
        </w:rPr>
        <w:t>semi-structured interview</w:t>
      </w:r>
      <w:r w:rsidRPr="00D05EA9">
        <w:rPr>
          <w:rFonts w:ascii="Times New Roman" w:eastAsia="Calibri" w:hAnsi="Times New Roman" w:cs="Times New Roman"/>
          <w:bCs/>
          <w:sz w:val="24"/>
          <w:szCs w:val="24"/>
        </w:rPr>
        <w:t xml:space="preserve"> results obtained from practitioners </w:t>
      </w:r>
      <w:r w:rsidRPr="00D05EA9">
        <w:rPr>
          <w:rFonts w:ascii="Times New Roman" w:eastAsia="Calibri" w:hAnsi="Times New Roman" w:cs="Times New Roman"/>
          <w:sz w:val="24"/>
          <w:szCs w:val="24"/>
        </w:rPr>
        <w:t xml:space="preserve">who participated in the study are presented in </w:t>
      </w:r>
      <w:r w:rsidR="009746B7" w:rsidRPr="00D05EA9">
        <w:rPr>
          <w:rFonts w:ascii="Times New Roman" w:eastAsia="Calibri" w:hAnsi="Times New Roman" w:cs="Times New Roman"/>
          <w:sz w:val="24"/>
          <w:szCs w:val="24"/>
        </w:rPr>
        <w:t>T</w:t>
      </w:r>
      <w:r w:rsidRPr="00D05EA9">
        <w:rPr>
          <w:rFonts w:ascii="Times New Roman" w:eastAsia="Calibri" w:hAnsi="Times New Roman" w:cs="Times New Roman"/>
          <w:sz w:val="24"/>
          <w:szCs w:val="24"/>
        </w:rPr>
        <w:t>able 2 below.</w:t>
      </w:r>
      <w:r w:rsidR="00CD60D9" w:rsidRPr="00D05EA9">
        <w:rPr>
          <w:rFonts w:ascii="Times New Roman" w:hAnsi="Times New Roman" w:cs="Times New Roman"/>
          <w:bCs/>
          <w:sz w:val="24"/>
          <w:szCs w:val="24"/>
        </w:rPr>
        <w:t xml:space="preserve"> </w:t>
      </w:r>
      <w:r w:rsidR="009E7FB1" w:rsidRPr="00D05EA9">
        <w:rPr>
          <w:rFonts w:ascii="Times New Roman" w:hAnsi="Times New Roman" w:cs="Times New Roman"/>
          <w:bCs/>
          <w:sz w:val="24"/>
          <w:szCs w:val="24"/>
        </w:rPr>
        <w:t>From the</w:t>
      </w:r>
      <w:r w:rsidR="00E33D81" w:rsidRPr="00D05EA9">
        <w:rPr>
          <w:rFonts w:ascii="Times New Roman" w:hAnsi="Times New Roman" w:cs="Times New Roman"/>
          <w:bCs/>
          <w:sz w:val="24"/>
          <w:szCs w:val="24"/>
        </w:rPr>
        <w:t xml:space="preserve"> initial </w:t>
      </w:r>
      <w:r w:rsidR="008655BD" w:rsidRPr="00D05EA9">
        <w:rPr>
          <w:rFonts w:ascii="Times New Roman" w:hAnsi="Times New Roman" w:cs="Times New Roman"/>
          <w:bCs/>
          <w:sz w:val="24"/>
          <w:szCs w:val="24"/>
        </w:rPr>
        <w:t xml:space="preserve">analysis of the interviews </w:t>
      </w:r>
      <w:r w:rsidR="00E33D81" w:rsidRPr="00D05EA9">
        <w:rPr>
          <w:rFonts w:ascii="Times New Roman" w:hAnsi="Times New Roman" w:cs="Times New Roman"/>
          <w:bCs/>
          <w:sz w:val="24"/>
          <w:szCs w:val="24"/>
        </w:rPr>
        <w:t>data</w:t>
      </w:r>
      <w:r w:rsidR="009E7FB1" w:rsidRPr="00D05EA9">
        <w:rPr>
          <w:rFonts w:ascii="Times New Roman" w:hAnsi="Times New Roman" w:cs="Times New Roman"/>
          <w:bCs/>
          <w:sz w:val="24"/>
          <w:szCs w:val="24"/>
        </w:rPr>
        <w:t>, it was</w:t>
      </w:r>
      <w:r w:rsidR="00E33D81" w:rsidRPr="00D05EA9">
        <w:rPr>
          <w:rFonts w:ascii="Times New Roman" w:hAnsi="Times New Roman" w:cs="Times New Roman"/>
          <w:bCs/>
          <w:sz w:val="24"/>
          <w:szCs w:val="24"/>
        </w:rPr>
        <w:t xml:space="preserve"> revealed that the</w:t>
      </w:r>
      <w:r w:rsidR="003C6708" w:rsidRPr="00D05EA9">
        <w:rPr>
          <w:rFonts w:ascii="Times New Roman" w:hAnsi="Times New Roman" w:cs="Times New Roman"/>
          <w:bCs/>
          <w:sz w:val="24"/>
          <w:szCs w:val="24"/>
        </w:rPr>
        <w:t>re were</w:t>
      </w:r>
      <w:r w:rsidR="00CD60D9" w:rsidRPr="00D05EA9">
        <w:rPr>
          <w:rFonts w:ascii="Times New Roman" w:hAnsi="Times New Roman" w:cs="Times New Roman"/>
          <w:bCs/>
          <w:sz w:val="24"/>
          <w:szCs w:val="24"/>
        </w:rPr>
        <w:t xml:space="preserve"> primarily two main </w:t>
      </w:r>
      <w:r w:rsidR="00EA6674" w:rsidRPr="00D05EA9">
        <w:rPr>
          <w:rFonts w:ascii="Times New Roman" w:hAnsi="Times New Roman" w:cs="Times New Roman"/>
          <w:sz w:val="24"/>
          <w:szCs w:val="24"/>
        </w:rPr>
        <w:t>categories</w:t>
      </w:r>
      <w:r w:rsidR="00EA6674" w:rsidRPr="00D05EA9">
        <w:rPr>
          <w:rFonts w:ascii="Times New Roman" w:hAnsi="Times New Roman" w:cs="Times New Roman"/>
          <w:bCs/>
          <w:sz w:val="24"/>
          <w:szCs w:val="24"/>
        </w:rPr>
        <w:t>/</w:t>
      </w:r>
      <w:r w:rsidR="00CD60D9" w:rsidRPr="00D05EA9">
        <w:rPr>
          <w:rFonts w:ascii="Times New Roman" w:hAnsi="Times New Roman" w:cs="Times New Roman"/>
          <w:bCs/>
          <w:sz w:val="24"/>
          <w:szCs w:val="24"/>
        </w:rPr>
        <w:t>levels of</w:t>
      </w:r>
      <w:r w:rsidR="00CD60D9" w:rsidRPr="00D05EA9">
        <w:rPr>
          <w:rFonts w:ascii="Times New Roman" w:hAnsi="Times New Roman" w:cs="Times New Roman"/>
          <w:sz w:val="24"/>
          <w:szCs w:val="24"/>
        </w:rPr>
        <w:t xml:space="preserve"> practitioners’ involvement </w:t>
      </w:r>
      <w:r w:rsidR="00AB38BA" w:rsidRPr="00D05EA9">
        <w:rPr>
          <w:rFonts w:ascii="Times New Roman" w:hAnsi="Times New Roman" w:cs="Times New Roman"/>
          <w:sz w:val="24"/>
          <w:szCs w:val="24"/>
        </w:rPr>
        <w:t>(</w:t>
      </w:r>
      <w:r w:rsidR="00AB38BA" w:rsidRPr="00D05EA9">
        <w:rPr>
          <w:rFonts w:ascii="Times New Roman" w:eastAsia="Calibri" w:hAnsi="Times New Roman" w:cs="Times New Roman"/>
          <w:iCs/>
          <w:sz w:val="24"/>
          <w:szCs w:val="24"/>
          <w:lang w:val="en-US"/>
        </w:rPr>
        <w:t xml:space="preserve">high </w:t>
      </w:r>
      <w:r w:rsidR="00AC2220" w:rsidRPr="00D05EA9">
        <w:rPr>
          <w:rFonts w:ascii="Times New Roman" w:eastAsia="Calibri" w:hAnsi="Times New Roman" w:cs="Times New Roman"/>
          <w:iCs/>
          <w:sz w:val="24"/>
          <w:szCs w:val="24"/>
          <w:lang w:val="en-US"/>
        </w:rPr>
        <w:t xml:space="preserve">and low levels </w:t>
      </w:r>
      <w:r w:rsidR="00AB38BA" w:rsidRPr="00D05EA9">
        <w:rPr>
          <w:rFonts w:ascii="Times New Roman" w:eastAsia="Calibri" w:hAnsi="Times New Roman" w:cs="Times New Roman"/>
          <w:iCs/>
          <w:sz w:val="24"/>
          <w:szCs w:val="24"/>
          <w:lang w:val="en-US"/>
        </w:rPr>
        <w:t>of involvement</w:t>
      </w:r>
      <w:r w:rsidR="00AB38BA" w:rsidRPr="00D05EA9">
        <w:rPr>
          <w:rFonts w:ascii="Times New Roman" w:eastAsia="Calibri" w:hAnsi="Times New Roman" w:cs="Times New Roman"/>
          <w:sz w:val="24"/>
          <w:szCs w:val="24"/>
          <w:lang w:val="en-US"/>
        </w:rPr>
        <w:t>)</w:t>
      </w:r>
      <w:r w:rsidR="00AB38BA" w:rsidRPr="00D05EA9">
        <w:rPr>
          <w:rFonts w:ascii="Times New Roman" w:hAnsi="Times New Roman" w:cs="Times New Roman"/>
          <w:sz w:val="24"/>
          <w:szCs w:val="24"/>
        </w:rPr>
        <w:t xml:space="preserve"> </w:t>
      </w:r>
      <w:r w:rsidR="00CD60D9" w:rsidRPr="00D05EA9">
        <w:rPr>
          <w:rFonts w:ascii="Times New Roman" w:hAnsi="Times New Roman" w:cs="Times New Roman"/>
          <w:sz w:val="24"/>
          <w:szCs w:val="24"/>
        </w:rPr>
        <w:t>in the projects’ delivery stages</w:t>
      </w:r>
      <w:r w:rsidR="008655BD" w:rsidRPr="00D05EA9">
        <w:rPr>
          <w:rFonts w:ascii="Times New Roman" w:hAnsi="Times New Roman" w:cs="Times New Roman"/>
          <w:bCs/>
          <w:sz w:val="24"/>
          <w:szCs w:val="24"/>
        </w:rPr>
        <w:t xml:space="preserve"> as shown in </w:t>
      </w:r>
      <w:r w:rsidR="009746B7" w:rsidRPr="00D05EA9">
        <w:rPr>
          <w:rFonts w:ascii="Times New Roman" w:hAnsi="Times New Roman" w:cs="Times New Roman"/>
          <w:bCs/>
          <w:sz w:val="24"/>
          <w:szCs w:val="24"/>
        </w:rPr>
        <w:t>T</w:t>
      </w:r>
      <w:r w:rsidR="008655BD" w:rsidRPr="00D05EA9">
        <w:rPr>
          <w:rFonts w:ascii="Times New Roman" w:hAnsi="Times New Roman" w:cs="Times New Roman"/>
          <w:bCs/>
          <w:sz w:val="24"/>
          <w:szCs w:val="24"/>
        </w:rPr>
        <w:t>able 2</w:t>
      </w:r>
      <w:r w:rsidR="00AB38BA" w:rsidRPr="00D05EA9">
        <w:rPr>
          <w:rFonts w:ascii="Times New Roman" w:hAnsi="Times New Roman" w:cs="Times New Roman"/>
          <w:sz w:val="24"/>
          <w:szCs w:val="24"/>
        </w:rPr>
        <w:t>.</w:t>
      </w:r>
    </w:p>
    <w:p w:rsidR="00E33D81" w:rsidRPr="00D05EA9" w:rsidRDefault="00E33D81" w:rsidP="008C461C">
      <w:pPr>
        <w:spacing w:after="120" w:line="240" w:lineRule="auto"/>
        <w:contextualSpacing/>
        <w:rPr>
          <w:rFonts w:ascii="Times New Roman" w:eastAsia="Calibri" w:hAnsi="Times New Roman" w:cs="Times New Roman"/>
          <w:bCs/>
          <w:sz w:val="24"/>
          <w:szCs w:val="24"/>
        </w:rPr>
      </w:pPr>
    </w:p>
    <w:p w:rsidR="00BD2CAF" w:rsidRDefault="00BD2CAF" w:rsidP="00BD2CAF">
      <w:pPr>
        <w:pStyle w:val="Tabletitle"/>
        <w:rPr>
          <w:bCs/>
        </w:rPr>
      </w:pPr>
    </w:p>
    <w:p w:rsidR="00BD2CAF" w:rsidRDefault="00BD2CAF" w:rsidP="00BD2CAF">
      <w:pPr>
        <w:pStyle w:val="Tabletitle"/>
        <w:rPr>
          <w:bCs/>
        </w:rPr>
      </w:pPr>
    </w:p>
    <w:p w:rsidR="00BD2CAF" w:rsidRDefault="00BD2CAF" w:rsidP="00BD2CAF">
      <w:pPr>
        <w:pStyle w:val="Tabletitle"/>
        <w:rPr>
          <w:bCs/>
        </w:rPr>
      </w:pPr>
    </w:p>
    <w:p w:rsidR="00BD2CAF" w:rsidRDefault="00BD2CAF" w:rsidP="00BD2CAF">
      <w:pPr>
        <w:pStyle w:val="Tabletitle"/>
        <w:rPr>
          <w:bCs/>
        </w:rPr>
      </w:pPr>
    </w:p>
    <w:p w:rsidR="00BD2CAF" w:rsidRDefault="00BD2CAF" w:rsidP="00BD2CAF">
      <w:pPr>
        <w:pStyle w:val="Tabletitle"/>
        <w:rPr>
          <w:bCs/>
        </w:rPr>
      </w:pPr>
    </w:p>
    <w:p w:rsidR="00BD2CAF" w:rsidRPr="00921632" w:rsidRDefault="00BD2CAF" w:rsidP="00BD2CAF">
      <w:pPr>
        <w:pStyle w:val="Tabletitle"/>
        <w:rPr>
          <w:b/>
          <w:bCs/>
        </w:rPr>
      </w:pPr>
      <w:r w:rsidRPr="00282399">
        <w:rPr>
          <w:bCs/>
        </w:rPr>
        <w:lastRenderedPageBreak/>
        <w:t>Table 2:</w:t>
      </w:r>
      <w:r w:rsidRPr="00282399">
        <w:rPr>
          <w:b/>
          <w:bCs/>
        </w:rPr>
        <w:t xml:space="preserve"> </w:t>
      </w:r>
      <w:r w:rsidRPr="00282399">
        <w:t>Practitioners’ level of involvement in the three main stages of sustainable regeneration projects</w:t>
      </w:r>
    </w:p>
    <w:tbl>
      <w:tblPr>
        <w:tblpPr w:vertAnchor="text" w:tblpX="109" w:tblpY="1"/>
        <w:tblOverlap w:val="never"/>
        <w:tblW w:w="13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1276"/>
        <w:gridCol w:w="1275"/>
        <w:gridCol w:w="709"/>
        <w:gridCol w:w="567"/>
        <w:gridCol w:w="738"/>
        <w:gridCol w:w="538"/>
        <w:gridCol w:w="1276"/>
        <w:gridCol w:w="1275"/>
        <w:gridCol w:w="4469"/>
      </w:tblGrid>
      <w:tr w:rsidR="00BD2CAF" w:rsidRPr="00BD2CAF" w:rsidTr="00150FD5">
        <w:trPr>
          <w:gridAfter w:val="1"/>
          <w:wAfter w:w="4469" w:type="dxa"/>
          <w:trHeight w:val="387"/>
        </w:trPr>
        <w:tc>
          <w:tcPr>
            <w:tcW w:w="1446" w:type="dxa"/>
            <w:vMerge w:val="restart"/>
            <w:shd w:val="clear" w:color="auto" w:fill="auto"/>
          </w:tcPr>
          <w:p w:rsidR="0049793C" w:rsidRDefault="0049793C" w:rsidP="00150FD5">
            <w:pPr>
              <w:spacing w:line="240" w:lineRule="auto"/>
              <w:rPr>
                <w:rFonts w:ascii="Times New Roman" w:hAnsi="Times New Roman" w:cs="Times New Roman"/>
                <w:lang w:val="en-US"/>
              </w:rPr>
            </w:pPr>
          </w:p>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Practitioners</w:t>
            </w:r>
          </w:p>
        </w:tc>
        <w:tc>
          <w:tcPr>
            <w:tcW w:w="2551" w:type="dxa"/>
            <w:gridSpan w:val="2"/>
            <w:tcBorders>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Early Stage</w:t>
            </w:r>
          </w:p>
        </w:tc>
        <w:tc>
          <w:tcPr>
            <w:tcW w:w="2552" w:type="dxa"/>
            <w:gridSpan w:val="4"/>
            <w:tcBorders>
              <w:left w:val="single" w:sz="12" w:space="0" w:color="auto"/>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Construction Stage</w:t>
            </w:r>
          </w:p>
        </w:tc>
        <w:tc>
          <w:tcPr>
            <w:tcW w:w="2551" w:type="dxa"/>
            <w:gridSpan w:val="2"/>
            <w:tcBorders>
              <w:lef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Post Construction Stage</w:t>
            </w:r>
          </w:p>
        </w:tc>
      </w:tr>
      <w:tr w:rsidR="00BD2CAF" w:rsidRPr="00BD2CAF" w:rsidTr="00150FD5">
        <w:trPr>
          <w:gridAfter w:val="1"/>
          <w:wAfter w:w="4469" w:type="dxa"/>
          <w:trHeight w:val="445"/>
        </w:trPr>
        <w:tc>
          <w:tcPr>
            <w:tcW w:w="1446" w:type="dxa"/>
            <w:vMerge/>
            <w:shd w:val="clear" w:color="auto" w:fill="auto"/>
          </w:tcPr>
          <w:p w:rsidR="00BD2CAF" w:rsidRPr="00BD2CAF" w:rsidRDefault="00BD2CAF" w:rsidP="00150FD5">
            <w:pPr>
              <w:spacing w:line="240" w:lineRule="auto"/>
              <w:rPr>
                <w:rFonts w:ascii="Times New Roman" w:hAnsi="Times New Roman" w:cs="Times New Roman"/>
                <w:lang w:val="en-US"/>
              </w:rPr>
            </w:pPr>
          </w:p>
        </w:tc>
        <w:tc>
          <w:tcPr>
            <w:tcW w:w="1276" w:type="dxa"/>
            <w:tcBorders>
              <w:bottom w:val="single" w:sz="2" w:space="0" w:color="auto"/>
            </w:tcBorders>
            <w:shd w:val="clear" w:color="auto" w:fill="auto"/>
          </w:tcPr>
          <w:p w:rsidR="00BD2CAF" w:rsidRPr="00BD2CAF" w:rsidRDefault="00BD2CAF" w:rsidP="00150FD5">
            <w:pPr>
              <w:spacing w:line="240" w:lineRule="auto"/>
              <w:rPr>
                <w:rFonts w:ascii="Times New Roman" w:hAnsi="Times New Roman" w:cs="Times New Roman"/>
                <w:i/>
                <w:lang w:val="en-US"/>
              </w:rPr>
            </w:pPr>
            <w:r w:rsidRPr="00BD2CAF">
              <w:rPr>
                <w:rFonts w:ascii="Times New Roman" w:hAnsi="Times New Roman" w:cs="Times New Roman"/>
                <w:iCs/>
                <w:lang w:val="en-US"/>
              </w:rPr>
              <w:t>High of involvement</w:t>
            </w:r>
          </w:p>
        </w:tc>
        <w:tc>
          <w:tcPr>
            <w:tcW w:w="1275" w:type="dxa"/>
            <w:tcBorders>
              <w:bottom w:val="single" w:sz="2" w:space="0" w:color="auto"/>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Low level of involvement</w:t>
            </w:r>
          </w:p>
        </w:tc>
        <w:tc>
          <w:tcPr>
            <w:tcW w:w="1276" w:type="dxa"/>
            <w:gridSpan w:val="2"/>
            <w:tcBorders>
              <w:left w:val="single" w:sz="12" w:space="0" w:color="auto"/>
              <w:bottom w:val="single" w:sz="2" w:space="0" w:color="auto"/>
            </w:tcBorders>
            <w:shd w:val="clear" w:color="auto" w:fill="auto"/>
          </w:tcPr>
          <w:p w:rsidR="00BD2CAF" w:rsidRPr="00BD2CAF" w:rsidRDefault="00BD2CAF" w:rsidP="00150FD5">
            <w:pPr>
              <w:spacing w:line="240" w:lineRule="auto"/>
              <w:rPr>
                <w:rFonts w:ascii="Times New Roman" w:hAnsi="Times New Roman" w:cs="Times New Roman"/>
                <w:i/>
                <w:lang w:val="en-US"/>
              </w:rPr>
            </w:pPr>
            <w:r w:rsidRPr="00BD2CAF">
              <w:rPr>
                <w:rFonts w:ascii="Times New Roman" w:hAnsi="Times New Roman" w:cs="Times New Roman"/>
                <w:iCs/>
                <w:lang w:val="en-US"/>
              </w:rPr>
              <w:t>High of involvement</w:t>
            </w:r>
          </w:p>
        </w:tc>
        <w:tc>
          <w:tcPr>
            <w:tcW w:w="1276" w:type="dxa"/>
            <w:gridSpan w:val="2"/>
            <w:tcBorders>
              <w:bottom w:val="single" w:sz="2" w:space="0" w:color="auto"/>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i/>
                <w:lang w:val="en-US"/>
              </w:rPr>
            </w:pPr>
            <w:r w:rsidRPr="00BD2CAF">
              <w:rPr>
                <w:rFonts w:ascii="Times New Roman" w:hAnsi="Times New Roman" w:cs="Times New Roman"/>
                <w:lang w:val="en-US"/>
              </w:rPr>
              <w:t>Low level of involvement</w:t>
            </w:r>
          </w:p>
        </w:tc>
        <w:tc>
          <w:tcPr>
            <w:tcW w:w="1276" w:type="dxa"/>
            <w:tcBorders>
              <w:left w:val="single" w:sz="12" w:space="0" w:color="auto"/>
              <w:bottom w:val="single" w:sz="2" w:space="0" w:color="auto"/>
            </w:tcBorders>
            <w:shd w:val="clear" w:color="auto" w:fill="auto"/>
          </w:tcPr>
          <w:p w:rsidR="00BD2CAF" w:rsidRPr="00BD2CAF" w:rsidRDefault="00BD2CAF" w:rsidP="00150FD5">
            <w:pPr>
              <w:spacing w:line="240" w:lineRule="auto"/>
              <w:rPr>
                <w:rFonts w:ascii="Times New Roman" w:hAnsi="Times New Roman" w:cs="Times New Roman"/>
                <w:i/>
                <w:lang w:val="en-US"/>
              </w:rPr>
            </w:pPr>
            <w:r w:rsidRPr="00BD2CAF">
              <w:rPr>
                <w:rFonts w:ascii="Times New Roman" w:hAnsi="Times New Roman" w:cs="Times New Roman"/>
                <w:iCs/>
                <w:lang w:val="en-US"/>
              </w:rPr>
              <w:t>High of involvement</w:t>
            </w:r>
          </w:p>
        </w:tc>
        <w:tc>
          <w:tcPr>
            <w:tcW w:w="1275" w:type="dxa"/>
            <w:tcBorders>
              <w:bottom w:val="single" w:sz="2" w:space="0" w:color="auto"/>
            </w:tcBorders>
            <w:shd w:val="clear" w:color="auto" w:fill="auto"/>
          </w:tcPr>
          <w:p w:rsidR="00BD2CAF" w:rsidRPr="00BD2CAF" w:rsidRDefault="00BD2CAF" w:rsidP="00150FD5">
            <w:pPr>
              <w:spacing w:line="240" w:lineRule="auto"/>
              <w:rPr>
                <w:rFonts w:ascii="Times New Roman" w:hAnsi="Times New Roman" w:cs="Times New Roman"/>
                <w:i/>
                <w:lang w:val="en-US"/>
              </w:rPr>
            </w:pPr>
            <w:r w:rsidRPr="00BD2CAF">
              <w:rPr>
                <w:rFonts w:ascii="Times New Roman" w:hAnsi="Times New Roman" w:cs="Times New Roman"/>
                <w:lang w:val="en-US"/>
              </w:rPr>
              <w:t>Low level of involvement</w:t>
            </w:r>
          </w:p>
        </w:tc>
      </w:tr>
      <w:tr w:rsidR="00BD2CAF" w:rsidRPr="00BD2CAF" w:rsidTr="00150FD5">
        <w:trPr>
          <w:gridAfter w:val="1"/>
          <w:wAfter w:w="4469" w:type="dxa"/>
          <w:trHeight w:val="226"/>
        </w:trPr>
        <w:tc>
          <w:tcPr>
            <w:tcW w:w="1446" w:type="dxa"/>
            <w:vMerge/>
            <w:tcBorders>
              <w:bottom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p>
        </w:tc>
        <w:tc>
          <w:tcPr>
            <w:tcW w:w="1276" w:type="dxa"/>
            <w:tcBorders>
              <w:top w:val="single" w:sz="2" w:space="0" w:color="auto"/>
              <w:bottom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i/>
                <w:iCs/>
                <w:lang w:val="en-US"/>
              </w:rPr>
              <w:t>PP</w:t>
            </w:r>
          </w:p>
        </w:tc>
        <w:tc>
          <w:tcPr>
            <w:tcW w:w="1275" w:type="dxa"/>
            <w:tcBorders>
              <w:top w:val="single" w:sz="2" w:space="0" w:color="auto"/>
              <w:bottom w:val="single" w:sz="12" w:space="0" w:color="auto"/>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i/>
                <w:iCs/>
                <w:lang w:val="en-US"/>
              </w:rPr>
              <w:t>PP</w:t>
            </w:r>
          </w:p>
        </w:tc>
        <w:tc>
          <w:tcPr>
            <w:tcW w:w="709" w:type="dxa"/>
            <w:tcBorders>
              <w:top w:val="single" w:sz="2" w:space="0" w:color="auto"/>
              <w:left w:val="single" w:sz="12" w:space="0" w:color="auto"/>
              <w:bottom w:val="single" w:sz="12" w:space="0" w:color="auto"/>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i/>
                <w:iCs/>
                <w:lang w:val="en-US"/>
              </w:rPr>
              <w:t>AI</w:t>
            </w:r>
          </w:p>
        </w:tc>
        <w:tc>
          <w:tcPr>
            <w:tcW w:w="567" w:type="dxa"/>
            <w:tcBorders>
              <w:top w:val="single" w:sz="2" w:space="0" w:color="auto"/>
              <w:left w:val="single" w:sz="2" w:space="0" w:color="auto"/>
              <w:bottom w:val="single" w:sz="12" w:space="0" w:color="auto"/>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i/>
                <w:iCs/>
                <w:lang w:val="en-US"/>
              </w:rPr>
              <w:t>CS</w:t>
            </w:r>
          </w:p>
        </w:tc>
        <w:tc>
          <w:tcPr>
            <w:tcW w:w="738" w:type="dxa"/>
            <w:tcBorders>
              <w:top w:val="single" w:sz="2" w:space="0" w:color="auto"/>
              <w:left w:val="single" w:sz="2" w:space="0" w:color="auto"/>
              <w:bottom w:val="single" w:sz="12" w:space="0" w:color="auto"/>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i/>
                <w:iCs/>
                <w:lang w:val="en-US"/>
              </w:rPr>
              <w:t>AI</w:t>
            </w:r>
          </w:p>
        </w:tc>
        <w:tc>
          <w:tcPr>
            <w:tcW w:w="538" w:type="dxa"/>
            <w:tcBorders>
              <w:top w:val="single" w:sz="2" w:space="0" w:color="auto"/>
              <w:left w:val="single" w:sz="2" w:space="0" w:color="auto"/>
              <w:bottom w:val="single" w:sz="12" w:space="0" w:color="auto"/>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i/>
                <w:iCs/>
                <w:lang w:val="en-US"/>
              </w:rPr>
              <w:t>CS</w:t>
            </w:r>
          </w:p>
        </w:tc>
        <w:tc>
          <w:tcPr>
            <w:tcW w:w="1276" w:type="dxa"/>
            <w:tcBorders>
              <w:top w:val="single" w:sz="2" w:space="0" w:color="auto"/>
              <w:left w:val="single" w:sz="12" w:space="0" w:color="auto"/>
              <w:bottom w:val="single" w:sz="12" w:space="0" w:color="auto"/>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i/>
                <w:iCs/>
                <w:lang w:val="en-US"/>
              </w:rPr>
              <w:t>ME</w:t>
            </w:r>
          </w:p>
        </w:tc>
        <w:tc>
          <w:tcPr>
            <w:tcW w:w="1275" w:type="dxa"/>
            <w:tcBorders>
              <w:top w:val="single" w:sz="2" w:space="0" w:color="auto"/>
              <w:left w:val="single" w:sz="2" w:space="0" w:color="auto"/>
              <w:bottom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i/>
                <w:iCs/>
                <w:lang w:val="en-US"/>
              </w:rPr>
              <w:t>ME</w:t>
            </w:r>
          </w:p>
        </w:tc>
      </w:tr>
      <w:tr w:rsidR="00BD2CAF" w:rsidRPr="00BD2CAF" w:rsidTr="00150FD5">
        <w:trPr>
          <w:gridAfter w:val="1"/>
          <w:wAfter w:w="4469" w:type="dxa"/>
          <w:trHeight w:val="276"/>
        </w:trPr>
        <w:tc>
          <w:tcPr>
            <w:tcW w:w="1446" w:type="dxa"/>
            <w:tcBorders>
              <w:top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Architect</w:t>
            </w:r>
          </w:p>
        </w:tc>
        <w:tc>
          <w:tcPr>
            <w:tcW w:w="1276" w:type="dxa"/>
            <w:tcBorders>
              <w:top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c>
          <w:tcPr>
            <w:tcW w:w="1275" w:type="dxa"/>
            <w:tcBorders>
              <w:top w:val="single" w:sz="12" w:space="0" w:color="auto"/>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709" w:type="dxa"/>
            <w:tcBorders>
              <w:top w:val="single" w:sz="12" w:space="0" w:color="auto"/>
              <w:left w:val="single" w:sz="12" w:space="0" w:color="auto"/>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c>
          <w:tcPr>
            <w:tcW w:w="567" w:type="dxa"/>
            <w:tcBorders>
              <w:top w:val="single" w:sz="12" w:space="0" w:color="auto"/>
              <w:left w:val="single" w:sz="2" w:space="0" w:color="auto"/>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c>
          <w:tcPr>
            <w:tcW w:w="738" w:type="dxa"/>
            <w:tcBorders>
              <w:top w:val="single" w:sz="12" w:space="0" w:color="auto"/>
              <w:left w:val="single" w:sz="2" w:space="0" w:color="auto"/>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538" w:type="dxa"/>
            <w:tcBorders>
              <w:top w:val="single" w:sz="12" w:space="0" w:color="auto"/>
              <w:left w:val="single" w:sz="2" w:space="0" w:color="auto"/>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1276" w:type="dxa"/>
            <w:tcBorders>
              <w:top w:val="single" w:sz="12" w:space="0" w:color="auto"/>
              <w:left w:val="single" w:sz="12" w:space="0" w:color="auto"/>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1</w:t>
            </w:r>
          </w:p>
        </w:tc>
        <w:tc>
          <w:tcPr>
            <w:tcW w:w="1275" w:type="dxa"/>
            <w:tcBorders>
              <w:top w:val="single" w:sz="12" w:space="0" w:color="auto"/>
              <w:lef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2</w:t>
            </w:r>
          </w:p>
        </w:tc>
      </w:tr>
      <w:tr w:rsidR="00BD2CAF" w:rsidRPr="00BD2CAF" w:rsidTr="00150FD5">
        <w:trPr>
          <w:gridAfter w:val="1"/>
          <w:wAfter w:w="4469" w:type="dxa"/>
          <w:trHeight w:val="510"/>
        </w:trPr>
        <w:tc>
          <w:tcPr>
            <w:tcW w:w="1446" w:type="dxa"/>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Client representative</w:t>
            </w:r>
          </w:p>
        </w:tc>
        <w:tc>
          <w:tcPr>
            <w:tcW w:w="1276" w:type="dxa"/>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c>
          <w:tcPr>
            <w:tcW w:w="1275" w:type="dxa"/>
            <w:tcBorders>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709" w:type="dxa"/>
            <w:tcBorders>
              <w:left w:val="single" w:sz="12" w:space="0" w:color="auto"/>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c>
          <w:tcPr>
            <w:tcW w:w="567" w:type="dxa"/>
            <w:tcBorders>
              <w:lef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2</w:t>
            </w:r>
          </w:p>
        </w:tc>
        <w:tc>
          <w:tcPr>
            <w:tcW w:w="738" w:type="dxa"/>
            <w:tcBorders>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538" w:type="dxa"/>
            <w:tcBorders>
              <w:left w:val="single" w:sz="2" w:space="0" w:color="auto"/>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1</w:t>
            </w:r>
          </w:p>
        </w:tc>
        <w:tc>
          <w:tcPr>
            <w:tcW w:w="1276" w:type="dxa"/>
            <w:tcBorders>
              <w:lef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c>
          <w:tcPr>
            <w:tcW w:w="1275" w:type="dxa"/>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r>
      <w:tr w:rsidR="00BD2CAF" w:rsidRPr="00BD2CAF" w:rsidTr="00150FD5">
        <w:trPr>
          <w:gridAfter w:val="1"/>
          <w:wAfter w:w="4469" w:type="dxa"/>
          <w:trHeight w:val="276"/>
        </w:trPr>
        <w:tc>
          <w:tcPr>
            <w:tcW w:w="1446" w:type="dxa"/>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Project manager</w:t>
            </w:r>
          </w:p>
        </w:tc>
        <w:tc>
          <w:tcPr>
            <w:tcW w:w="1276" w:type="dxa"/>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1275" w:type="dxa"/>
            <w:tcBorders>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c>
          <w:tcPr>
            <w:tcW w:w="709" w:type="dxa"/>
            <w:tcBorders>
              <w:left w:val="single" w:sz="12" w:space="0" w:color="auto"/>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c>
          <w:tcPr>
            <w:tcW w:w="567" w:type="dxa"/>
            <w:tcBorders>
              <w:lef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c>
          <w:tcPr>
            <w:tcW w:w="738" w:type="dxa"/>
            <w:tcBorders>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538" w:type="dxa"/>
            <w:tcBorders>
              <w:left w:val="single" w:sz="2" w:space="0" w:color="auto"/>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1276" w:type="dxa"/>
            <w:tcBorders>
              <w:lef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1</w:t>
            </w:r>
          </w:p>
        </w:tc>
        <w:tc>
          <w:tcPr>
            <w:tcW w:w="1275" w:type="dxa"/>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2</w:t>
            </w:r>
          </w:p>
        </w:tc>
      </w:tr>
      <w:tr w:rsidR="00BD2CAF" w:rsidRPr="00BD2CAF" w:rsidTr="00150FD5">
        <w:trPr>
          <w:gridAfter w:val="1"/>
          <w:wAfter w:w="4469" w:type="dxa"/>
          <w:trHeight w:val="520"/>
        </w:trPr>
        <w:tc>
          <w:tcPr>
            <w:tcW w:w="1446" w:type="dxa"/>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Commercial manager</w:t>
            </w:r>
          </w:p>
        </w:tc>
        <w:tc>
          <w:tcPr>
            <w:tcW w:w="1276" w:type="dxa"/>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1275" w:type="dxa"/>
            <w:tcBorders>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c>
          <w:tcPr>
            <w:tcW w:w="709" w:type="dxa"/>
            <w:tcBorders>
              <w:left w:val="single" w:sz="12" w:space="0" w:color="auto"/>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c>
          <w:tcPr>
            <w:tcW w:w="567" w:type="dxa"/>
            <w:tcBorders>
              <w:lef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c>
          <w:tcPr>
            <w:tcW w:w="738" w:type="dxa"/>
            <w:tcBorders>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538" w:type="dxa"/>
            <w:tcBorders>
              <w:left w:val="single" w:sz="2" w:space="0" w:color="auto"/>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1276" w:type="dxa"/>
            <w:tcBorders>
              <w:lef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1275" w:type="dxa"/>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r>
      <w:tr w:rsidR="00BD2CAF" w:rsidRPr="00BD2CAF" w:rsidTr="00150FD5">
        <w:trPr>
          <w:trHeight w:val="510"/>
        </w:trPr>
        <w:tc>
          <w:tcPr>
            <w:tcW w:w="1446" w:type="dxa"/>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Sustainability manager</w:t>
            </w:r>
          </w:p>
        </w:tc>
        <w:tc>
          <w:tcPr>
            <w:tcW w:w="1276" w:type="dxa"/>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1275" w:type="dxa"/>
            <w:tcBorders>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c>
          <w:tcPr>
            <w:tcW w:w="709" w:type="dxa"/>
            <w:tcBorders>
              <w:left w:val="single" w:sz="12" w:space="0" w:color="auto"/>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2</w:t>
            </w:r>
          </w:p>
        </w:tc>
        <w:tc>
          <w:tcPr>
            <w:tcW w:w="567" w:type="dxa"/>
            <w:tcBorders>
              <w:lef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2</w:t>
            </w:r>
          </w:p>
        </w:tc>
        <w:tc>
          <w:tcPr>
            <w:tcW w:w="738" w:type="dxa"/>
            <w:tcBorders>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1</w:t>
            </w:r>
          </w:p>
        </w:tc>
        <w:tc>
          <w:tcPr>
            <w:tcW w:w="538" w:type="dxa"/>
            <w:tcBorders>
              <w:left w:val="single" w:sz="2" w:space="0" w:color="auto"/>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1</w:t>
            </w:r>
          </w:p>
        </w:tc>
        <w:tc>
          <w:tcPr>
            <w:tcW w:w="1276" w:type="dxa"/>
            <w:tcBorders>
              <w:lef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1275" w:type="dxa"/>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c>
          <w:tcPr>
            <w:tcW w:w="4469" w:type="dxa"/>
            <w:tcBorders>
              <w:top w:val="nil"/>
              <w:bottom w:val="nil"/>
              <w:right w:val="nil"/>
            </w:tcBorders>
            <w:shd w:val="clear" w:color="auto" w:fill="auto"/>
          </w:tcPr>
          <w:p w:rsidR="00BD2CAF" w:rsidRPr="00BD2CAF" w:rsidRDefault="00BD2CAF" w:rsidP="00150FD5">
            <w:pPr>
              <w:spacing w:line="240" w:lineRule="auto"/>
              <w:rPr>
                <w:rFonts w:ascii="Times New Roman" w:hAnsi="Times New Roman" w:cs="Times New Roman"/>
                <w:lang w:val="en-US"/>
              </w:rPr>
            </w:pPr>
          </w:p>
        </w:tc>
      </w:tr>
      <w:tr w:rsidR="00BD2CAF" w:rsidRPr="00BD2CAF" w:rsidTr="00150FD5">
        <w:trPr>
          <w:gridAfter w:val="1"/>
          <w:wAfter w:w="4469" w:type="dxa"/>
          <w:trHeight w:val="520"/>
        </w:trPr>
        <w:tc>
          <w:tcPr>
            <w:tcW w:w="1446" w:type="dxa"/>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Regeneration manager</w:t>
            </w:r>
          </w:p>
        </w:tc>
        <w:tc>
          <w:tcPr>
            <w:tcW w:w="1276" w:type="dxa"/>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1275" w:type="dxa"/>
            <w:tcBorders>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c>
          <w:tcPr>
            <w:tcW w:w="709" w:type="dxa"/>
            <w:tcBorders>
              <w:left w:val="single" w:sz="12" w:space="0" w:color="auto"/>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2</w:t>
            </w:r>
          </w:p>
        </w:tc>
        <w:tc>
          <w:tcPr>
            <w:tcW w:w="567" w:type="dxa"/>
            <w:tcBorders>
              <w:lef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2</w:t>
            </w:r>
          </w:p>
        </w:tc>
        <w:tc>
          <w:tcPr>
            <w:tcW w:w="738" w:type="dxa"/>
            <w:tcBorders>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1</w:t>
            </w:r>
          </w:p>
        </w:tc>
        <w:tc>
          <w:tcPr>
            <w:tcW w:w="538" w:type="dxa"/>
            <w:tcBorders>
              <w:left w:val="single" w:sz="2" w:space="0" w:color="auto"/>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1</w:t>
            </w:r>
          </w:p>
        </w:tc>
        <w:tc>
          <w:tcPr>
            <w:tcW w:w="1276" w:type="dxa"/>
            <w:tcBorders>
              <w:lef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1275" w:type="dxa"/>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r>
      <w:tr w:rsidR="00BD2CAF" w:rsidRPr="00BD2CAF" w:rsidTr="00150FD5">
        <w:trPr>
          <w:gridAfter w:val="1"/>
          <w:wAfter w:w="4469" w:type="dxa"/>
          <w:trHeight w:val="520"/>
        </w:trPr>
        <w:tc>
          <w:tcPr>
            <w:tcW w:w="1446" w:type="dxa"/>
            <w:tcBorders>
              <w:bottom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Training and CSR manager</w:t>
            </w:r>
          </w:p>
        </w:tc>
        <w:tc>
          <w:tcPr>
            <w:tcW w:w="1276" w:type="dxa"/>
            <w:tcBorders>
              <w:bottom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1275" w:type="dxa"/>
            <w:tcBorders>
              <w:bottom w:val="single" w:sz="2" w:space="0" w:color="auto"/>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c>
          <w:tcPr>
            <w:tcW w:w="709" w:type="dxa"/>
            <w:tcBorders>
              <w:left w:val="single" w:sz="12" w:space="0" w:color="auto"/>
              <w:bottom w:val="single" w:sz="2" w:space="0" w:color="auto"/>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2</w:t>
            </w:r>
          </w:p>
        </w:tc>
        <w:tc>
          <w:tcPr>
            <w:tcW w:w="567" w:type="dxa"/>
            <w:tcBorders>
              <w:left w:val="single" w:sz="2" w:space="0" w:color="auto"/>
              <w:bottom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2</w:t>
            </w:r>
          </w:p>
        </w:tc>
        <w:tc>
          <w:tcPr>
            <w:tcW w:w="738" w:type="dxa"/>
            <w:tcBorders>
              <w:bottom w:val="single" w:sz="2" w:space="0" w:color="auto"/>
              <w:right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1</w:t>
            </w:r>
          </w:p>
        </w:tc>
        <w:tc>
          <w:tcPr>
            <w:tcW w:w="538" w:type="dxa"/>
            <w:tcBorders>
              <w:left w:val="single" w:sz="2" w:space="0" w:color="auto"/>
              <w:bottom w:val="single" w:sz="2" w:space="0" w:color="auto"/>
              <w:right w:val="single" w:sz="1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1</w:t>
            </w:r>
          </w:p>
        </w:tc>
        <w:tc>
          <w:tcPr>
            <w:tcW w:w="1276" w:type="dxa"/>
            <w:tcBorders>
              <w:left w:val="single" w:sz="12" w:space="0" w:color="auto"/>
              <w:bottom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w:t>
            </w:r>
          </w:p>
        </w:tc>
        <w:tc>
          <w:tcPr>
            <w:tcW w:w="1275" w:type="dxa"/>
            <w:tcBorders>
              <w:bottom w:val="single" w:sz="2" w:space="0" w:color="auto"/>
            </w:tcBorders>
            <w:shd w:val="clear" w:color="auto" w:fill="auto"/>
          </w:tcPr>
          <w:p w:rsidR="00BD2CAF" w:rsidRPr="00BD2CAF" w:rsidRDefault="00BD2CAF" w:rsidP="00150FD5">
            <w:pPr>
              <w:spacing w:line="240" w:lineRule="auto"/>
              <w:rPr>
                <w:rFonts w:ascii="Times New Roman" w:hAnsi="Times New Roman" w:cs="Times New Roman"/>
                <w:lang w:val="en-US"/>
              </w:rPr>
            </w:pPr>
            <w:r w:rsidRPr="00BD2CAF">
              <w:rPr>
                <w:rFonts w:ascii="Times New Roman" w:hAnsi="Times New Roman" w:cs="Times New Roman"/>
                <w:lang w:val="en-US"/>
              </w:rPr>
              <w:t>3</w:t>
            </w:r>
          </w:p>
        </w:tc>
      </w:tr>
      <w:tr w:rsidR="00BD2CAF" w:rsidRPr="00BD2CAF" w:rsidTr="00150FD5">
        <w:trPr>
          <w:gridAfter w:val="1"/>
          <w:wAfter w:w="4469" w:type="dxa"/>
          <w:trHeight w:val="327"/>
        </w:trPr>
        <w:tc>
          <w:tcPr>
            <w:tcW w:w="1446" w:type="dxa"/>
            <w:tcBorders>
              <w:top w:val="single" w:sz="2" w:space="0" w:color="auto"/>
            </w:tcBorders>
            <w:shd w:val="clear" w:color="auto" w:fill="auto"/>
          </w:tcPr>
          <w:p w:rsidR="00BD2CAF" w:rsidRPr="00BD2CAF" w:rsidRDefault="00BD2CAF" w:rsidP="00150FD5">
            <w:pPr>
              <w:spacing w:line="240" w:lineRule="auto"/>
              <w:rPr>
                <w:rFonts w:ascii="Times New Roman" w:hAnsi="Times New Roman" w:cs="Times New Roman"/>
                <w:b/>
                <w:bCs/>
                <w:lang w:val="en-US"/>
              </w:rPr>
            </w:pPr>
            <w:r w:rsidRPr="00BD2CAF">
              <w:rPr>
                <w:rFonts w:ascii="Times New Roman" w:hAnsi="Times New Roman" w:cs="Times New Roman"/>
                <w:b/>
                <w:bCs/>
                <w:lang w:val="en-US"/>
              </w:rPr>
              <w:t>Total</w:t>
            </w:r>
          </w:p>
        </w:tc>
        <w:tc>
          <w:tcPr>
            <w:tcW w:w="1276" w:type="dxa"/>
            <w:tcBorders>
              <w:top w:val="single" w:sz="2" w:space="0" w:color="auto"/>
            </w:tcBorders>
            <w:shd w:val="clear" w:color="auto" w:fill="auto"/>
          </w:tcPr>
          <w:p w:rsidR="00BD2CAF" w:rsidRPr="00BD2CAF" w:rsidRDefault="00BD2CAF" w:rsidP="00150FD5">
            <w:pPr>
              <w:spacing w:line="240" w:lineRule="auto"/>
              <w:jc w:val="center"/>
              <w:rPr>
                <w:rFonts w:ascii="Times New Roman" w:hAnsi="Times New Roman" w:cs="Times New Roman"/>
                <w:b/>
                <w:bCs/>
                <w:lang w:val="en-US"/>
              </w:rPr>
            </w:pPr>
            <w:r w:rsidRPr="00BD2CAF">
              <w:rPr>
                <w:rFonts w:ascii="Times New Roman" w:hAnsi="Times New Roman" w:cs="Times New Roman"/>
                <w:b/>
                <w:bCs/>
                <w:lang w:val="en-US"/>
              </w:rPr>
              <w:t>6</w:t>
            </w:r>
          </w:p>
        </w:tc>
        <w:tc>
          <w:tcPr>
            <w:tcW w:w="1275" w:type="dxa"/>
            <w:tcBorders>
              <w:top w:val="single" w:sz="2" w:space="0" w:color="auto"/>
              <w:right w:val="single" w:sz="12" w:space="0" w:color="auto"/>
            </w:tcBorders>
            <w:shd w:val="clear" w:color="auto" w:fill="auto"/>
          </w:tcPr>
          <w:p w:rsidR="00BD2CAF" w:rsidRPr="00BD2CAF" w:rsidRDefault="00BD2CAF" w:rsidP="00150FD5">
            <w:pPr>
              <w:spacing w:line="240" w:lineRule="auto"/>
              <w:jc w:val="center"/>
              <w:rPr>
                <w:rFonts w:ascii="Times New Roman" w:hAnsi="Times New Roman" w:cs="Times New Roman"/>
                <w:b/>
                <w:bCs/>
                <w:lang w:val="en-US"/>
              </w:rPr>
            </w:pPr>
            <w:r w:rsidRPr="00BD2CAF">
              <w:rPr>
                <w:rFonts w:ascii="Times New Roman" w:hAnsi="Times New Roman" w:cs="Times New Roman"/>
                <w:b/>
                <w:bCs/>
                <w:lang w:val="en-US"/>
              </w:rPr>
              <w:t>15</w:t>
            </w:r>
          </w:p>
          <w:p w:rsidR="00BD2CAF" w:rsidRPr="00BD2CAF" w:rsidRDefault="00BD2CAF" w:rsidP="00150FD5">
            <w:pPr>
              <w:spacing w:line="240" w:lineRule="auto"/>
              <w:jc w:val="center"/>
              <w:rPr>
                <w:rFonts w:ascii="Times New Roman" w:hAnsi="Times New Roman" w:cs="Times New Roman"/>
                <w:b/>
                <w:bCs/>
                <w:lang w:val="en-US"/>
              </w:rPr>
            </w:pPr>
          </w:p>
        </w:tc>
        <w:tc>
          <w:tcPr>
            <w:tcW w:w="709" w:type="dxa"/>
            <w:tcBorders>
              <w:top w:val="single" w:sz="2" w:space="0" w:color="auto"/>
              <w:left w:val="single" w:sz="12" w:space="0" w:color="auto"/>
              <w:right w:val="single" w:sz="2" w:space="0" w:color="auto"/>
            </w:tcBorders>
            <w:shd w:val="clear" w:color="auto" w:fill="auto"/>
          </w:tcPr>
          <w:p w:rsidR="00BD2CAF" w:rsidRPr="00BD2CAF" w:rsidRDefault="00BD2CAF" w:rsidP="00150FD5">
            <w:pPr>
              <w:spacing w:line="240" w:lineRule="auto"/>
              <w:jc w:val="center"/>
              <w:rPr>
                <w:rFonts w:ascii="Times New Roman" w:hAnsi="Times New Roman" w:cs="Times New Roman"/>
                <w:b/>
                <w:bCs/>
                <w:lang w:val="en-US"/>
              </w:rPr>
            </w:pPr>
            <w:r w:rsidRPr="00BD2CAF">
              <w:rPr>
                <w:rFonts w:ascii="Times New Roman" w:hAnsi="Times New Roman" w:cs="Times New Roman"/>
                <w:b/>
                <w:bCs/>
                <w:lang w:val="en-US"/>
              </w:rPr>
              <w:t xml:space="preserve">18 </w:t>
            </w:r>
          </w:p>
        </w:tc>
        <w:tc>
          <w:tcPr>
            <w:tcW w:w="567" w:type="dxa"/>
            <w:tcBorders>
              <w:top w:val="single" w:sz="2" w:space="0" w:color="auto"/>
              <w:left w:val="single" w:sz="2" w:space="0" w:color="auto"/>
            </w:tcBorders>
            <w:shd w:val="clear" w:color="auto" w:fill="auto"/>
          </w:tcPr>
          <w:p w:rsidR="00BD2CAF" w:rsidRPr="00BD2CAF" w:rsidRDefault="00BD2CAF" w:rsidP="00150FD5">
            <w:pPr>
              <w:spacing w:line="240" w:lineRule="auto"/>
              <w:jc w:val="center"/>
              <w:rPr>
                <w:rFonts w:ascii="Times New Roman" w:hAnsi="Times New Roman" w:cs="Times New Roman"/>
                <w:b/>
                <w:bCs/>
                <w:lang w:val="en-US"/>
              </w:rPr>
            </w:pPr>
            <w:r w:rsidRPr="00BD2CAF">
              <w:rPr>
                <w:rFonts w:ascii="Times New Roman" w:hAnsi="Times New Roman" w:cs="Times New Roman"/>
                <w:b/>
                <w:bCs/>
                <w:lang w:val="en-US"/>
              </w:rPr>
              <w:t>17</w:t>
            </w:r>
          </w:p>
          <w:p w:rsidR="00BD2CAF" w:rsidRPr="00BD2CAF" w:rsidRDefault="00BD2CAF" w:rsidP="00150FD5">
            <w:pPr>
              <w:spacing w:line="240" w:lineRule="auto"/>
              <w:jc w:val="center"/>
              <w:rPr>
                <w:rFonts w:ascii="Times New Roman" w:hAnsi="Times New Roman" w:cs="Times New Roman"/>
                <w:b/>
                <w:bCs/>
                <w:lang w:val="en-US"/>
              </w:rPr>
            </w:pPr>
          </w:p>
        </w:tc>
        <w:tc>
          <w:tcPr>
            <w:tcW w:w="738" w:type="dxa"/>
            <w:tcBorders>
              <w:top w:val="single" w:sz="2" w:space="0" w:color="auto"/>
              <w:right w:val="single" w:sz="2" w:space="0" w:color="auto"/>
            </w:tcBorders>
            <w:shd w:val="clear" w:color="auto" w:fill="auto"/>
          </w:tcPr>
          <w:p w:rsidR="00BD2CAF" w:rsidRPr="00BD2CAF" w:rsidRDefault="00BD2CAF" w:rsidP="00150FD5">
            <w:pPr>
              <w:spacing w:line="240" w:lineRule="auto"/>
              <w:jc w:val="center"/>
              <w:rPr>
                <w:rFonts w:ascii="Times New Roman" w:hAnsi="Times New Roman" w:cs="Times New Roman"/>
                <w:b/>
                <w:bCs/>
                <w:lang w:val="en-US"/>
              </w:rPr>
            </w:pPr>
            <w:r w:rsidRPr="00BD2CAF">
              <w:rPr>
                <w:rFonts w:ascii="Times New Roman" w:hAnsi="Times New Roman" w:cs="Times New Roman"/>
                <w:b/>
                <w:bCs/>
                <w:lang w:val="en-US"/>
              </w:rPr>
              <w:t>3</w:t>
            </w:r>
          </w:p>
          <w:p w:rsidR="00BD2CAF" w:rsidRPr="00BD2CAF" w:rsidRDefault="00BD2CAF" w:rsidP="00150FD5">
            <w:pPr>
              <w:spacing w:line="240" w:lineRule="auto"/>
              <w:jc w:val="center"/>
              <w:rPr>
                <w:rFonts w:ascii="Times New Roman" w:hAnsi="Times New Roman" w:cs="Times New Roman"/>
                <w:b/>
                <w:bCs/>
                <w:lang w:val="en-US"/>
              </w:rPr>
            </w:pPr>
          </w:p>
        </w:tc>
        <w:tc>
          <w:tcPr>
            <w:tcW w:w="538" w:type="dxa"/>
            <w:tcBorders>
              <w:top w:val="single" w:sz="2" w:space="0" w:color="auto"/>
              <w:left w:val="single" w:sz="2" w:space="0" w:color="auto"/>
              <w:right w:val="single" w:sz="12" w:space="0" w:color="auto"/>
            </w:tcBorders>
            <w:shd w:val="clear" w:color="auto" w:fill="auto"/>
          </w:tcPr>
          <w:p w:rsidR="00BD2CAF" w:rsidRPr="00BD2CAF" w:rsidRDefault="00BD2CAF" w:rsidP="00150FD5">
            <w:pPr>
              <w:spacing w:line="240" w:lineRule="auto"/>
              <w:jc w:val="center"/>
              <w:rPr>
                <w:rFonts w:ascii="Times New Roman" w:hAnsi="Times New Roman" w:cs="Times New Roman"/>
                <w:b/>
                <w:bCs/>
                <w:lang w:val="en-US"/>
              </w:rPr>
            </w:pPr>
            <w:r w:rsidRPr="00BD2CAF">
              <w:rPr>
                <w:rFonts w:ascii="Times New Roman" w:hAnsi="Times New Roman" w:cs="Times New Roman"/>
                <w:b/>
                <w:bCs/>
                <w:lang w:val="en-US"/>
              </w:rPr>
              <w:t>4</w:t>
            </w:r>
          </w:p>
          <w:p w:rsidR="00BD2CAF" w:rsidRPr="00BD2CAF" w:rsidRDefault="00BD2CAF" w:rsidP="00150FD5">
            <w:pPr>
              <w:spacing w:line="240" w:lineRule="auto"/>
              <w:jc w:val="center"/>
              <w:rPr>
                <w:rFonts w:ascii="Times New Roman" w:hAnsi="Times New Roman" w:cs="Times New Roman"/>
                <w:b/>
                <w:bCs/>
                <w:lang w:val="en-US"/>
              </w:rPr>
            </w:pPr>
          </w:p>
        </w:tc>
        <w:tc>
          <w:tcPr>
            <w:tcW w:w="1276" w:type="dxa"/>
            <w:tcBorders>
              <w:top w:val="single" w:sz="2" w:space="0" w:color="auto"/>
              <w:left w:val="single" w:sz="12" w:space="0" w:color="auto"/>
            </w:tcBorders>
            <w:shd w:val="clear" w:color="auto" w:fill="auto"/>
          </w:tcPr>
          <w:p w:rsidR="00BD2CAF" w:rsidRPr="00BD2CAF" w:rsidRDefault="00BD2CAF" w:rsidP="00150FD5">
            <w:pPr>
              <w:spacing w:line="240" w:lineRule="auto"/>
              <w:jc w:val="center"/>
              <w:rPr>
                <w:rFonts w:ascii="Times New Roman" w:hAnsi="Times New Roman" w:cs="Times New Roman"/>
                <w:b/>
                <w:bCs/>
                <w:lang w:val="en-US"/>
              </w:rPr>
            </w:pPr>
            <w:r w:rsidRPr="00BD2CAF">
              <w:rPr>
                <w:rFonts w:ascii="Times New Roman" w:hAnsi="Times New Roman" w:cs="Times New Roman"/>
                <w:b/>
                <w:bCs/>
                <w:lang w:val="en-US"/>
              </w:rPr>
              <w:t>5</w:t>
            </w:r>
          </w:p>
          <w:p w:rsidR="00BD2CAF" w:rsidRPr="00BD2CAF" w:rsidRDefault="00BD2CAF" w:rsidP="00150FD5">
            <w:pPr>
              <w:spacing w:line="240" w:lineRule="auto"/>
              <w:jc w:val="center"/>
              <w:rPr>
                <w:rFonts w:ascii="Times New Roman" w:hAnsi="Times New Roman" w:cs="Times New Roman"/>
                <w:b/>
                <w:bCs/>
                <w:lang w:val="en-US"/>
              </w:rPr>
            </w:pPr>
          </w:p>
        </w:tc>
        <w:tc>
          <w:tcPr>
            <w:tcW w:w="1275" w:type="dxa"/>
            <w:tcBorders>
              <w:top w:val="single" w:sz="2" w:space="0" w:color="auto"/>
            </w:tcBorders>
            <w:shd w:val="clear" w:color="auto" w:fill="auto"/>
          </w:tcPr>
          <w:p w:rsidR="00BD2CAF" w:rsidRPr="00BD2CAF" w:rsidRDefault="00BD2CAF" w:rsidP="00150FD5">
            <w:pPr>
              <w:spacing w:line="240" w:lineRule="auto"/>
              <w:jc w:val="center"/>
              <w:rPr>
                <w:rFonts w:ascii="Times New Roman" w:hAnsi="Times New Roman" w:cs="Times New Roman"/>
                <w:b/>
                <w:bCs/>
                <w:lang w:val="en-US"/>
              </w:rPr>
            </w:pPr>
            <w:r w:rsidRPr="00BD2CAF">
              <w:rPr>
                <w:rFonts w:ascii="Times New Roman" w:hAnsi="Times New Roman" w:cs="Times New Roman"/>
                <w:b/>
                <w:bCs/>
                <w:lang w:val="en-US"/>
              </w:rPr>
              <w:t>16</w:t>
            </w:r>
          </w:p>
          <w:p w:rsidR="00BD2CAF" w:rsidRPr="00BD2CAF" w:rsidRDefault="00BD2CAF" w:rsidP="00150FD5">
            <w:pPr>
              <w:spacing w:line="240" w:lineRule="auto"/>
              <w:jc w:val="center"/>
              <w:rPr>
                <w:rFonts w:ascii="Times New Roman" w:hAnsi="Times New Roman" w:cs="Times New Roman"/>
                <w:b/>
                <w:bCs/>
                <w:lang w:val="en-US"/>
              </w:rPr>
            </w:pPr>
          </w:p>
        </w:tc>
      </w:tr>
    </w:tbl>
    <w:p w:rsidR="00BD2CAF" w:rsidRDefault="00BD2CAF" w:rsidP="00BD2CAF">
      <w:pPr>
        <w:pStyle w:val="References"/>
        <w:ind w:left="0" w:firstLine="0"/>
      </w:pPr>
    </w:p>
    <w:p w:rsidR="00E70A93" w:rsidRPr="00D05EA9" w:rsidRDefault="00E70A93" w:rsidP="00D31BB1">
      <w:pPr>
        <w:spacing w:line="240" w:lineRule="auto"/>
        <w:contextualSpacing/>
        <w:jc w:val="both"/>
        <w:rPr>
          <w:rFonts w:ascii="Times New Roman" w:eastAsia="Times New Roman" w:hAnsi="Times New Roman" w:cs="Times New Roman"/>
          <w:bCs/>
          <w:sz w:val="24"/>
          <w:szCs w:val="24"/>
          <w:lang w:eastAsia="en-GB"/>
        </w:rPr>
      </w:pPr>
    </w:p>
    <w:p w:rsidR="0028210E" w:rsidRPr="00D05EA9" w:rsidRDefault="00A46102" w:rsidP="00B526EE">
      <w:pPr>
        <w:pStyle w:val="ListParagraph"/>
        <w:numPr>
          <w:ilvl w:val="0"/>
          <w:numId w:val="8"/>
        </w:numPr>
        <w:spacing w:before="360" w:after="120" w:line="240" w:lineRule="auto"/>
        <w:rPr>
          <w:rFonts w:ascii="Times New Roman" w:eastAsia="Times New Roman" w:hAnsi="Times New Roman" w:cs="Times New Roman"/>
          <w:b/>
          <w:sz w:val="24"/>
          <w:szCs w:val="24"/>
        </w:rPr>
      </w:pPr>
      <w:r w:rsidRPr="00D05EA9">
        <w:rPr>
          <w:rFonts w:ascii="Times New Roman" w:eastAsia="Times New Roman" w:hAnsi="Times New Roman" w:cs="Times New Roman"/>
          <w:b/>
          <w:sz w:val="24"/>
          <w:szCs w:val="24"/>
        </w:rPr>
        <w:t>ANALYSIS OF RESULTS</w:t>
      </w:r>
    </w:p>
    <w:p w:rsidR="00280507" w:rsidRPr="00D05EA9" w:rsidRDefault="00415E87" w:rsidP="008C2A86">
      <w:pPr>
        <w:spacing w:before="240" w:after="120" w:line="480" w:lineRule="auto"/>
        <w:contextualSpacing/>
        <w:jc w:val="both"/>
        <w:rPr>
          <w:rFonts w:ascii="Times New Roman" w:eastAsia="Calibri" w:hAnsi="Times New Roman" w:cs="Times New Roman"/>
          <w:sz w:val="24"/>
          <w:szCs w:val="24"/>
        </w:rPr>
      </w:pPr>
      <w:r w:rsidRPr="00D05EA9">
        <w:rPr>
          <w:rFonts w:ascii="Times New Roman" w:hAnsi="Times New Roman" w:cs="Times New Roman"/>
          <w:sz w:val="24"/>
          <w:szCs w:val="24"/>
        </w:rPr>
        <w:t>The results from the analysis of the interviews, have shown that all the 21 key practitioners who participated in the interviews, were involved at the three main stages of the sustainable regeneration projects’ delivery</w:t>
      </w:r>
      <w:r w:rsidR="002C25CA" w:rsidRPr="00D05EA9">
        <w:rPr>
          <w:rFonts w:ascii="Times New Roman" w:hAnsi="Times New Roman" w:cs="Times New Roman"/>
          <w:sz w:val="24"/>
          <w:szCs w:val="24"/>
        </w:rPr>
        <w:t xml:space="preserve">. </w:t>
      </w:r>
      <w:r w:rsidR="00880F8F" w:rsidRPr="00D05EA9">
        <w:rPr>
          <w:rFonts w:ascii="Times New Roman" w:hAnsi="Times New Roman" w:cs="Times New Roman"/>
          <w:sz w:val="24"/>
          <w:szCs w:val="24"/>
        </w:rPr>
        <w:t xml:space="preserve">At the early stages, </w:t>
      </w:r>
      <w:r w:rsidR="00FF1595" w:rsidRPr="00D05EA9">
        <w:rPr>
          <w:rFonts w:ascii="Times New Roman" w:hAnsi="Times New Roman" w:cs="Times New Roman"/>
          <w:sz w:val="24"/>
          <w:szCs w:val="24"/>
        </w:rPr>
        <w:t>the result</w:t>
      </w:r>
      <w:r w:rsidR="00010CD0" w:rsidRPr="00D05EA9">
        <w:rPr>
          <w:rFonts w:ascii="Times New Roman" w:hAnsi="Times New Roman" w:cs="Times New Roman"/>
          <w:sz w:val="24"/>
          <w:szCs w:val="24"/>
        </w:rPr>
        <w:t>s</w:t>
      </w:r>
      <w:r w:rsidR="00FF1595" w:rsidRPr="00D05EA9">
        <w:rPr>
          <w:rFonts w:ascii="Times New Roman" w:hAnsi="Times New Roman" w:cs="Times New Roman"/>
          <w:sz w:val="24"/>
          <w:szCs w:val="24"/>
        </w:rPr>
        <w:t xml:space="preserve"> revealed that </w:t>
      </w:r>
      <w:r w:rsidR="00880F8F" w:rsidRPr="00D05EA9">
        <w:rPr>
          <w:rFonts w:ascii="Times New Roman" w:hAnsi="Times New Roman" w:cs="Times New Roman"/>
          <w:sz w:val="24"/>
          <w:szCs w:val="24"/>
        </w:rPr>
        <w:t>6 practitioners were highly involved in carrying out</w:t>
      </w:r>
      <w:r w:rsidR="00880F8F" w:rsidRPr="00D05EA9">
        <w:t xml:space="preserve"> </w:t>
      </w:r>
      <w:r w:rsidR="00880F8F" w:rsidRPr="00D05EA9">
        <w:rPr>
          <w:rFonts w:ascii="Times New Roman" w:hAnsi="Times New Roman" w:cs="Times New Roman"/>
          <w:sz w:val="24"/>
          <w:szCs w:val="24"/>
        </w:rPr>
        <w:t>planning and preparation activities for the projects, while 15 practitio</w:t>
      </w:r>
      <w:r w:rsidR="00C36707" w:rsidRPr="00D05EA9">
        <w:rPr>
          <w:rFonts w:ascii="Times New Roman" w:hAnsi="Times New Roman" w:cs="Times New Roman"/>
          <w:sz w:val="24"/>
          <w:szCs w:val="24"/>
        </w:rPr>
        <w:t xml:space="preserve">ners, representing over 71% </w:t>
      </w:r>
      <w:r w:rsidR="001932A8" w:rsidRPr="00D05EA9">
        <w:rPr>
          <w:rFonts w:ascii="Times New Roman" w:hAnsi="Times New Roman" w:cs="Times New Roman"/>
          <w:sz w:val="24"/>
          <w:szCs w:val="24"/>
        </w:rPr>
        <w:t>have had</w:t>
      </w:r>
      <w:r w:rsidR="00C36707" w:rsidRPr="00D05EA9">
        <w:rPr>
          <w:rFonts w:ascii="Times New Roman" w:hAnsi="Times New Roman" w:cs="Times New Roman"/>
          <w:sz w:val="24"/>
          <w:szCs w:val="24"/>
        </w:rPr>
        <w:t xml:space="preserve"> low level of </w:t>
      </w:r>
      <w:r w:rsidR="00880F8F" w:rsidRPr="00D05EA9">
        <w:rPr>
          <w:rFonts w:ascii="Times New Roman" w:hAnsi="Times New Roman" w:cs="Times New Roman"/>
          <w:sz w:val="24"/>
          <w:szCs w:val="24"/>
        </w:rPr>
        <w:t>involve</w:t>
      </w:r>
      <w:r w:rsidR="00C36707" w:rsidRPr="00D05EA9">
        <w:rPr>
          <w:rFonts w:ascii="Times New Roman" w:hAnsi="Times New Roman" w:cs="Times New Roman"/>
          <w:sz w:val="24"/>
          <w:szCs w:val="24"/>
        </w:rPr>
        <w:t>ment</w:t>
      </w:r>
      <w:r w:rsidR="00880F8F" w:rsidRPr="00D05EA9">
        <w:rPr>
          <w:rFonts w:ascii="Times New Roman" w:hAnsi="Times New Roman" w:cs="Times New Roman"/>
          <w:sz w:val="24"/>
          <w:szCs w:val="24"/>
        </w:rPr>
        <w:t xml:space="preserve"> in the aforementioned activities at this stage of the projects’ delivery.</w:t>
      </w:r>
      <w:r w:rsidR="00127B43" w:rsidRPr="00D05EA9">
        <w:rPr>
          <w:rFonts w:ascii="Times New Roman" w:hAnsi="Times New Roman" w:cs="Times New Roman"/>
          <w:sz w:val="24"/>
          <w:szCs w:val="24"/>
        </w:rPr>
        <w:t xml:space="preserve"> </w:t>
      </w:r>
      <w:r w:rsidR="00297A54" w:rsidRPr="00D05EA9">
        <w:rPr>
          <w:rFonts w:ascii="Times New Roman" w:hAnsi="Times New Roman" w:cs="Times New Roman"/>
          <w:sz w:val="24"/>
          <w:szCs w:val="24"/>
        </w:rPr>
        <w:t xml:space="preserve">A closer observation of the results in </w:t>
      </w:r>
      <w:r w:rsidR="00127B43" w:rsidRPr="00D05EA9">
        <w:rPr>
          <w:rFonts w:ascii="Times New Roman" w:hAnsi="Times New Roman" w:cs="Times New Roman"/>
          <w:sz w:val="24"/>
          <w:szCs w:val="24"/>
        </w:rPr>
        <w:t xml:space="preserve">Table 2 </w:t>
      </w:r>
      <w:r w:rsidR="000748D1" w:rsidRPr="00D05EA9">
        <w:rPr>
          <w:rFonts w:ascii="Times New Roman" w:hAnsi="Times New Roman" w:cs="Times New Roman"/>
          <w:sz w:val="24"/>
          <w:szCs w:val="24"/>
        </w:rPr>
        <w:t xml:space="preserve">further </w:t>
      </w:r>
      <w:r w:rsidR="00297A54" w:rsidRPr="00D05EA9">
        <w:rPr>
          <w:rFonts w:ascii="Times New Roman" w:hAnsi="Times New Roman" w:cs="Times New Roman"/>
          <w:sz w:val="24"/>
          <w:szCs w:val="24"/>
        </w:rPr>
        <w:t xml:space="preserve">revealed </w:t>
      </w:r>
      <w:r w:rsidR="00127B43" w:rsidRPr="00D05EA9">
        <w:rPr>
          <w:rFonts w:ascii="Times New Roman" w:hAnsi="Times New Roman" w:cs="Times New Roman"/>
          <w:sz w:val="24"/>
          <w:szCs w:val="24"/>
        </w:rPr>
        <w:t xml:space="preserve">that two categories of key practitioners; 3 clients’ representatives and 3 architects were the most involved during the early stages of the </w:t>
      </w:r>
      <w:r w:rsidR="00127B43" w:rsidRPr="00D05EA9">
        <w:rPr>
          <w:rFonts w:ascii="Times New Roman" w:hAnsi="Times New Roman" w:cs="Times New Roman"/>
          <w:sz w:val="24"/>
          <w:szCs w:val="24"/>
        </w:rPr>
        <w:lastRenderedPageBreak/>
        <w:t>projects.</w:t>
      </w:r>
      <w:r w:rsidR="00B905E8" w:rsidRPr="00D05EA9">
        <w:rPr>
          <w:rFonts w:ascii="Times New Roman" w:hAnsi="Times New Roman" w:cs="Times New Roman"/>
          <w:sz w:val="24"/>
          <w:szCs w:val="24"/>
        </w:rPr>
        <w:t xml:space="preserve"> </w:t>
      </w:r>
      <w:r w:rsidR="00AB5971" w:rsidRPr="00D05EA9">
        <w:rPr>
          <w:rFonts w:ascii="Times New Roman" w:eastAsia="Calibri" w:hAnsi="Times New Roman" w:cs="Times New Roman"/>
          <w:sz w:val="24"/>
          <w:szCs w:val="24"/>
        </w:rPr>
        <w:t xml:space="preserve">At the early stage of any project development, the client is expected to assemble a team to carry out his/her vision. Conventionally, at the early stage of a project’s delivery, where planning and preparation activities are carried out, is considered the domain for clients or clients’ representatives and architects and in some instances, commercial managers. </w:t>
      </w:r>
      <w:r w:rsidR="009966B4" w:rsidRPr="00D05EA9">
        <w:rPr>
          <w:rFonts w:ascii="Times New Roman" w:eastAsia="Calibri" w:hAnsi="Times New Roman" w:cs="Times New Roman"/>
          <w:sz w:val="24"/>
          <w:szCs w:val="24"/>
        </w:rPr>
        <w:t>It is suggested that the early stage of every project’s development is crucial because any decision made at this stage has far-reaching implications for the project’s overall outcomes</w:t>
      </w:r>
      <w:r w:rsidR="00067980" w:rsidRPr="00D05EA9">
        <w:rPr>
          <w:rFonts w:ascii="Times New Roman" w:hAnsi="Times New Roman" w:cs="Times New Roman"/>
          <w:sz w:val="24"/>
          <w:szCs w:val="24"/>
        </w:rPr>
        <w:t xml:space="preserve">. </w:t>
      </w:r>
      <w:r w:rsidR="009966B4" w:rsidRPr="00D05EA9">
        <w:rPr>
          <w:rFonts w:ascii="Times New Roman" w:eastAsia="Calibri" w:hAnsi="Times New Roman" w:cs="Times New Roman"/>
          <w:sz w:val="24"/>
          <w:szCs w:val="24"/>
        </w:rPr>
        <w:t>T</w:t>
      </w:r>
      <w:r w:rsidR="00D63E54" w:rsidRPr="00D05EA9">
        <w:rPr>
          <w:rFonts w:ascii="Times New Roman" w:eastAsia="Calibri" w:hAnsi="Times New Roman" w:cs="Times New Roman"/>
          <w:sz w:val="24"/>
          <w:szCs w:val="24"/>
        </w:rPr>
        <w:t>his is because once the project</w:t>
      </w:r>
      <w:r w:rsidR="009966B4" w:rsidRPr="00D05EA9">
        <w:rPr>
          <w:rFonts w:ascii="Times New Roman" w:eastAsia="Calibri" w:hAnsi="Times New Roman" w:cs="Times New Roman"/>
          <w:sz w:val="24"/>
          <w:szCs w:val="24"/>
        </w:rPr>
        <w:t xml:space="preserve"> kick</w:t>
      </w:r>
      <w:r w:rsidR="00D63E54" w:rsidRPr="00D05EA9">
        <w:rPr>
          <w:rFonts w:ascii="Times New Roman" w:eastAsia="Calibri" w:hAnsi="Times New Roman" w:cs="Times New Roman"/>
          <w:sz w:val="24"/>
          <w:szCs w:val="24"/>
        </w:rPr>
        <w:t>s</w:t>
      </w:r>
      <w:r w:rsidR="009966B4" w:rsidRPr="00D05EA9">
        <w:rPr>
          <w:rFonts w:ascii="Times New Roman" w:eastAsia="Calibri" w:hAnsi="Times New Roman" w:cs="Times New Roman"/>
          <w:sz w:val="24"/>
          <w:szCs w:val="24"/>
        </w:rPr>
        <w:t xml:space="preserve"> off, the opportunity to introduce and maximise the sustainability potential benefits for instance, </w:t>
      </w:r>
      <w:r w:rsidR="00BF0B39" w:rsidRPr="00D05EA9">
        <w:rPr>
          <w:rFonts w:ascii="Times New Roman" w:eastAsia="Calibri" w:hAnsi="Times New Roman" w:cs="Times New Roman"/>
          <w:sz w:val="24"/>
          <w:szCs w:val="24"/>
        </w:rPr>
        <w:t>is</w:t>
      </w:r>
      <w:r w:rsidR="009966B4" w:rsidRPr="00D05EA9">
        <w:rPr>
          <w:rFonts w:ascii="Times New Roman" w:eastAsia="Calibri" w:hAnsi="Times New Roman" w:cs="Times New Roman"/>
          <w:sz w:val="24"/>
          <w:szCs w:val="24"/>
        </w:rPr>
        <w:t xml:space="preserve"> reduced to a minimum and in </w:t>
      </w:r>
      <w:r w:rsidR="00CF58AF" w:rsidRPr="00D05EA9">
        <w:rPr>
          <w:rFonts w:ascii="Times New Roman" w:eastAsia="Calibri" w:hAnsi="Times New Roman" w:cs="Times New Roman"/>
          <w:sz w:val="24"/>
          <w:szCs w:val="24"/>
        </w:rPr>
        <w:t>most</w:t>
      </w:r>
      <w:r w:rsidR="009966B4" w:rsidRPr="00D05EA9">
        <w:rPr>
          <w:rFonts w:ascii="Times New Roman" w:eastAsia="Calibri" w:hAnsi="Times New Roman" w:cs="Times New Roman"/>
          <w:sz w:val="24"/>
          <w:szCs w:val="24"/>
        </w:rPr>
        <w:t xml:space="preserve"> cases, missed out.</w:t>
      </w:r>
      <w:r w:rsidR="00C7082E" w:rsidRPr="00D05EA9">
        <w:rPr>
          <w:rFonts w:ascii="Times New Roman" w:eastAsia="Calibri" w:hAnsi="Times New Roman" w:cs="Times New Roman"/>
          <w:sz w:val="24"/>
          <w:szCs w:val="24"/>
        </w:rPr>
        <w:t xml:space="preserve"> </w:t>
      </w:r>
    </w:p>
    <w:p w:rsidR="00365173" w:rsidRPr="00D05EA9" w:rsidRDefault="00365173" w:rsidP="00881BF9">
      <w:pPr>
        <w:spacing w:after="120" w:line="480" w:lineRule="auto"/>
        <w:contextualSpacing/>
        <w:jc w:val="both"/>
        <w:rPr>
          <w:rFonts w:ascii="Times New Roman" w:hAnsi="Times New Roman" w:cs="Times New Roman"/>
          <w:sz w:val="24"/>
          <w:szCs w:val="24"/>
        </w:rPr>
      </w:pPr>
      <w:r w:rsidRPr="00D05EA9">
        <w:rPr>
          <w:rFonts w:ascii="Times New Roman" w:hAnsi="Times New Roman" w:cs="Times New Roman"/>
          <w:bCs/>
          <w:sz w:val="24"/>
          <w:szCs w:val="24"/>
        </w:rPr>
        <w:t>The high level of involvement of clients or clients’ representatives at the early stage as per the above findings, could also be due to the fact that clients will always want to ensure that their projects are planned and designed to meet the time, cost and quality requirements. However,</w:t>
      </w:r>
      <w:r w:rsidRPr="00D05EA9">
        <w:rPr>
          <w:rFonts w:ascii="Times New Roman" w:hAnsi="Times New Roman" w:cs="Times New Roman"/>
          <w:sz w:val="24"/>
          <w:szCs w:val="24"/>
        </w:rPr>
        <w:t xml:space="preserve"> it is asserted that plans and strategies carried out at this stage of regeneration project development have an impact and implications not only on the cost, time and quality aspects of the projects, but also on the performance of sustainability functions of the projects (Pitt, </w:t>
      </w:r>
      <w:r w:rsidRPr="00D05EA9">
        <w:rPr>
          <w:rFonts w:ascii="Times New Roman" w:hAnsi="Times New Roman" w:cs="Times New Roman"/>
          <w:i/>
          <w:iCs/>
          <w:sz w:val="24"/>
          <w:szCs w:val="24"/>
        </w:rPr>
        <w:t xml:space="preserve">et al., </w:t>
      </w:r>
      <w:r w:rsidRPr="00D05EA9">
        <w:rPr>
          <w:rFonts w:ascii="Times New Roman" w:hAnsi="Times New Roman" w:cs="Times New Roman"/>
          <w:sz w:val="24"/>
          <w:szCs w:val="24"/>
        </w:rPr>
        <w:t>2009). Hence, clients or their representatives need to be aware of that, particularly when they are engaging practitioners’ services at this stage to deliver their sustainable regeneration projects. Similarly, c</w:t>
      </w:r>
      <w:r w:rsidRPr="00D05EA9">
        <w:rPr>
          <w:rFonts w:ascii="Times New Roman" w:hAnsi="Times New Roman" w:cs="Times New Roman"/>
          <w:bCs/>
          <w:sz w:val="24"/>
          <w:szCs w:val="24"/>
        </w:rPr>
        <w:t>lients are also very particular about the quality of their projects, hence their desire to always engage competent architects at the very early stages of their projects’ development to provide them with the design solutions that will meet their needs.</w:t>
      </w:r>
      <w:r w:rsidRPr="00D05EA9">
        <w:rPr>
          <w:rFonts w:ascii="Times New Roman" w:hAnsi="Times New Roman" w:cs="Times New Roman"/>
          <w:sz w:val="24"/>
          <w:szCs w:val="24"/>
        </w:rPr>
        <w:t xml:space="preserve"> This point was affirmed by one client representative who indicated that he needed to get a competent architect involved as soon as possible, for them to d</w:t>
      </w:r>
      <w:r w:rsidR="005F63BB" w:rsidRPr="00D05EA9">
        <w:rPr>
          <w:rFonts w:ascii="Times New Roman" w:hAnsi="Times New Roman" w:cs="Times New Roman"/>
          <w:sz w:val="24"/>
          <w:szCs w:val="24"/>
        </w:rPr>
        <w:t>rive the design process forward;</w:t>
      </w:r>
    </w:p>
    <w:p w:rsidR="005F10C3" w:rsidRPr="00D05EA9" w:rsidRDefault="005F10C3" w:rsidP="00881BF9">
      <w:pPr>
        <w:spacing w:before="240" w:after="120" w:line="480" w:lineRule="auto"/>
        <w:contextualSpacing/>
        <w:jc w:val="both"/>
        <w:rPr>
          <w:rFonts w:ascii="Times New Roman" w:hAnsi="Times New Roman" w:cs="Times New Roman"/>
          <w:i/>
          <w:sz w:val="24"/>
          <w:szCs w:val="24"/>
        </w:rPr>
      </w:pPr>
      <w:r w:rsidRPr="00D05EA9">
        <w:rPr>
          <w:rFonts w:ascii="Times New Roman" w:hAnsi="Times New Roman" w:cs="Times New Roman"/>
          <w:i/>
          <w:sz w:val="24"/>
          <w:szCs w:val="24"/>
        </w:rPr>
        <w:t xml:space="preserve">…the early engagement of architects is so important </w:t>
      </w:r>
      <w:r w:rsidR="000A2DE1" w:rsidRPr="00D05EA9">
        <w:rPr>
          <w:rFonts w:ascii="Times New Roman" w:hAnsi="Times New Roman" w:cs="Times New Roman"/>
          <w:i/>
          <w:sz w:val="24"/>
          <w:szCs w:val="24"/>
        </w:rPr>
        <w:t xml:space="preserve">for us to help </w:t>
      </w:r>
      <w:r w:rsidRPr="00D05EA9">
        <w:rPr>
          <w:rFonts w:ascii="Times New Roman" w:hAnsi="Times New Roman" w:cs="Times New Roman"/>
          <w:i/>
          <w:sz w:val="24"/>
          <w:szCs w:val="24"/>
        </w:rPr>
        <w:t>drive the design process</w:t>
      </w:r>
      <w:r w:rsidR="00F470FE" w:rsidRPr="00D05EA9">
        <w:rPr>
          <w:rFonts w:ascii="Times New Roman" w:hAnsi="Times New Roman" w:cs="Times New Roman"/>
          <w:i/>
          <w:sz w:val="24"/>
          <w:szCs w:val="24"/>
        </w:rPr>
        <w:t xml:space="preserve"> forward</w:t>
      </w:r>
      <w:r w:rsidRPr="00D05EA9">
        <w:rPr>
          <w:rFonts w:ascii="Times New Roman" w:hAnsi="Times New Roman" w:cs="Times New Roman"/>
          <w:i/>
          <w:sz w:val="24"/>
          <w:szCs w:val="24"/>
        </w:rPr>
        <w:t xml:space="preserve">…. with a project of such sustainability requirements, yes we always want their </w:t>
      </w:r>
      <w:r w:rsidRPr="00D05EA9">
        <w:rPr>
          <w:rFonts w:ascii="Times New Roman" w:hAnsi="Times New Roman" w:cs="Times New Roman"/>
          <w:i/>
          <w:sz w:val="24"/>
          <w:szCs w:val="24"/>
        </w:rPr>
        <w:lastRenderedPageBreak/>
        <w:t xml:space="preserve">experience and inputs as soon as we are certain of what we want to achieve, … </w:t>
      </w:r>
      <w:r w:rsidR="00E7312A" w:rsidRPr="00D05EA9">
        <w:rPr>
          <w:rFonts w:ascii="Times New Roman" w:hAnsi="Times New Roman" w:cs="Times New Roman"/>
          <w:i/>
          <w:sz w:val="24"/>
          <w:szCs w:val="24"/>
        </w:rPr>
        <w:t>their early involvement</w:t>
      </w:r>
      <w:r w:rsidRPr="00D05EA9">
        <w:rPr>
          <w:rFonts w:ascii="Times New Roman" w:hAnsi="Times New Roman" w:cs="Times New Roman"/>
          <w:i/>
          <w:sz w:val="24"/>
          <w:szCs w:val="24"/>
        </w:rPr>
        <w:t xml:space="preserve"> is obviously the case for our regeneration project</w:t>
      </w:r>
      <w:r w:rsidR="00E7312A" w:rsidRPr="00D05EA9">
        <w:rPr>
          <w:rFonts w:ascii="Times New Roman" w:hAnsi="Times New Roman" w:cs="Times New Roman"/>
          <w:i/>
          <w:sz w:val="24"/>
          <w:szCs w:val="24"/>
        </w:rPr>
        <w:t>s</w:t>
      </w:r>
      <w:r w:rsidR="00850B26" w:rsidRPr="00D05EA9">
        <w:rPr>
          <w:rFonts w:ascii="Times New Roman" w:hAnsi="Times New Roman" w:cs="Times New Roman"/>
          <w:i/>
          <w:sz w:val="24"/>
          <w:szCs w:val="24"/>
        </w:rPr>
        <w:t>.</w:t>
      </w:r>
    </w:p>
    <w:p w:rsidR="00964DFC" w:rsidRPr="00D05EA9" w:rsidRDefault="005D61CB" w:rsidP="00964DFC">
      <w:pPr>
        <w:spacing w:after="12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lang w:val="en-US"/>
        </w:rPr>
        <w:t xml:space="preserve">For most clients and construction </w:t>
      </w:r>
      <w:r w:rsidRPr="00D05EA9">
        <w:rPr>
          <w:rFonts w:ascii="Times New Roman" w:hAnsi="Times New Roman" w:cs="Times New Roman"/>
          <w:sz w:val="24"/>
          <w:szCs w:val="24"/>
        </w:rPr>
        <w:t>organisations</w:t>
      </w:r>
      <w:r w:rsidRPr="00D05EA9">
        <w:rPr>
          <w:rFonts w:ascii="Times New Roman" w:hAnsi="Times New Roman" w:cs="Times New Roman"/>
          <w:sz w:val="24"/>
          <w:szCs w:val="24"/>
          <w:lang w:val="en-US"/>
        </w:rPr>
        <w:t xml:space="preserve">, the early involvement of commercial managers provides the opportunity for them to seek early advice about the </w:t>
      </w:r>
      <w:r w:rsidRPr="00D05EA9">
        <w:rPr>
          <w:rFonts w:ascii="Times New Roman" w:hAnsi="Times New Roman" w:cs="Times New Roman"/>
          <w:bCs/>
          <w:sz w:val="24"/>
          <w:szCs w:val="24"/>
        </w:rPr>
        <w:t>cost implications of adopting and implementing sustainability features on their projects.</w:t>
      </w:r>
      <w:r w:rsidRPr="00D05EA9">
        <w:rPr>
          <w:rFonts w:ascii="Times New Roman" w:hAnsi="Times New Roman" w:cs="Times New Roman"/>
          <w:sz w:val="24"/>
          <w:szCs w:val="24"/>
          <w:lang w:val="en-US"/>
        </w:rPr>
        <w:t xml:space="preserve"> </w:t>
      </w:r>
      <w:r w:rsidRPr="00D05EA9">
        <w:rPr>
          <w:rFonts w:ascii="Times New Roman" w:hAnsi="Times New Roman" w:cs="Times New Roman"/>
          <w:bCs/>
          <w:sz w:val="24"/>
          <w:szCs w:val="24"/>
        </w:rPr>
        <w:t xml:space="preserve">It can also be observed that early involvement of architects, clients’ representatives and commercial managers tends to be in line with the traditional </w:t>
      </w:r>
      <w:r w:rsidRPr="00D05EA9">
        <w:rPr>
          <w:rFonts w:ascii="Times New Roman" w:hAnsi="Times New Roman" w:cs="Times New Roman"/>
          <w:sz w:val="24"/>
          <w:szCs w:val="24"/>
          <w:lang w:val="en-US"/>
        </w:rPr>
        <w:t xml:space="preserve">approaches often adopted, to involve key practitioners </w:t>
      </w:r>
      <w:r w:rsidRPr="00D05EA9">
        <w:rPr>
          <w:rFonts w:ascii="Times New Roman" w:hAnsi="Times New Roman" w:cs="Times New Roman"/>
          <w:bCs/>
          <w:sz w:val="24"/>
          <w:szCs w:val="24"/>
        </w:rPr>
        <w:t xml:space="preserve">in the planning and the preparation activities at the early stages of </w:t>
      </w:r>
      <w:r w:rsidR="000565FC" w:rsidRPr="00D05EA9">
        <w:rPr>
          <w:rFonts w:ascii="Times New Roman" w:hAnsi="Times New Roman" w:cs="Times New Roman"/>
          <w:sz w:val="24"/>
          <w:szCs w:val="24"/>
          <w:lang w:val="en-US"/>
        </w:rPr>
        <w:t xml:space="preserve">construction projects. </w:t>
      </w:r>
      <w:r w:rsidRPr="00D05EA9">
        <w:rPr>
          <w:rFonts w:ascii="Times New Roman" w:hAnsi="Times New Roman" w:cs="Times New Roman"/>
          <w:sz w:val="24"/>
          <w:szCs w:val="24"/>
        </w:rPr>
        <w:t>Traditionally, the first port of call when clients want to procure practitioners’ services for their proposed projects is the architects and other selected practitioners who they believe will help them achieve their objectives</w:t>
      </w:r>
      <w:r w:rsidRPr="00D05EA9">
        <w:rPr>
          <w:rFonts w:ascii="Times New Roman" w:hAnsi="Times New Roman" w:cs="Times New Roman"/>
          <w:sz w:val="24"/>
          <w:szCs w:val="24"/>
          <w:lang w:val="en-US"/>
        </w:rPr>
        <w:t xml:space="preserve">. </w:t>
      </w:r>
      <w:r w:rsidRPr="00D05EA9">
        <w:rPr>
          <w:rFonts w:ascii="Times New Roman" w:hAnsi="Times New Roman" w:cs="Times New Roman"/>
          <w:sz w:val="24"/>
          <w:szCs w:val="24"/>
        </w:rPr>
        <w:t xml:space="preserve">However, the reliance on such limited practitioners’ contributions and the traditional approach of involving practitioners in the planning and preparation activities at the early stage of the project’s development has a number of problems, most especially when the projects are of a sustainability nature. Such an approach will largely limit the projects’ success factors to cost, time and quality objectives and in the case of sustainable regeneration, relegates the sustainability aspects to the background. </w:t>
      </w:r>
      <w:r w:rsidR="009217AD" w:rsidRPr="00D05EA9">
        <w:rPr>
          <w:rFonts w:ascii="Times New Roman" w:hAnsi="Times New Roman" w:cs="Times New Roman"/>
          <w:sz w:val="24"/>
          <w:szCs w:val="24"/>
        </w:rPr>
        <w:t>It is argued that the successful delivery of sustainable regeneration lies in adequate and early involvement of all the key practitioners, particularly at the early phase (OGC, 2011).</w:t>
      </w:r>
      <w:r w:rsidR="009217AD" w:rsidRPr="00D05EA9">
        <w:rPr>
          <w:rFonts w:ascii="Times New Roman" w:hAnsi="Times New Roman" w:cs="Times New Roman"/>
          <w:bCs/>
          <w:sz w:val="24"/>
          <w:szCs w:val="24"/>
        </w:rPr>
        <w:t xml:space="preserve"> </w:t>
      </w:r>
      <w:r w:rsidR="009217AD" w:rsidRPr="00D05EA9">
        <w:rPr>
          <w:rFonts w:ascii="Times New Roman" w:hAnsi="Times New Roman" w:cs="Times New Roman"/>
          <w:sz w:val="24"/>
          <w:szCs w:val="24"/>
        </w:rPr>
        <w:t>Hence, the early and high level of involvement of all the key practitioners will inevitably enable greater planning and preparation of the projects’ critical success factors beyond the current cost, time and quality objectives, to include the sustainability deliverables of the projects.</w:t>
      </w:r>
    </w:p>
    <w:p w:rsidR="00AB1E12" w:rsidRPr="00D05EA9" w:rsidRDefault="00726532" w:rsidP="00964DFC">
      <w:pPr>
        <w:spacing w:after="12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 xml:space="preserve">Surprisingly, a greater number of practitioners (Table </w:t>
      </w:r>
      <w:r w:rsidR="003E0FF0" w:rsidRPr="00D05EA9">
        <w:rPr>
          <w:rFonts w:ascii="Times New Roman" w:hAnsi="Times New Roman" w:cs="Times New Roman"/>
          <w:sz w:val="24"/>
          <w:szCs w:val="24"/>
        </w:rPr>
        <w:t>2</w:t>
      </w:r>
      <w:r w:rsidRPr="00D05EA9">
        <w:rPr>
          <w:rFonts w:ascii="Times New Roman" w:hAnsi="Times New Roman" w:cs="Times New Roman"/>
          <w:sz w:val="24"/>
          <w:szCs w:val="24"/>
        </w:rPr>
        <w:t xml:space="preserve">), 15, made up of; 3- project managers, 3- commercial managers, 3- sustainability managers, 3- regeneration managers, and 3- training/CSR managers, </w:t>
      </w:r>
      <w:r w:rsidR="003E0FF0" w:rsidRPr="00D05EA9">
        <w:rPr>
          <w:rFonts w:ascii="Times New Roman" w:hAnsi="Times New Roman" w:cs="Times New Roman"/>
          <w:sz w:val="24"/>
          <w:szCs w:val="24"/>
        </w:rPr>
        <w:t xml:space="preserve">have had low </w:t>
      </w:r>
      <w:r w:rsidRPr="00D05EA9">
        <w:rPr>
          <w:rFonts w:ascii="Times New Roman" w:hAnsi="Times New Roman" w:cs="Times New Roman"/>
          <w:sz w:val="24"/>
          <w:szCs w:val="24"/>
        </w:rPr>
        <w:t>l</w:t>
      </w:r>
      <w:r w:rsidR="003E0FF0" w:rsidRPr="00D05EA9">
        <w:rPr>
          <w:rFonts w:ascii="Times New Roman" w:hAnsi="Times New Roman" w:cs="Times New Roman"/>
          <w:sz w:val="24"/>
          <w:szCs w:val="24"/>
        </w:rPr>
        <w:t xml:space="preserve">evels of </w:t>
      </w:r>
      <w:r w:rsidRPr="00D05EA9">
        <w:rPr>
          <w:rFonts w:ascii="Times New Roman" w:hAnsi="Times New Roman" w:cs="Times New Roman"/>
          <w:sz w:val="24"/>
          <w:szCs w:val="24"/>
        </w:rPr>
        <w:t>involve</w:t>
      </w:r>
      <w:r w:rsidR="003E0FF0" w:rsidRPr="00D05EA9">
        <w:rPr>
          <w:rFonts w:ascii="Times New Roman" w:hAnsi="Times New Roman" w:cs="Times New Roman"/>
          <w:sz w:val="24"/>
          <w:szCs w:val="24"/>
        </w:rPr>
        <w:t>ment</w:t>
      </w:r>
      <w:r w:rsidRPr="00D05EA9">
        <w:rPr>
          <w:rFonts w:ascii="Times New Roman" w:hAnsi="Times New Roman" w:cs="Times New Roman"/>
          <w:sz w:val="24"/>
          <w:szCs w:val="24"/>
        </w:rPr>
        <w:t xml:space="preserve"> during the early stages of the projects’ development in undertaking planning and preparation activities. A number of </w:t>
      </w:r>
      <w:r w:rsidRPr="00D05EA9">
        <w:rPr>
          <w:rFonts w:ascii="Times New Roman" w:hAnsi="Times New Roman" w:cs="Times New Roman"/>
          <w:sz w:val="24"/>
          <w:szCs w:val="24"/>
        </w:rPr>
        <w:lastRenderedPageBreak/>
        <w:t xml:space="preserve">factors can be seen to have accounted for this. The obvious ones include practitioners’ roles, (their professional background) demands from clients and the projects’ requirements have played a major part in determining practitioners’ level of involvement during the early stage of the projects’ delivery. A view expressed by one of the interviewee’s; a training/CSR manager, during our discussions, related his </w:t>
      </w:r>
      <w:r w:rsidR="00535631" w:rsidRPr="00D05EA9">
        <w:rPr>
          <w:rFonts w:ascii="Times New Roman" w:hAnsi="Times New Roman" w:cs="Times New Roman"/>
          <w:sz w:val="24"/>
          <w:szCs w:val="24"/>
        </w:rPr>
        <w:t>low level of</w:t>
      </w:r>
      <w:r w:rsidRPr="00D05EA9">
        <w:rPr>
          <w:rFonts w:ascii="Times New Roman" w:hAnsi="Times New Roman" w:cs="Times New Roman"/>
          <w:sz w:val="24"/>
          <w:szCs w:val="24"/>
        </w:rPr>
        <w:t xml:space="preserve"> involvement to meeting such projects’ and clients’ requirements:</w:t>
      </w:r>
    </w:p>
    <w:p w:rsidR="00AB1E12" w:rsidRPr="00D05EA9" w:rsidRDefault="00AB1E12" w:rsidP="00964DFC">
      <w:pPr>
        <w:spacing w:after="0" w:line="480" w:lineRule="auto"/>
        <w:contextualSpacing/>
        <w:jc w:val="both"/>
        <w:rPr>
          <w:rFonts w:ascii="Times New Roman" w:hAnsi="Times New Roman" w:cs="Times New Roman"/>
          <w:i/>
          <w:sz w:val="24"/>
          <w:szCs w:val="24"/>
          <w:highlight w:val="yellow"/>
        </w:rPr>
      </w:pPr>
      <w:r w:rsidRPr="00D05EA9">
        <w:rPr>
          <w:rFonts w:ascii="Times New Roman" w:hAnsi="Times New Roman" w:cs="Times New Roman"/>
          <w:i/>
          <w:sz w:val="24"/>
          <w:szCs w:val="24"/>
        </w:rPr>
        <w:t>“I sometimes get involved at the early stages of our projects, but that depends on what the client or the contract want us to deliver…It differs from project to project, and each client has his own views on how we should do that…”</w:t>
      </w:r>
    </w:p>
    <w:p w:rsidR="00964DFC" w:rsidRPr="00D05EA9" w:rsidRDefault="00ED63DE" w:rsidP="00964DFC">
      <w:pPr>
        <w:spacing w:after="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 xml:space="preserve">Practitioners such as project managers and others with sustainability responsibilities are crucial in the sense that their early and </w:t>
      </w:r>
      <w:r w:rsidR="003C7BEB" w:rsidRPr="00D05EA9">
        <w:rPr>
          <w:rFonts w:ascii="Times New Roman" w:hAnsi="Times New Roman" w:cs="Times New Roman"/>
          <w:sz w:val="24"/>
          <w:szCs w:val="24"/>
        </w:rPr>
        <w:t>high level of</w:t>
      </w:r>
      <w:r w:rsidRPr="00D05EA9">
        <w:rPr>
          <w:rFonts w:ascii="Times New Roman" w:hAnsi="Times New Roman" w:cs="Times New Roman"/>
          <w:sz w:val="24"/>
          <w:szCs w:val="24"/>
        </w:rPr>
        <w:t xml:space="preserve"> involvement will enable them to understand clients’ needs as well as the projects’ requirements, to translate them into practice during the construction stage of the projects.</w:t>
      </w:r>
      <w:r w:rsidR="007514CA" w:rsidRPr="00D05EA9">
        <w:rPr>
          <w:rFonts w:ascii="Times New Roman" w:hAnsi="Times New Roman" w:cs="Times New Roman"/>
          <w:sz w:val="24"/>
          <w:szCs w:val="24"/>
        </w:rPr>
        <w:t xml:space="preserve"> </w:t>
      </w:r>
      <w:r w:rsidRPr="00D05EA9">
        <w:rPr>
          <w:rFonts w:ascii="Times New Roman" w:hAnsi="Times New Roman" w:cs="Times New Roman"/>
          <w:sz w:val="24"/>
          <w:szCs w:val="24"/>
        </w:rPr>
        <w:t xml:space="preserve">However, </w:t>
      </w:r>
      <w:r w:rsidR="00EE3DA7" w:rsidRPr="00D05EA9">
        <w:rPr>
          <w:rFonts w:ascii="Times New Roman" w:hAnsi="Times New Roman" w:cs="Times New Roman"/>
          <w:sz w:val="24"/>
          <w:szCs w:val="24"/>
        </w:rPr>
        <w:t xml:space="preserve">it was surprising to observe </w:t>
      </w:r>
      <w:r w:rsidRPr="00D05EA9">
        <w:rPr>
          <w:rFonts w:ascii="Times New Roman" w:hAnsi="Times New Roman" w:cs="Times New Roman"/>
          <w:sz w:val="24"/>
          <w:szCs w:val="24"/>
        </w:rPr>
        <w:t>that practitioners who have sustainability specifically assigned</w:t>
      </w:r>
      <w:r w:rsidR="0000714B" w:rsidRPr="00D05EA9">
        <w:rPr>
          <w:rFonts w:ascii="Times New Roman" w:hAnsi="Times New Roman" w:cs="Times New Roman"/>
          <w:sz w:val="24"/>
          <w:szCs w:val="24"/>
        </w:rPr>
        <w:t xml:space="preserve"> to their role</w:t>
      </w:r>
      <w:r w:rsidR="00EE3DA7" w:rsidRPr="00D05EA9">
        <w:rPr>
          <w:rFonts w:ascii="Times New Roman" w:hAnsi="Times New Roman" w:cs="Times New Roman"/>
          <w:sz w:val="24"/>
          <w:szCs w:val="24"/>
        </w:rPr>
        <w:t>s and responsibilities were the least</w:t>
      </w:r>
      <w:r w:rsidR="0000714B" w:rsidRPr="00D05EA9">
        <w:rPr>
          <w:rFonts w:ascii="Times New Roman" w:hAnsi="Times New Roman" w:cs="Times New Roman"/>
          <w:sz w:val="24"/>
          <w:szCs w:val="24"/>
        </w:rPr>
        <w:t xml:space="preserve"> involved at the planning and preparation activities during the early stages of the projects. Their </w:t>
      </w:r>
      <w:r w:rsidR="009F52BC" w:rsidRPr="00D05EA9">
        <w:rPr>
          <w:rFonts w:ascii="Times New Roman" w:hAnsi="Times New Roman" w:cs="Times New Roman"/>
          <w:sz w:val="24"/>
          <w:szCs w:val="24"/>
        </w:rPr>
        <w:t>low</w:t>
      </w:r>
      <w:r w:rsidR="0000714B" w:rsidRPr="00D05EA9">
        <w:rPr>
          <w:rFonts w:ascii="Times New Roman" w:hAnsi="Times New Roman" w:cs="Times New Roman"/>
          <w:sz w:val="24"/>
          <w:szCs w:val="24"/>
        </w:rPr>
        <w:t xml:space="preserve"> level</w:t>
      </w:r>
      <w:r w:rsidR="009F52BC" w:rsidRPr="00D05EA9">
        <w:rPr>
          <w:rFonts w:ascii="Times New Roman" w:hAnsi="Times New Roman" w:cs="Times New Roman"/>
          <w:sz w:val="24"/>
          <w:szCs w:val="24"/>
        </w:rPr>
        <w:t>s</w:t>
      </w:r>
      <w:r w:rsidR="0000714B" w:rsidRPr="00D05EA9">
        <w:rPr>
          <w:rFonts w:ascii="Times New Roman" w:hAnsi="Times New Roman" w:cs="Times New Roman"/>
          <w:sz w:val="24"/>
          <w:szCs w:val="24"/>
        </w:rPr>
        <w:t xml:space="preserve"> of involvement could also be due to the fact that the priorities and interests of most clients and construction organisations were/are driven by considerations other than the sustainability aspects of their projects. </w:t>
      </w:r>
      <w:r w:rsidR="00D03EFB" w:rsidRPr="00D05EA9">
        <w:rPr>
          <w:rFonts w:ascii="Times New Roman" w:hAnsi="Times New Roman" w:cs="Times New Roman"/>
          <w:sz w:val="24"/>
          <w:szCs w:val="24"/>
        </w:rPr>
        <w:t>A prevailing situation identified with practitioners’ during the interviews was that training/CSR managers were not very often involved in the planning and preparation activities of the projects. They were only brought in when their clients decided to bring in trainees. This point was made clear by one of the training/CSR managers who indicated that she was only brought in when their clients wanted trainees on the projects and in most cases, trainees were handed to her during the construction stages of the projects, to manage them.</w:t>
      </w:r>
    </w:p>
    <w:p w:rsidR="00D03EFB" w:rsidRPr="00D05EA9" w:rsidRDefault="00004E7D" w:rsidP="00964DFC">
      <w:pPr>
        <w:spacing w:after="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lastRenderedPageBreak/>
        <w:t>A prevailing situation identified with practitioners’ during the interviews was that training/CSR managers were not very often involved in the planning and preparation activities of the projects. They were only brought in when their clients decided to bring in trainees. This point was made clear by one of the training/CSR managers who indicated that she was only brought in when their clients wanted trainees on the projects and in most cases, trainees were handed to her during the construction stages of the projects, to manage them.</w:t>
      </w:r>
    </w:p>
    <w:p w:rsidR="00235F10" w:rsidRPr="00D05EA9" w:rsidRDefault="00D03EFB" w:rsidP="00964DFC">
      <w:pPr>
        <w:spacing w:after="0" w:line="480" w:lineRule="auto"/>
        <w:contextualSpacing/>
        <w:jc w:val="both"/>
        <w:rPr>
          <w:rFonts w:ascii="Times New Roman" w:hAnsi="Times New Roman" w:cs="Times New Roman"/>
          <w:i/>
          <w:sz w:val="24"/>
          <w:szCs w:val="24"/>
          <w:highlight w:val="yellow"/>
        </w:rPr>
      </w:pPr>
      <w:r w:rsidRPr="00D05EA9">
        <w:rPr>
          <w:rFonts w:ascii="Times New Roman" w:hAnsi="Times New Roman" w:cs="Times New Roman"/>
          <w:i/>
          <w:sz w:val="24"/>
          <w:szCs w:val="24"/>
        </w:rPr>
        <w:t>“…I rarely get involved at this stage of the project. …Normally I get involved when our clients have confirmed those who are going to be the trainees on the project, which is normally at the construction stage of the project to help put the process in place to manage them”.</w:t>
      </w:r>
    </w:p>
    <w:p w:rsidR="00A112E5" w:rsidRPr="00D05EA9" w:rsidRDefault="00473DAA" w:rsidP="00964DFC">
      <w:pPr>
        <w:spacing w:after="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 xml:space="preserve">Construction activities have limited duration, therefore early and </w:t>
      </w:r>
      <w:r w:rsidR="00865A34" w:rsidRPr="00D05EA9">
        <w:rPr>
          <w:rFonts w:ascii="Times New Roman" w:hAnsi="Times New Roman" w:cs="Times New Roman"/>
          <w:sz w:val="24"/>
          <w:szCs w:val="24"/>
        </w:rPr>
        <w:t>high level</w:t>
      </w:r>
      <w:r w:rsidRPr="00D05EA9">
        <w:rPr>
          <w:rFonts w:ascii="Times New Roman" w:hAnsi="Times New Roman" w:cs="Times New Roman"/>
          <w:sz w:val="24"/>
          <w:szCs w:val="24"/>
        </w:rPr>
        <w:t xml:space="preserve"> of involvement of training/CSR managers for example, can enable them to identify the right </w:t>
      </w:r>
      <w:r w:rsidR="00865A34" w:rsidRPr="00D05EA9">
        <w:rPr>
          <w:rFonts w:ascii="Times New Roman" w:hAnsi="Times New Roman" w:cs="Times New Roman"/>
          <w:sz w:val="24"/>
          <w:szCs w:val="24"/>
        </w:rPr>
        <w:t>calibre</w:t>
      </w:r>
      <w:r w:rsidRPr="00D05EA9">
        <w:rPr>
          <w:rFonts w:ascii="Times New Roman" w:hAnsi="Times New Roman" w:cs="Times New Roman"/>
          <w:sz w:val="24"/>
          <w:szCs w:val="24"/>
        </w:rPr>
        <w:t xml:space="preserve"> of people for training, to enable them to put in place the kind of training that can be offered within the projects’ durations. The stage at which involvement of such key practitioners takes place has the potential to determine what and when certain sustainability features can be prepared and planned, adopted and implemented, and also monitored and evaluated on projects. From the perspective of sustainable regeneration, the requirement to achieve sustainability of regeneration projects calls for more integrated and proactive approaches to the early and </w:t>
      </w:r>
      <w:r w:rsidR="00865A34" w:rsidRPr="00D05EA9">
        <w:rPr>
          <w:rFonts w:ascii="Times New Roman" w:hAnsi="Times New Roman" w:cs="Times New Roman"/>
          <w:sz w:val="24"/>
          <w:szCs w:val="24"/>
        </w:rPr>
        <w:t>high</w:t>
      </w:r>
      <w:r w:rsidRPr="00D05EA9">
        <w:rPr>
          <w:rFonts w:ascii="Times New Roman" w:hAnsi="Times New Roman" w:cs="Times New Roman"/>
          <w:sz w:val="24"/>
          <w:szCs w:val="24"/>
        </w:rPr>
        <w:t xml:space="preserve"> level of involvement of key practitioners in the planning and preparation activities of the projects. Similarly, since sustainability features have often being a subject of contention in construction projects and difficult to deal with in practice, such early and always involvement of all the key practitioners would enable different perspectives of sustainability features to be incorporated into the planning and preparation activities of projects in a proactive manner. </w:t>
      </w:r>
      <w:r w:rsidR="00A112E5" w:rsidRPr="00D05EA9">
        <w:rPr>
          <w:rFonts w:ascii="Times New Roman" w:hAnsi="Times New Roman" w:cs="Times New Roman"/>
          <w:sz w:val="24"/>
          <w:szCs w:val="24"/>
        </w:rPr>
        <w:t xml:space="preserve">It is suggested that the key to any successful regeneration project is about the practical involvement of all the key practitioners, particularly at the early stage of the project’s </w:t>
      </w:r>
      <w:r w:rsidR="00A112E5" w:rsidRPr="00D05EA9">
        <w:rPr>
          <w:rFonts w:ascii="Times New Roman" w:hAnsi="Times New Roman" w:cs="Times New Roman"/>
          <w:sz w:val="24"/>
          <w:szCs w:val="24"/>
        </w:rPr>
        <w:lastRenderedPageBreak/>
        <w:t>development (Takim, 2009). Likewise, such ‘early and high’ level of involvement would not only provide an avenue for practitioners to pursue a common sustainability course, but would also provide an enabling environment to proactively respond to any potential issues that may undermine the planning and preparation activities of the projects.</w:t>
      </w:r>
    </w:p>
    <w:p w:rsidR="00673B69" w:rsidRPr="00D05EA9" w:rsidRDefault="00673B69" w:rsidP="00964DFC">
      <w:pPr>
        <w:spacing w:after="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 xml:space="preserve">One major implication for </w:t>
      </w:r>
      <w:r w:rsidR="00225865" w:rsidRPr="00D05EA9">
        <w:rPr>
          <w:rFonts w:ascii="Times New Roman" w:hAnsi="Times New Roman" w:cs="Times New Roman"/>
          <w:sz w:val="24"/>
          <w:szCs w:val="24"/>
        </w:rPr>
        <w:t xml:space="preserve">such </w:t>
      </w:r>
      <w:r w:rsidRPr="00D05EA9">
        <w:rPr>
          <w:rFonts w:ascii="Times New Roman" w:hAnsi="Times New Roman" w:cs="Times New Roman"/>
          <w:sz w:val="24"/>
          <w:szCs w:val="24"/>
        </w:rPr>
        <w:t>‘</w:t>
      </w:r>
      <w:r w:rsidR="00225865" w:rsidRPr="00D05EA9">
        <w:rPr>
          <w:rFonts w:ascii="Times New Roman" w:hAnsi="Times New Roman" w:cs="Times New Roman"/>
          <w:sz w:val="24"/>
          <w:szCs w:val="24"/>
        </w:rPr>
        <w:t>low</w:t>
      </w:r>
      <w:r w:rsidRPr="00D05EA9">
        <w:rPr>
          <w:rFonts w:ascii="Times New Roman" w:hAnsi="Times New Roman" w:cs="Times New Roman"/>
          <w:sz w:val="24"/>
          <w:szCs w:val="24"/>
        </w:rPr>
        <w:t xml:space="preserve"> level</w:t>
      </w:r>
      <w:r w:rsidR="00225865" w:rsidRPr="00D05EA9">
        <w:rPr>
          <w:rFonts w:ascii="Times New Roman" w:hAnsi="Times New Roman" w:cs="Times New Roman"/>
          <w:sz w:val="24"/>
          <w:szCs w:val="24"/>
        </w:rPr>
        <w:t>s</w:t>
      </w:r>
      <w:r w:rsidRPr="00D05EA9">
        <w:rPr>
          <w:rFonts w:ascii="Times New Roman" w:hAnsi="Times New Roman" w:cs="Times New Roman"/>
          <w:sz w:val="24"/>
          <w:szCs w:val="24"/>
        </w:rPr>
        <w:t xml:space="preserve"> of involvement</w:t>
      </w:r>
      <w:r w:rsidR="00225865" w:rsidRPr="00D05EA9">
        <w:rPr>
          <w:rFonts w:ascii="Times New Roman" w:hAnsi="Times New Roman" w:cs="Times New Roman"/>
          <w:sz w:val="24"/>
          <w:szCs w:val="24"/>
        </w:rPr>
        <w:t>’</w:t>
      </w:r>
      <w:r w:rsidRPr="00D05EA9">
        <w:rPr>
          <w:rFonts w:ascii="Times New Roman" w:hAnsi="Times New Roman" w:cs="Times New Roman"/>
          <w:sz w:val="24"/>
          <w:szCs w:val="24"/>
        </w:rPr>
        <w:t xml:space="preserve"> of key practitioners in the planning and preparation activities at the early stage of the projects could be the lack of understanding and corporation among practitioners involved in the delivery of the projects. A point which was emphasised by one project manager:</w:t>
      </w:r>
    </w:p>
    <w:p w:rsidR="00673B69" w:rsidRPr="00D05EA9" w:rsidRDefault="00673B69" w:rsidP="00673B69">
      <w:pPr>
        <w:spacing w:after="0" w:line="240" w:lineRule="auto"/>
        <w:contextualSpacing/>
        <w:jc w:val="both"/>
        <w:rPr>
          <w:rFonts w:ascii="Times New Roman" w:hAnsi="Times New Roman" w:cs="Times New Roman"/>
          <w:i/>
          <w:sz w:val="24"/>
          <w:szCs w:val="24"/>
        </w:rPr>
      </w:pPr>
      <w:r w:rsidRPr="00D05EA9">
        <w:rPr>
          <w:rFonts w:ascii="Times New Roman" w:hAnsi="Times New Roman" w:cs="Times New Roman"/>
          <w:i/>
          <w:sz w:val="24"/>
          <w:szCs w:val="24"/>
        </w:rPr>
        <w:t>“I think there will not be a greater buy-in from us if we are not involved early in the process”.</w:t>
      </w:r>
    </w:p>
    <w:p w:rsidR="000B26EC" w:rsidRPr="00D05EA9" w:rsidRDefault="000B26EC" w:rsidP="00673B69">
      <w:pPr>
        <w:spacing w:after="0" w:line="240" w:lineRule="auto"/>
        <w:contextualSpacing/>
        <w:jc w:val="both"/>
        <w:rPr>
          <w:rFonts w:ascii="Times New Roman" w:hAnsi="Times New Roman" w:cs="Times New Roman"/>
          <w:sz w:val="24"/>
          <w:szCs w:val="24"/>
        </w:rPr>
      </w:pPr>
    </w:p>
    <w:p w:rsidR="00B526EE" w:rsidRPr="00D05EA9" w:rsidRDefault="004C49BF" w:rsidP="00964DFC">
      <w:pPr>
        <w:spacing w:after="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The low</w:t>
      </w:r>
      <w:r w:rsidR="000B26EC" w:rsidRPr="00D05EA9">
        <w:rPr>
          <w:rFonts w:ascii="Times New Roman" w:hAnsi="Times New Roman" w:cs="Times New Roman"/>
          <w:sz w:val="24"/>
          <w:szCs w:val="24"/>
        </w:rPr>
        <w:t xml:space="preserve"> level of key practitioners’ involvement in contributing to the planning and preparation activities at such a crucial stage could also have serious cost implications if changes or corrective measures are to be made at the construction and post construction stages of the projects. Consequently, any act of inadequate involvement of all key practitioners, particularly those with sustainability responsibilities at the early stage of sustainable regeneration projects, could jeopardise the achievement of the projects’ sustainability outcomes. It can however be suggested that practitioners, if </w:t>
      </w:r>
      <w:r w:rsidR="00CA75BA" w:rsidRPr="00D05EA9">
        <w:rPr>
          <w:rFonts w:ascii="Times New Roman" w:hAnsi="Times New Roman" w:cs="Times New Roman"/>
          <w:sz w:val="24"/>
          <w:szCs w:val="24"/>
        </w:rPr>
        <w:t>they are highly</w:t>
      </w:r>
      <w:r w:rsidR="000B26EC" w:rsidRPr="00D05EA9">
        <w:rPr>
          <w:rFonts w:ascii="Times New Roman" w:hAnsi="Times New Roman" w:cs="Times New Roman"/>
          <w:sz w:val="24"/>
          <w:szCs w:val="24"/>
        </w:rPr>
        <w:t xml:space="preserve"> involved early in the planning and preparation activities, could be instrumental in advising many clients and construction organisations on the issues of sustainability for the adoption and implementation of such sustainability features in their projects at the construction stage. </w:t>
      </w:r>
    </w:p>
    <w:p w:rsidR="000008F6" w:rsidRPr="00D05EA9" w:rsidRDefault="000008F6" w:rsidP="00964DFC">
      <w:pPr>
        <w:spacing w:after="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 xml:space="preserve">At the construction stage, the involvement of practitioners is mainly concerned with the adoption and implementation of activities from the early stage, coordinating and supervising activities, including the workforce. During the construction stage of the projects’ delivery, the results from the interviews revealed that; 3- clients’ representatives, 3 -architects, 3- project managers and 3- commercial managers were seen to have been highly involved in the </w:t>
      </w:r>
      <w:r w:rsidRPr="00D05EA9">
        <w:rPr>
          <w:rFonts w:ascii="Times New Roman" w:hAnsi="Times New Roman" w:cs="Times New Roman"/>
          <w:sz w:val="24"/>
          <w:szCs w:val="24"/>
        </w:rPr>
        <w:lastRenderedPageBreak/>
        <w:t>adoption and implementation, and also in the coordination and supervision activities for the projects.</w:t>
      </w:r>
    </w:p>
    <w:p w:rsidR="00B526EE" w:rsidRPr="00D05EA9" w:rsidRDefault="002163E1" w:rsidP="00964DFC">
      <w:pPr>
        <w:spacing w:after="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 xml:space="preserve">This is also considered the domain for project managers, clients’ representatives, commercial managers and architects. The coordination and supervision activities are also greater at this stage of the project development. Hence, most clients’ representatives will be interested in the coordination and supervision activities as well as the adoption and implementation activities, in line with their budget, quality and time requirements. On the other hand, the project managers’ coordination and supervision activities are crucial at this stage in ensuring that the physical projects are delivered to meet the projects requirements. Likewise, commercial managers are also expected to supervise and coordinate the cost management processes of the projects. The involvement of architects is also fundamental here too, in making sure that they supervise and coordinate activities to deliver the projects according to the designs of the projects. </w:t>
      </w:r>
    </w:p>
    <w:p w:rsidR="008C0A26" w:rsidRPr="00D05EA9" w:rsidRDefault="00EA08E1" w:rsidP="00964DFC">
      <w:pPr>
        <w:spacing w:after="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 xml:space="preserve">Again, </w:t>
      </w:r>
      <w:r w:rsidR="00AD513E" w:rsidRPr="00D05EA9">
        <w:rPr>
          <w:rFonts w:ascii="Times New Roman" w:hAnsi="Times New Roman" w:cs="Times New Roman"/>
          <w:sz w:val="24"/>
          <w:szCs w:val="24"/>
        </w:rPr>
        <w:t>Table 2</w:t>
      </w:r>
      <w:r w:rsidR="00E248B1" w:rsidRPr="00D05EA9">
        <w:rPr>
          <w:rFonts w:ascii="Times New Roman" w:hAnsi="Times New Roman" w:cs="Times New Roman"/>
          <w:sz w:val="24"/>
          <w:szCs w:val="24"/>
        </w:rPr>
        <w:t xml:space="preserve"> shows that at the construction phase of the projects, 2- sustainability managers, 2- regeneration managers and 2- training/CSR managers (with assigned sustainability roles and responsibilities) </w:t>
      </w:r>
      <w:r w:rsidR="00A22EB1" w:rsidRPr="00D05EA9">
        <w:rPr>
          <w:rFonts w:ascii="Times New Roman" w:hAnsi="Times New Roman" w:cs="Times New Roman"/>
          <w:sz w:val="24"/>
          <w:szCs w:val="24"/>
        </w:rPr>
        <w:t>have had</w:t>
      </w:r>
      <w:r w:rsidR="00E248B1" w:rsidRPr="00D05EA9">
        <w:rPr>
          <w:rFonts w:ascii="Times New Roman" w:hAnsi="Times New Roman" w:cs="Times New Roman"/>
          <w:sz w:val="24"/>
          <w:szCs w:val="24"/>
        </w:rPr>
        <w:t xml:space="preserve"> </w:t>
      </w:r>
      <w:r w:rsidR="00A22EB1" w:rsidRPr="00D05EA9">
        <w:rPr>
          <w:rFonts w:ascii="Times New Roman" w:hAnsi="Times New Roman" w:cs="Times New Roman"/>
          <w:sz w:val="24"/>
          <w:szCs w:val="24"/>
        </w:rPr>
        <w:t>high levels of</w:t>
      </w:r>
      <w:r w:rsidR="00E248B1" w:rsidRPr="00D05EA9">
        <w:rPr>
          <w:rFonts w:ascii="Times New Roman" w:hAnsi="Times New Roman" w:cs="Times New Roman"/>
          <w:sz w:val="24"/>
          <w:szCs w:val="24"/>
        </w:rPr>
        <w:t xml:space="preserve"> involve</w:t>
      </w:r>
      <w:r w:rsidR="00A22EB1" w:rsidRPr="00D05EA9">
        <w:rPr>
          <w:rFonts w:ascii="Times New Roman" w:hAnsi="Times New Roman" w:cs="Times New Roman"/>
          <w:sz w:val="24"/>
          <w:szCs w:val="24"/>
        </w:rPr>
        <w:t>ment</w:t>
      </w:r>
      <w:r w:rsidR="00E248B1" w:rsidRPr="00D05EA9">
        <w:rPr>
          <w:rFonts w:ascii="Times New Roman" w:hAnsi="Times New Roman" w:cs="Times New Roman"/>
          <w:sz w:val="24"/>
          <w:szCs w:val="24"/>
        </w:rPr>
        <w:t xml:space="preserve"> in carrying out adoption, implementation, coordination and supervision activities on the projects. Although there seems to be an improvement in their level of involvement in comparison to their level of involvement at the early developmental stage of the projects, nonetheless, at least one from each of this group of practitioners (assigned sustainability roles and responsibilities) interviewed, </w:t>
      </w:r>
      <w:r w:rsidR="002B5CEB" w:rsidRPr="00D05EA9">
        <w:rPr>
          <w:rFonts w:ascii="Times New Roman" w:hAnsi="Times New Roman" w:cs="Times New Roman"/>
          <w:sz w:val="24"/>
          <w:szCs w:val="24"/>
        </w:rPr>
        <w:t>has had low level of</w:t>
      </w:r>
      <w:r w:rsidR="00E248B1" w:rsidRPr="00D05EA9">
        <w:rPr>
          <w:rFonts w:ascii="Times New Roman" w:hAnsi="Times New Roman" w:cs="Times New Roman"/>
          <w:sz w:val="24"/>
          <w:szCs w:val="24"/>
        </w:rPr>
        <w:t xml:space="preserve"> involve</w:t>
      </w:r>
      <w:r w:rsidR="002B5CEB" w:rsidRPr="00D05EA9">
        <w:rPr>
          <w:rFonts w:ascii="Times New Roman" w:hAnsi="Times New Roman" w:cs="Times New Roman"/>
          <w:sz w:val="24"/>
          <w:szCs w:val="24"/>
        </w:rPr>
        <w:t xml:space="preserve">ment </w:t>
      </w:r>
      <w:r w:rsidR="00E248B1" w:rsidRPr="00D05EA9">
        <w:rPr>
          <w:rFonts w:ascii="Times New Roman" w:hAnsi="Times New Roman" w:cs="Times New Roman"/>
          <w:sz w:val="24"/>
          <w:szCs w:val="24"/>
        </w:rPr>
        <w:t xml:space="preserve">at the construction stage of the projects. </w:t>
      </w:r>
      <w:r w:rsidR="008C0A26" w:rsidRPr="00D05EA9">
        <w:rPr>
          <w:rFonts w:ascii="Times New Roman" w:hAnsi="Times New Roman" w:cs="Times New Roman"/>
          <w:sz w:val="24"/>
          <w:szCs w:val="24"/>
        </w:rPr>
        <w:t xml:space="preserve">For this group of practitioners, it can be observed that because they are not seen as practitioners who primarily contribute to meeting the conventional projects’ cost, time and quality objectives, their contributions at the construction stage could be ignored, especially, when clients and their construction organisations involved in the delivery of the projects are not </w:t>
      </w:r>
      <w:r w:rsidR="008C0A26" w:rsidRPr="00D05EA9">
        <w:rPr>
          <w:rFonts w:ascii="Times New Roman" w:hAnsi="Times New Roman" w:cs="Times New Roman"/>
          <w:sz w:val="24"/>
          <w:szCs w:val="24"/>
        </w:rPr>
        <w:lastRenderedPageBreak/>
        <w:t>inclined to sustainability issues. In this regard, most clients and construction organisations will tend to concentrate on their core business objectives, rather than pursuing and venturing into other new areas they consider will increase their expenditures.</w:t>
      </w:r>
    </w:p>
    <w:p w:rsidR="00062150" w:rsidRPr="00D05EA9" w:rsidRDefault="00183E96" w:rsidP="00C47D05">
      <w:pPr>
        <w:spacing w:after="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 xml:space="preserve">At the post construction stage, which is obviously after the completion of the physical project, some of the main activities which are required to be undertaken involve performance monitoring and evaluation of the completed projects. Apparently, this is one of the stages of the project’s delivery where the activities carried out from the early stage through to the construction stage of the projects are required to be monitored and evaluated, to provide the opportunity to ascertain the performance of the completed projects. </w:t>
      </w:r>
      <w:r w:rsidR="00F31B83" w:rsidRPr="00D05EA9">
        <w:rPr>
          <w:rFonts w:ascii="Times New Roman" w:hAnsi="Times New Roman" w:cs="Times New Roman"/>
          <w:sz w:val="24"/>
          <w:szCs w:val="24"/>
        </w:rPr>
        <w:t xml:space="preserve">At the post construction stage of the project, it was noticed that of the 21 practitioners who were interviewed, only 3- clients’ representatives, 1- architect and 1- project manager were </w:t>
      </w:r>
      <w:r w:rsidR="0017493D" w:rsidRPr="00D05EA9">
        <w:rPr>
          <w:rFonts w:ascii="Times New Roman" w:hAnsi="Times New Roman" w:cs="Times New Roman"/>
          <w:sz w:val="24"/>
          <w:szCs w:val="24"/>
        </w:rPr>
        <w:t>highly</w:t>
      </w:r>
      <w:r w:rsidR="00F31B83" w:rsidRPr="00D05EA9">
        <w:rPr>
          <w:rFonts w:ascii="Times New Roman" w:hAnsi="Times New Roman" w:cs="Times New Roman"/>
          <w:sz w:val="24"/>
          <w:szCs w:val="24"/>
        </w:rPr>
        <w:t xml:space="preserve"> involved in undertaking monitoring and evaluation of the completed regeneration projects. Conventionally, the involvement of practitioners in many construction projects has been concentrated on the construction stage. For most ‘</w:t>
      </w:r>
      <w:r w:rsidR="00991F3F" w:rsidRPr="00D05EA9">
        <w:rPr>
          <w:rFonts w:ascii="Times New Roman" w:hAnsi="Times New Roman" w:cs="Times New Roman"/>
          <w:sz w:val="24"/>
          <w:szCs w:val="24"/>
        </w:rPr>
        <w:t>typical</w:t>
      </w:r>
      <w:r w:rsidR="00F31B83" w:rsidRPr="00D05EA9">
        <w:rPr>
          <w:rFonts w:ascii="Times New Roman" w:hAnsi="Times New Roman" w:cs="Times New Roman"/>
          <w:sz w:val="24"/>
          <w:szCs w:val="24"/>
        </w:rPr>
        <w:t xml:space="preserve">’ construction projects, when the major physical works are completed and the projects are handed over, only a limited number of practitioners are needed to carry out certain corrective works. Hence, the </w:t>
      </w:r>
      <w:r w:rsidR="00B73EDE" w:rsidRPr="00D05EA9">
        <w:rPr>
          <w:rFonts w:ascii="Times New Roman" w:hAnsi="Times New Roman" w:cs="Times New Roman"/>
          <w:sz w:val="24"/>
          <w:szCs w:val="24"/>
        </w:rPr>
        <w:t>low</w:t>
      </w:r>
      <w:r w:rsidR="00F31B83" w:rsidRPr="00D05EA9">
        <w:rPr>
          <w:rFonts w:ascii="Times New Roman" w:hAnsi="Times New Roman" w:cs="Times New Roman"/>
          <w:sz w:val="24"/>
          <w:szCs w:val="24"/>
        </w:rPr>
        <w:t xml:space="preserve"> level of involvement at this stage of the project by the majority of practitioners as per the findings, typifies the practitioners’ level of involvement in such ‘</w:t>
      </w:r>
      <w:r w:rsidR="00991F3F" w:rsidRPr="00D05EA9">
        <w:rPr>
          <w:rFonts w:ascii="Times New Roman" w:hAnsi="Times New Roman" w:cs="Times New Roman"/>
          <w:sz w:val="24"/>
          <w:szCs w:val="24"/>
        </w:rPr>
        <w:t>typical</w:t>
      </w:r>
      <w:r w:rsidR="00F31B83" w:rsidRPr="00D05EA9">
        <w:rPr>
          <w:rFonts w:ascii="Times New Roman" w:hAnsi="Times New Roman" w:cs="Times New Roman"/>
          <w:sz w:val="24"/>
          <w:szCs w:val="24"/>
        </w:rPr>
        <w:t>’ construction projects.</w:t>
      </w:r>
    </w:p>
    <w:p w:rsidR="00FC173D" w:rsidRPr="00D05EA9" w:rsidRDefault="00062150" w:rsidP="00C47D05">
      <w:pPr>
        <w:spacing w:after="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 xml:space="preserve">However, the situation can be seen to be different when it comes to sustainable regeneration projects. The sustainability performance requirements for regeneration projects go beyond the completion of the physical projects on site. The impact of sustainability aspects of regeneration projects, and in particular the socio-economic ones on the quality of life of society, extend far beyond the construction stage of the projects. As a result, several other issues which can impact on the sustainability performance of the projects will require attention after the practical completion of the projects. Likewise, the opportunity to monitor </w:t>
      </w:r>
      <w:r w:rsidRPr="00D05EA9">
        <w:rPr>
          <w:rFonts w:ascii="Times New Roman" w:hAnsi="Times New Roman" w:cs="Times New Roman"/>
          <w:sz w:val="24"/>
          <w:szCs w:val="24"/>
        </w:rPr>
        <w:lastRenderedPageBreak/>
        <w:t xml:space="preserve">and undertake the evaluation of the sustainability performance of the completed projects to enable learning for future projects also becomes crucial at this stage of the projects’ delivery. </w:t>
      </w:r>
    </w:p>
    <w:p w:rsidR="004B437C" w:rsidRPr="00D05EA9" w:rsidRDefault="004B437C" w:rsidP="00C47D05">
      <w:pPr>
        <w:spacing w:after="0" w:line="480" w:lineRule="auto"/>
        <w:contextualSpacing/>
        <w:jc w:val="both"/>
        <w:rPr>
          <w:rFonts w:ascii="Times New Roman" w:hAnsi="Times New Roman" w:cs="Times New Roman"/>
          <w:sz w:val="24"/>
          <w:szCs w:val="24"/>
        </w:rPr>
      </w:pPr>
    </w:p>
    <w:p w:rsidR="00FF6375" w:rsidRPr="00D05EA9" w:rsidRDefault="009C2BA2" w:rsidP="00312FCF">
      <w:pPr>
        <w:spacing w:after="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 xml:space="preserve">Overall, </w:t>
      </w:r>
      <w:r w:rsidR="006D60F1" w:rsidRPr="00D05EA9">
        <w:rPr>
          <w:rFonts w:ascii="Times New Roman" w:hAnsi="Times New Roman" w:cs="Times New Roman"/>
          <w:sz w:val="24"/>
          <w:szCs w:val="24"/>
        </w:rPr>
        <w:t>it can be observed in Tables 2</w:t>
      </w:r>
      <w:r w:rsidRPr="00D05EA9">
        <w:rPr>
          <w:rFonts w:ascii="Times New Roman" w:hAnsi="Times New Roman" w:cs="Times New Roman"/>
          <w:sz w:val="24"/>
          <w:szCs w:val="24"/>
        </w:rPr>
        <w:t>, that clients’ representatives’ were the most</w:t>
      </w:r>
      <w:r w:rsidR="006D60F1" w:rsidRPr="00D05EA9">
        <w:rPr>
          <w:rFonts w:ascii="Times New Roman" w:hAnsi="Times New Roman" w:cs="Times New Roman"/>
          <w:sz w:val="24"/>
          <w:szCs w:val="24"/>
        </w:rPr>
        <w:t>/highly</w:t>
      </w:r>
      <w:r w:rsidRPr="00D05EA9">
        <w:rPr>
          <w:rFonts w:ascii="Times New Roman" w:hAnsi="Times New Roman" w:cs="Times New Roman"/>
          <w:sz w:val="24"/>
          <w:szCs w:val="24"/>
        </w:rPr>
        <w:t xml:space="preserve"> involved practitioners among other six key practitioners who participated in the study. Their </w:t>
      </w:r>
      <w:r w:rsidR="00080B57" w:rsidRPr="00D05EA9">
        <w:rPr>
          <w:rFonts w:ascii="Times New Roman" w:hAnsi="Times New Roman" w:cs="Times New Roman"/>
          <w:sz w:val="24"/>
          <w:szCs w:val="24"/>
        </w:rPr>
        <w:t>high</w:t>
      </w:r>
      <w:r w:rsidRPr="00D05EA9">
        <w:rPr>
          <w:rFonts w:ascii="Times New Roman" w:hAnsi="Times New Roman" w:cs="Times New Roman"/>
          <w:sz w:val="24"/>
          <w:szCs w:val="24"/>
        </w:rPr>
        <w:t xml:space="preserve"> level of involvement has been consistent throughout the three delivery stages (early, construction and post construction) of the projects. Architects were the next most</w:t>
      </w:r>
      <w:r w:rsidR="00C66684" w:rsidRPr="00D05EA9">
        <w:rPr>
          <w:rFonts w:ascii="Times New Roman" w:hAnsi="Times New Roman" w:cs="Times New Roman"/>
          <w:sz w:val="24"/>
          <w:szCs w:val="24"/>
        </w:rPr>
        <w:t>/highly</w:t>
      </w:r>
      <w:r w:rsidRPr="00D05EA9">
        <w:rPr>
          <w:rFonts w:ascii="Times New Roman" w:hAnsi="Times New Roman" w:cs="Times New Roman"/>
          <w:sz w:val="24"/>
          <w:szCs w:val="24"/>
        </w:rPr>
        <w:t xml:space="preserve"> involved practitioners, with their </w:t>
      </w:r>
      <w:r w:rsidR="00136880" w:rsidRPr="00D05EA9">
        <w:rPr>
          <w:rFonts w:ascii="Times New Roman" w:hAnsi="Times New Roman" w:cs="Times New Roman"/>
          <w:sz w:val="24"/>
          <w:szCs w:val="24"/>
        </w:rPr>
        <w:t>high</w:t>
      </w:r>
      <w:r w:rsidRPr="00D05EA9">
        <w:rPr>
          <w:rFonts w:ascii="Times New Roman" w:hAnsi="Times New Roman" w:cs="Times New Roman"/>
          <w:sz w:val="24"/>
          <w:szCs w:val="24"/>
        </w:rPr>
        <w:t xml:space="preserve"> level of involvement occurring at the early stage and construction stage of the projects’ delivery. With commercial managers’</w:t>
      </w:r>
      <w:r w:rsidR="00330521" w:rsidRPr="00D05EA9">
        <w:rPr>
          <w:rFonts w:ascii="Times New Roman" w:hAnsi="Times New Roman" w:cs="Times New Roman"/>
          <w:sz w:val="24"/>
          <w:szCs w:val="24"/>
        </w:rPr>
        <w:t>, their</w:t>
      </w:r>
      <w:r w:rsidRPr="00D05EA9">
        <w:rPr>
          <w:rFonts w:ascii="Times New Roman" w:hAnsi="Times New Roman" w:cs="Times New Roman"/>
          <w:sz w:val="24"/>
          <w:szCs w:val="24"/>
        </w:rPr>
        <w:t xml:space="preserve"> </w:t>
      </w:r>
      <w:r w:rsidR="00330521" w:rsidRPr="00D05EA9">
        <w:rPr>
          <w:rFonts w:ascii="Times New Roman" w:hAnsi="Times New Roman" w:cs="Times New Roman"/>
          <w:sz w:val="24"/>
          <w:szCs w:val="24"/>
        </w:rPr>
        <w:t>high levels of involvement</w:t>
      </w:r>
      <w:r w:rsidRPr="00D05EA9">
        <w:rPr>
          <w:rFonts w:ascii="Times New Roman" w:hAnsi="Times New Roman" w:cs="Times New Roman"/>
          <w:sz w:val="24"/>
          <w:szCs w:val="24"/>
        </w:rPr>
        <w:t xml:space="preserve"> </w:t>
      </w:r>
      <w:r w:rsidR="00330521" w:rsidRPr="00D05EA9">
        <w:rPr>
          <w:rFonts w:ascii="Times New Roman" w:hAnsi="Times New Roman" w:cs="Times New Roman"/>
          <w:sz w:val="24"/>
          <w:szCs w:val="24"/>
        </w:rPr>
        <w:t xml:space="preserve">was seen to be at the construction stage. </w:t>
      </w:r>
      <w:r w:rsidRPr="00D05EA9">
        <w:rPr>
          <w:rFonts w:ascii="Times New Roman" w:hAnsi="Times New Roman" w:cs="Times New Roman"/>
          <w:sz w:val="24"/>
          <w:szCs w:val="24"/>
        </w:rPr>
        <w:t xml:space="preserve">The project managers’ level of involvement was also seen to be </w:t>
      </w:r>
      <w:r w:rsidR="00416683" w:rsidRPr="00D05EA9">
        <w:rPr>
          <w:rFonts w:ascii="Times New Roman" w:hAnsi="Times New Roman" w:cs="Times New Roman"/>
          <w:sz w:val="24"/>
          <w:szCs w:val="24"/>
        </w:rPr>
        <w:t>highly</w:t>
      </w:r>
      <w:r w:rsidRPr="00D05EA9">
        <w:rPr>
          <w:rFonts w:ascii="Times New Roman" w:hAnsi="Times New Roman" w:cs="Times New Roman"/>
          <w:sz w:val="24"/>
          <w:szCs w:val="24"/>
        </w:rPr>
        <w:t xml:space="preserve"> involved at the construction stage, </w:t>
      </w:r>
      <w:r w:rsidR="00CC172F" w:rsidRPr="00D05EA9">
        <w:rPr>
          <w:rFonts w:ascii="Times New Roman" w:hAnsi="Times New Roman" w:cs="Times New Roman"/>
          <w:sz w:val="24"/>
          <w:szCs w:val="24"/>
        </w:rPr>
        <w:t>but</w:t>
      </w:r>
      <w:r w:rsidRPr="00D05EA9">
        <w:rPr>
          <w:rFonts w:ascii="Times New Roman" w:hAnsi="Times New Roman" w:cs="Times New Roman"/>
          <w:sz w:val="24"/>
          <w:szCs w:val="24"/>
        </w:rPr>
        <w:t xml:space="preserve"> with </w:t>
      </w:r>
      <w:r w:rsidR="00CC172F" w:rsidRPr="00D05EA9">
        <w:rPr>
          <w:rFonts w:ascii="Times New Roman" w:hAnsi="Times New Roman" w:cs="Times New Roman"/>
          <w:sz w:val="24"/>
          <w:szCs w:val="24"/>
        </w:rPr>
        <w:t>low</w:t>
      </w:r>
      <w:r w:rsidRPr="00D05EA9">
        <w:rPr>
          <w:rFonts w:ascii="Times New Roman" w:hAnsi="Times New Roman" w:cs="Times New Roman"/>
          <w:sz w:val="24"/>
          <w:szCs w:val="24"/>
        </w:rPr>
        <w:t xml:space="preserve"> level of involvement at the early and post construction stages of the projects’ delivery. </w:t>
      </w:r>
      <w:r w:rsidR="00CC172F" w:rsidRPr="00D05EA9">
        <w:rPr>
          <w:rFonts w:ascii="Times New Roman" w:hAnsi="Times New Roman" w:cs="Times New Roman"/>
          <w:sz w:val="24"/>
          <w:szCs w:val="24"/>
        </w:rPr>
        <w:t xml:space="preserve">The findings also </w:t>
      </w:r>
      <w:r w:rsidRPr="00D05EA9">
        <w:rPr>
          <w:rFonts w:ascii="Times New Roman" w:hAnsi="Times New Roman" w:cs="Times New Roman"/>
          <w:sz w:val="24"/>
          <w:szCs w:val="24"/>
        </w:rPr>
        <w:t>indicated that practitioners who have sustainability assigned to their roles and responsibilities (regeneration managers, sustainability managers, training/CSR managers) were the least involved in all the three stages of the projects.</w:t>
      </w:r>
      <w:r w:rsidR="00FF6375" w:rsidRPr="00D05EA9">
        <w:rPr>
          <w:rFonts w:ascii="Times New Roman" w:hAnsi="Times New Roman" w:cs="Times New Roman"/>
          <w:sz w:val="24"/>
          <w:szCs w:val="24"/>
        </w:rPr>
        <w:t xml:space="preserve"> </w:t>
      </w:r>
    </w:p>
    <w:p w:rsidR="00EA08E1" w:rsidRPr="00D05EA9" w:rsidRDefault="00EA08E1" w:rsidP="00EA08E1">
      <w:pPr>
        <w:spacing w:after="0" w:line="240" w:lineRule="auto"/>
        <w:contextualSpacing/>
        <w:jc w:val="both"/>
        <w:rPr>
          <w:rFonts w:ascii="Times New Roman" w:hAnsi="Times New Roman" w:cs="Times New Roman"/>
          <w:sz w:val="24"/>
          <w:szCs w:val="24"/>
        </w:rPr>
      </w:pPr>
    </w:p>
    <w:p w:rsidR="00490400" w:rsidRPr="00D05EA9" w:rsidRDefault="00490400" w:rsidP="007514CA">
      <w:pPr>
        <w:pStyle w:val="ListParagraph"/>
        <w:numPr>
          <w:ilvl w:val="0"/>
          <w:numId w:val="8"/>
        </w:numPr>
        <w:spacing w:after="0" w:line="240" w:lineRule="auto"/>
        <w:jc w:val="both"/>
        <w:rPr>
          <w:rFonts w:ascii="Times New Roman" w:hAnsi="Times New Roman" w:cs="Times New Roman"/>
          <w:bCs/>
          <w:sz w:val="24"/>
          <w:szCs w:val="24"/>
        </w:rPr>
      </w:pPr>
      <w:r w:rsidRPr="00D05EA9">
        <w:rPr>
          <w:rFonts w:ascii="Times New Roman" w:hAnsi="Times New Roman" w:cs="Times New Roman"/>
          <w:b/>
          <w:sz w:val="24"/>
          <w:szCs w:val="24"/>
        </w:rPr>
        <w:t>Conclusion</w:t>
      </w:r>
    </w:p>
    <w:p w:rsidR="00F55262" w:rsidRPr="00D05EA9" w:rsidRDefault="00F55262" w:rsidP="00312FCF">
      <w:pPr>
        <w:spacing w:before="240" w:after="120" w:line="480" w:lineRule="auto"/>
        <w:contextualSpacing/>
        <w:jc w:val="both"/>
        <w:rPr>
          <w:rFonts w:ascii="Times New Roman" w:hAnsi="Times New Roman" w:cs="Times New Roman"/>
          <w:sz w:val="24"/>
          <w:szCs w:val="24"/>
        </w:rPr>
      </w:pPr>
      <w:r w:rsidRPr="00D05EA9">
        <w:rPr>
          <w:rFonts w:ascii="Times New Roman" w:hAnsi="Times New Roman" w:cs="Times New Roman"/>
          <w:sz w:val="24"/>
          <w:szCs w:val="24"/>
        </w:rPr>
        <w:t>The results from the analysis of the interviews, have shown that all the 21 key practitioners who participated in the interviews, were involved at the three main stages of the sustainable regeneration projects’ delivery</w:t>
      </w:r>
      <w:r w:rsidR="00D37963" w:rsidRPr="00D05EA9">
        <w:rPr>
          <w:rFonts w:ascii="Times New Roman" w:hAnsi="Times New Roman" w:cs="Times New Roman"/>
          <w:sz w:val="24"/>
          <w:szCs w:val="24"/>
        </w:rPr>
        <w:t>. At the early stages, 6</w:t>
      </w:r>
      <w:r w:rsidRPr="00D05EA9">
        <w:rPr>
          <w:rFonts w:ascii="Times New Roman" w:hAnsi="Times New Roman" w:cs="Times New Roman"/>
          <w:sz w:val="24"/>
          <w:szCs w:val="24"/>
        </w:rPr>
        <w:t xml:space="preserve"> practitioners were highly involved in carrying out planning and preparation activities for the projects, while over 71% have had low levels of involvement in the delivery of aforementioned activities at this stage of the projects. At the construction stages of the projec</w:t>
      </w:r>
      <w:r w:rsidR="00D37963" w:rsidRPr="00D05EA9">
        <w:rPr>
          <w:rFonts w:ascii="Times New Roman" w:hAnsi="Times New Roman" w:cs="Times New Roman"/>
          <w:sz w:val="24"/>
          <w:szCs w:val="24"/>
        </w:rPr>
        <w:t xml:space="preserve">ts’ delivery, 18 </w:t>
      </w:r>
      <w:r w:rsidRPr="00D05EA9">
        <w:rPr>
          <w:rFonts w:ascii="Times New Roman" w:hAnsi="Times New Roman" w:cs="Times New Roman"/>
          <w:sz w:val="24"/>
          <w:szCs w:val="24"/>
        </w:rPr>
        <w:t>practitioners were highly involved in undertaking adoption and implementation activities for t</w:t>
      </w:r>
      <w:r w:rsidR="00D37963" w:rsidRPr="00D05EA9">
        <w:rPr>
          <w:rFonts w:ascii="Times New Roman" w:hAnsi="Times New Roman" w:cs="Times New Roman"/>
          <w:sz w:val="24"/>
          <w:szCs w:val="24"/>
        </w:rPr>
        <w:t xml:space="preserve">he projects, while only 3 </w:t>
      </w:r>
      <w:r w:rsidRPr="00D05EA9">
        <w:rPr>
          <w:rFonts w:ascii="Times New Roman" w:hAnsi="Times New Roman" w:cs="Times New Roman"/>
          <w:sz w:val="24"/>
          <w:szCs w:val="24"/>
        </w:rPr>
        <w:t xml:space="preserve">practitioners have had low level of involvement in carrying out adoption and implementation activities at this stage of the projects’ delivery. </w:t>
      </w:r>
      <w:r w:rsidR="00D37963" w:rsidRPr="00D05EA9">
        <w:rPr>
          <w:rFonts w:ascii="Times New Roman" w:hAnsi="Times New Roman" w:cs="Times New Roman"/>
          <w:sz w:val="24"/>
          <w:szCs w:val="24"/>
        </w:rPr>
        <w:t>Additionally, 17</w:t>
      </w:r>
      <w:r w:rsidRPr="00D05EA9">
        <w:rPr>
          <w:rFonts w:ascii="Times New Roman" w:hAnsi="Times New Roman" w:cs="Times New Roman"/>
          <w:sz w:val="24"/>
          <w:szCs w:val="24"/>
        </w:rPr>
        <w:t xml:space="preserve"> practitioners were highly </w:t>
      </w:r>
      <w:r w:rsidRPr="00D05EA9">
        <w:rPr>
          <w:rFonts w:ascii="Times New Roman" w:hAnsi="Times New Roman" w:cs="Times New Roman"/>
          <w:sz w:val="24"/>
          <w:szCs w:val="24"/>
        </w:rPr>
        <w:lastRenderedPageBreak/>
        <w:t>involved in coordination and supervision of various activities for t</w:t>
      </w:r>
      <w:r w:rsidR="00D37963" w:rsidRPr="00D05EA9">
        <w:rPr>
          <w:rFonts w:ascii="Times New Roman" w:hAnsi="Times New Roman" w:cs="Times New Roman"/>
          <w:sz w:val="24"/>
          <w:szCs w:val="24"/>
        </w:rPr>
        <w:t xml:space="preserve">he projects, while only 4 </w:t>
      </w:r>
      <w:r w:rsidRPr="00D05EA9">
        <w:rPr>
          <w:rFonts w:ascii="Times New Roman" w:hAnsi="Times New Roman" w:cs="Times New Roman"/>
          <w:sz w:val="24"/>
          <w:szCs w:val="24"/>
        </w:rPr>
        <w:t>practitioners have had low level of involvement in the coordination and supervision of activities for the projects. Lastly, at the post construction stage, it</w:t>
      </w:r>
      <w:r w:rsidR="00D37963" w:rsidRPr="00D05EA9">
        <w:rPr>
          <w:rFonts w:ascii="Times New Roman" w:hAnsi="Times New Roman" w:cs="Times New Roman"/>
          <w:sz w:val="24"/>
          <w:szCs w:val="24"/>
        </w:rPr>
        <w:t xml:space="preserve"> was observed that only 5 </w:t>
      </w:r>
      <w:r w:rsidRPr="00D05EA9">
        <w:rPr>
          <w:rFonts w:ascii="Times New Roman" w:hAnsi="Times New Roman" w:cs="Times New Roman"/>
          <w:sz w:val="24"/>
          <w:szCs w:val="24"/>
        </w:rPr>
        <w:t>key practitioners were highly involved in the monitoring and evaluation activities for the projects. The</w:t>
      </w:r>
      <w:r w:rsidR="00D37963" w:rsidRPr="00D05EA9">
        <w:rPr>
          <w:rFonts w:ascii="Times New Roman" w:hAnsi="Times New Roman" w:cs="Times New Roman"/>
          <w:sz w:val="24"/>
          <w:szCs w:val="24"/>
        </w:rPr>
        <w:t xml:space="preserve"> majority of practitioners, 16</w:t>
      </w:r>
      <w:r w:rsidRPr="00D05EA9">
        <w:rPr>
          <w:rFonts w:ascii="Times New Roman" w:hAnsi="Times New Roman" w:cs="Times New Roman"/>
          <w:sz w:val="24"/>
          <w:szCs w:val="24"/>
        </w:rPr>
        <w:t>, were only rarely involved in the monitoring and evaluation activities of the projects.</w:t>
      </w:r>
    </w:p>
    <w:p w:rsidR="00F55262" w:rsidRPr="00D05EA9" w:rsidRDefault="00F55262" w:rsidP="00626A5A">
      <w:pPr>
        <w:spacing w:after="120" w:line="240" w:lineRule="auto"/>
        <w:contextualSpacing/>
        <w:jc w:val="both"/>
        <w:rPr>
          <w:rFonts w:ascii="Times New Roman" w:eastAsia="Calibri" w:hAnsi="Times New Roman" w:cs="Times New Roman"/>
          <w:sz w:val="24"/>
          <w:szCs w:val="24"/>
        </w:rPr>
      </w:pPr>
    </w:p>
    <w:p w:rsidR="00D40A63" w:rsidRPr="00D05EA9" w:rsidRDefault="00221725" w:rsidP="00312FCF">
      <w:pPr>
        <w:spacing w:after="120" w:line="480" w:lineRule="auto"/>
        <w:contextualSpacing/>
        <w:jc w:val="both"/>
        <w:rPr>
          <w:rFonts w:ascii="Times New Roman" w:hAnsi="Times New Roman" w:cs="Times New Roman"/>
          <w:sz w:val="24"/>
          <w:szCs w:val="24"/>
          <w:lang w:val="en-US"/>
        </w:rPr>
      </w:pPr>
      <w:r w:rsidRPr="00D05EA9">
        <w:rPr>
          <w:rFonts w:ascii="Times New Roman" w:eastAsia="Calibri" w:hAnsi="Times New Roman" w:cs="Times New Roman"/>
          <w:sz w:val="24"/>
          <w:szCs w:val="24"/>
        </w:rPr>
        <w:t>It</w:t>
      </w:r>
      <w:r w:rsidR="00CB2763" w:rsidRPr="00D05EA9">
        <w:rPr>
          <w:rFonts w:ascii="Times New Roman" w:eastAsia="Calibri" w:hAnsi="Times New Roman" w:cs="Times New Roman"/>
          <w:sz w:val="24"/>
          <w:szCs w:val="24"/>
        </w:rPr>
        <w:t xml:space="preserve"> can be observed </w:t>
      </w:r>
      <w:r w:rsidRPr="00D05EA9">
        <w:rPr>
          <w:rFonts w:ascii="Times New Roman" w:eastAsia="Calibri" w:hAnsi="Times New Roman" w:cs="Times New Roman"/>
          <w:sz w:val="24"/>
          <w:szCs w:val="24"/>
        </w:rPr>
        <w:t xml:space="preserve">from the findings </w:t>
      </w:r>
      <w:r w:rsidR="00CB2763" w:rsidRPr="00D05EA9">
        <w:rPr>
          <w:rFonts w:ascii="Times New Roman" w:eastAsia="Calibri" w:hAnsi="Times New Roman" w:cs="Times New Roman"/>
          <w:sz w:val="24"/>
          <w:szCs w:val="24"/>
        </w:rPr>
        <w:t xml:space="preserve">that the </w:t>
      </w:r>
      <w:r w:rsidR="00916A8D" w:rsidRPr="00D05EA9">
        <w:rPr>
          <w:rFonts w:ascii="Times New Roman" w:eastAsia="Calibri" w:hAnsi="Times New Roman" w:cs="Times New Roman"/>
          <w:sz w:val="24"/>
          <w:szCs w:val="24"/>
        </w:rPr>
        <w:t xml:space="preserve">levels at which practitioners, have been involved in the delivery of </w:t>
      </w:r>
      <w:r w:rsidR="00DE7B3E" w:rsidRPr="00D05EA9">
        <w:rPr>
          <w:rFonts w:ascii="Times New Roman" w:eastAsia="Calibri" w:hAnsi="Times New Roman" w:cs="Times New Roman"/>
          <w:sz w:val="24"/>
          <w:szCs w:val="24"/>
        </w:rPr>
        <w:t>sustainable</w:t>
      </w:r>
      <w:r w:rsidR="00916A8D" w:rsidRPr="00D05EA9">
        <w:rPr>
          <w:rFonts w:ascii="Times New Roman" w:eastAsia="Calibri" w:hAnsi="Times New Roman" w:cs="Times New Roman"/>
          <w:sz w:val="24"/>
          <w:szCs w:val="24"/>
        </w:rPr>
        <w:t xml:space="preserve"> regeneration projects and also at different stages of the projects’ delivery vary significantly. Various factors are said to have accounted for these varied levels of involvement. These include the projects requirements and the types of regeneration projects practitioners’ organisations were involved in. These factors have played a major part in determining the key practitioners who were needed to help deliver those </w:t>
      </w:r>
      <w:r w:rsidR="00117405" w:rsidRPr="00D05EA9">
        <w:rPr>
          <w:rFonts w:ascii="Times New Roman" w:eastAsia="Calibri" w:hAnsi="Times New Roman" w:cs="Times New Roman"/>
          <w:sz w:val="24"/>
          <w:szCs w:val="24"/>
        </w:rPr>
        <w:t xml:space="preserve">projects’ requirements, although it can be observed from the findings that </w:t>
      </w:r>
      <w:r w:rsidR="00916A8D" w:rsidRPr="00D05EA9">
        <w:rPr>
          <w:rFonts w:ascii="Times New Roman" w:eastAsia="Calibri" w:hAnsi="Times New Roman" w:cs="Times New Roman"/>
          <w:sz w:val="24"/>
          <w:szCs w:val="24"/>
        </w:rPr>
        <w:t xml:space="preserve">all the key practitioners have had some level of involvement in delivery of the sustainable regeneration projects. </w:t>
      </w:r>
      <w:r w:rsidR="00A173B5" w:rsidRPr="00D05EA9">
        <w:rPr>
          <w:rFonts w:ascii="Times New Roman" w:eastAsia="Calibri" w:hAnsi="Times New Roman" w:cs="Times New Roman"/>
          <w:sz w:val="24"/>
          <w:szCs w:val="24"/>
        </w:rPr>
        <w:t>Furthermore, t</w:t>
      </w:r>
      <w:r w:rsidR="00916A8D" w:rsidRPr="00D05EA9">
        <w:rPr>
          <w:rFonts w:ascii="Times New Roman" w:eastAsia="Calibri" w:hAnsi="Times New Roman" w:cs="Times New Roman"/>
          <w:sz w:val="24"/>
          <w:szCs w:val="24"/>
        </w:rPr>
        <w:t xml:space="preserve">he </w:t>
      </w:r>
      <w:r w:rsidR="00A173B5" w:rsidRPr="00D05EA9">
        <w:rPr>
          <w:rFonts w:ascii="Times New Roman" w:eastAsia="Calibri" w:hAnsi="Times New Roman" w:cs="Times New Roman"/>
          <w:sz w:val="24"/>
          <w:szCs w:val="24"/>
        </w:rPr>
        <w:t xml:space="preserve">findings </w:t>
      </w:r>
      <w:r w:rsidR="00916A8D" w:rsidRPr="00D05EA9">
        <w:rPr>
          <w:rFonts w:ascii="Times New Roman" w:eastAsia="Calibri" w:hAnsi="Times New Roman" w:cs="Times New Roman"/>
          <w:sz w:val="24"/>
          <w:szCs w:val="24"/>
        </w:rPr>
        <w:t xml:space="preserve">revealed that clients’ representatives, commercial managers and architects were the most involved practitioners during the early stages of the projects. </w:t>
      </w:r>
      <w:r w:rsidR="00916A8D" w:rsidRPr="00D05EA9">
        <w:rPr>
          <w:rFonts w:ascii="Times New Roman" w:eastAsia="Calibri" w:hAnsi="Times New Roman" w:cs="Times New Roman"/>
          <w:bCs/>
          <w:sz w:val="24"/>
          <w:szCs w:val="24"/>
        </w:rPr>
        <w:t xml:space="preserve">The </w:t>
      </w:r>
      <w:r w:rsidR="009D3C93" w:rsidRPr="00D05EA9">
        <w:rPr>
          <w:rFonts w:ascii="Times New Roman" w:eastAsia="Calibri" w:hAnsi="Times New Roman" w:cs="Times New Roman"/>
          <w:bCs/>
          <w:sz w:val="24"/>
          <w:szCs w:val="24"/>
        </w:rPr>
        <w:t>‘</w:t>
      </w:r>
      <w:r w:rsidR="00414D04" w:rsidRPr="00D05EA9">
        <w:rPr>
          <w:rFonts w:ascii="Times New Roman" w:eastAsia="Calibri" w:hAnsi="Times New Roman" w:cs="Times New Roman"/>
          <w:bCs/>
          <w:sz w:val="24"/>
          <w:szCs w:val="24"/>
        </w:rPr>
        <w:t>high and adequate</w:t>
      </w:r>
      <w:r w:rsidR="009D3C93" w:rsidRPr="00D05EA9">
        <w:rPr>
          <w:rFonts w:ascii="Times New Roman" w:eastAsia="Calibri" w:hAnsi="Times New Roman" w:cs="Times New Roman"/>
          <w:bCs/>
          <w:sz w:val="24"/>
          <w:szCs w:val="24"/>
        </w:rPr>
        <w:t>’</w:t>
      </w:r>
      <w:r w:rsidR="00414D04" w:rsidRPr="00D05EA9">
        <w:rPr>
          <w:rFonts w:ascii="Times New Roman" w:eastAsia="Calibri" w:hAnsi="Times New Roman" w:cs="Times New Roman"/>
          <w:bCs/>
          <w:sz w:val="24"/>
          <w:szCs w:val="24"/>
        </w:rPr>
        <w:t xml:space="preserve"> </w:t>
      </w:r>
      <w:r w:rsidR="00916A8D" w:rsidRPr="00D05EA9">
        <w:rPr>
          <w:rFonts w:ascii="Times New Roman" w:eastAsia="Calibri" w:hAnsi="Times New Roman" w:cs="Times New Roman"/>
          <w:bCs/>
          <w:sz w:val="24"/>
          <w:szCs w:val="24"/>
        </w:rPr>
        <w:t xml:space="preserve">early involvement of </w:t>
      </w:r>
      <w:r w:rsidR="00916A8D" w:rsidRPr="00D05EA9">
        <w:rPr>
          <w:rFonts w:ascii="Times New Roman" w:eastAsia="Calibri" w:hAnsi="Times New Roman" w:cs="Times New Roman"/>
          <w:sz w:val="24"/>
          <w:szCs w:val="24"/>
        </w:rPr>
        <w:t>clients’ representatives, architects and commercial managers was attributed to their particular roles and responsibilities in making sure that planning and preparation of the projects achieves certain specific objectives for the clients. A further observation also made from the findings in relation to</w:t>
      </w:r>
      <w:r w:rsidR="008776C0" w:rsidRPr="00D05EA9">
        <w:rPr>
          <w:rFonts w:ascii="Times New Roman" w:eastAsia="Calibri" w:hAnsi="Times New Roman" w:cs="Times New Roman"/>
          <w:sz w:val="24"/>
          <w:szCs w:val="24"/>
        </w:rPr>
        <w:t xml:space="preserve"> the early stage of involvement</w:t>
      </w:r>
      <w:r w:rsidR="00916A8D" w:rsidRPr="00D05EA9">
        <w:rPr>
          <w:rFonts w:ascii="Times New Roman" w:eastAsia="Calibri" w:hAnsi="Times New Roman" w:cs="Times New Roman"/>
          <w:sz w:val="24"/>
          <w:szCs w:val="24"/>
        </w:rPr>
        <w:t xml:space="preserve"> suggested that the delivery of many regeneration projects were/are still following the traditional projects’ delivery and management methods in which architects and clients’ representatives are largely seen as key practitioners and tend to play leading roles during a project’s early delivery stages, as evident in </w:t>
      </w:r>
      <w:r w:rsidR="008776C0" w:rsidRPr="00D05EA9">
        <w:rPr>
          <w:rFonts w:ascii="Times New Roman" w:eastAsia="Calibri" w:hAnsi="Times New Roman" w:cs="Times New Roman"/>
          <w:sz w:val="24"/>
          <w:szCs w:val="24"/>
        </w:rPr>
        <w:t xml:space="preserve">the </w:t>
      </w:r>
      <w:r w:rsidR="00916A8D" w:rsidRPr="00D05EA9">
        <w:rPr>
          <w:rFonts w:ascii="Times New Roman" w:eastAsia="Calibri" w:hAnsi="Times New Roman" w:cs="Times New Roman"/>
          <w:sz w:val="24"/>
          <w:szCs w:val="24"/>
        </w:rPr>
        <w:t>findings of this study.</w:t>
      </w:r>
      <w:r w:rsidR="00F43FB6" w:rsidRPr="00D05EA9">
        <w:rPr>
          <w:rFonts w:ascii="Times New Roman" w:hAnsi="Times New Roman" w:cs="Times New Roman"/>
          <w:sz w:val="24"/>
          <w:szCs w:val="24"/>
          <w:lang w:val="en-US"/>
        </w:rPr>
        <w:t xml:space="preserve"> </w:t>
      </w:r>
      <w:r w:rsidR="00916A8D" w:rsidRPr="00D05EA9">
        <w:rPr>
          <w:rFonts w:ascii="Times New Roman" w:eastAsia="Calibri" w:hAnsi="Times New Roman" w:cs="Times New Roman"/>
          <w:bCs/>
          <w:sz w:val="24"/>
          <w:szCs w:val="24"/>
        </w:rPr>
        <w:t xml:space="preserve">The findings also </w:t>
      </w:r>
      <w:r w:rsidR="002F1868" w:rsidRPr="00D05EA9">
        <w:rPr>
          <w:rFonts w:ascii="Times New Roman" w:eastAsia="Calibri" w:hAnsi="Times New Roman" w:cs="Times New Roman"/>
          <w:bCs/>
          <w:sz w:val="24"/>
          <w:szCs w:val="24"/>
        </w:rPr>
        <w:t>revealed</w:t>
      </w:r>
      <w:r w:rsidR="00916A8D" w:rsidRPr="00D05EA9">
        <w:rPr>
          <w:rFonts w:ascii="Times New Roman" w:eastAsia="Calibri" w:hAnsi="Times New Roman" w:cs="Times New Roman"/>
          <w:bCs/>
          <w:sz w:val="24"/>
          <w:szCs w:val="24"/>
        </w:rPr>
        <w:t xml:space="preserve"> that practitioners who have sustainability assigned to their roles and responsibilities </w:t>
      </w:r>
      <w:r w:rsidR="00916A8D" w:rsidRPr="00D05EA9">
        <w:rPr>
          <w:rFonts w:ascii="Times New Roman" w:eastAsia="Calibri" w:hAnsi="Times New Roman" w:cs="Times New Roman"/>
          <w:bCs/>
          <w:sz w:val="24"/>
          <w:szCs w:val="24"/>
        </w:rPr>
        <w:lastRenderedPageBreak/>
        <w:t>(regeneration managers, sustainability managers, training/CSR managers) were the least involved in all the three delivery stages of the projects. Their low level of involvement was also consistent throughout the three main</w:t>
      </w:r>
      <w:r w:rsidR="00021AE8" w:rsidRPr="00D05EA9">
        <w:rPr>
          <w:rFonts w:ascii="Times New Roman" w:eastAsia="Calibri" w:hAnsi="Times New Roman" w:cs="Times New Roman"/>
          <w:bCs/>
          <w:sz w:val="24"/>
          <w:szCs w:val="24"/>
        </w:rPr>
        <w:t xml:space="preserve"> delivery stages of the projects and</w:t>
      </w:r>
      <w:r w:rsidR="00916A8D" w:rsidRPr="00D05EA9">
        <w:rPr>
          <w:rFonts w:ascii="Times New Roman" w:eastAsia="Calibri" w:hAnsi="Times New Roman" w:cs="Times New Roman"/>
          <w:sz w:val="24"/>
          <w:szCs w:val="24"/>
        </w:rPr>
        <w:t xml:space="preserve"> was assumed to be because sustainability issues were not seen as the main priorities and considerations for the projects by most of their clients and their construction organisations. </w:t>
      </w:r>
    </w:p>
    <w:p w:rsidR="00D40A63" w:rsidRPr="00D05EA9" w:rsidRDefault="00D40A63" w:rsidP="00626A5A">
      <w:pPr>
        <w:spacing w:after="120" w:line="240" w:lineRule="auto"/>
        <w:contextualSpacing/>
        <w:jc w:val="both"/>
        <w:rPr>
          <w:rFonts w:ascii="Times New Roman" w:hAnsi="Times New Roman" w:cs="Times New Roman"/>
          <w:sz w:val="24"/>
          <w:szCs w:val="24"/>
          <w:lang w:val="en-US"/>
        </w:rPr>
      </w:pPr>
    </w:p>
    <w:p w:rsidR="00916A8D" w:rsidRPr="00D05EA9" w:rsidRDefault="006311E1" w:rsidP="00916A8D">
      <w:pPr>
        <w:spacing w:line="360" w:lineRule="auto"/>
        <w:contextualSpacing/>
        <w:jc w:val="both"/>
        <w:rPr>
          <w:rFonts w:ascii="Times New Roman" w:eastAsia="Calibri" w:hAnsi="Times New Roman" w:cs="Times New Roman"/>
          <w:b/>
          <w:sz w:val="24"/>
          <w:szCs w:val="24"/>
        </w:rPr>
      </w:pPr>
      <w:r w:rsidRPr="00D05EA9">
        <w:rPr>
          <w:rFonts w:ascii="Times New Roman" w:eastAsia="Calibri" w:hAnsi="Times New Roman" w:cs="Times New Roman"/>
          <w:b/>
          <w:sz w:val="24"/>
          <w:szCs w:val="24"/>
        </w:rPr>
        <w:t>References</w:t>
      </w:r>
    </w:p>
    <w:p w:rsidR="004B0182" w:rsidRPr="00D05EA9" w:rsidRDefault="004B0182" w:rsidP="00FA1F2D">
      <w:pPr>
        <w:pStyle w:val="References"/>
        <w:ind w:left="0" w:firstLine="0"/>
        <w:rPr>
          <w:sz w:val="24"/>
          <w:szCs w:val="24"/>
        </w:rPr>
      </w:pPr>
      <w:r w:rsidRPr="00D05EA9">
        <w:rPr>
          <w:sz w:val="24"/>
          <w:szCs w:val="24"/>
        </w:rPr>
        <w:t>Abdel-Raheem, M and Ramsbottom, C. (2016) Factors affecting social sustainability in highway projects in Missouri, Procedia Engineering 548 – 555, doi: 10.1016/ j.proeng. 2016.04.043</w:t>
      </w:r>
    </w:p>
    <w:p w:rsidR="00412F3D" w:rsidRPr="00D05EA9" w:rsidRDefault="00AA5606" w:rsidP="00A24052">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Adamson, D. </w:t>
      </w:r>
      <w:r w:rsidR="00FA1F2D"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2010</w:t>
      </w:r>
      <w:r w:rsidR="00FA1F2D"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00412F3D" w:rsidRPr="00D05EA9">
        <w:rPr>
          <w:rFonts w:ascii="Times New Roman" w:eastAsia="Calibri" w:hAnsi="Times New Roman" w:cs="Times New Roman"/>
          <w:sz w:val="24"/>
          <w:szCs w:val="24"/>
        </w:rPr>
        <w:t>Community empowerment: Identifying the barriers to “pu</w:t>
      </w:r>
      <w:r w:rsidRPr="00D05EA9">
        <w:rPr>
          <w:rFonts w:ascii="Times New Roman" w:eastAsia="Calibri" w:hAnsi="Times New Roman" w:cs="Times New Roman"/>
          <w:sz w:val="24"/>
          <w:szCs w:val="24"/>
        </w:rPr>
        <w:t>rposeful” citizen participation.”</w:t>
      </w:r>
      <w:r w:rsidR="00412F3D" w:rsidRPr="00D05EA9">
        <w:rPr>
          <w:rFonts w:ascii="Times New Roman" w:eastAsia="Calibri" w:hAnsi="Times New Roman" w:cs="Times New Roman"/>
          <w:sz w:val="24"/>
          <w:szCs w:val="24"/>
        </w:rPr>
        <w:t xml:space="preserve"> </w:t>
      </w:r>
      <w:r w:rsidR="00412F3D" w:rsidRPr="00D05EA9">
        <w:rPr>
          <w:rFonts w:ascii="Times New Roman" w:eastAsia="Calibri" w:hAnsi="Times New Roman" w:cs="Times New Roman"/>
          <w:i/>
          <w:sz w:val="24"/>
          <w:szCs w:val="24"/>
        </w:rPr>
        <w:t>International Journal of Sociology and Social Policy</w:t>
      </w:r>
      <w:r w:rsidRPr="00D05EA9">
        <w:rPr>
          <w:rFonts w:ascii="Times New Roman" w:eastAsia="Calibri" w:hAnsi="Times New Roman" w:cs="Times New Roman"/>
          <w:sz w:val="24"/>
          <w:szCs w:val="24"/>
        </w:rPr>
        <w:t xml:space="preserve"> 30 (3/4):114-12630. </w:t>
      </w:r>
    </w:p>
    <w:p w:rsidR="00014F9E" w:rsidRPr="00D05EA9" w:rsidRDefault="00014F9E" w:rsidP="00A24052">
      <w:pPr>
        <w:spacing w:after="120" w:line="240" w:lineRule="auto"/>
        <w:contextualSpacing/>
        <w:jc w:val="both"/>
        <w:rPr>
          <w:rFonts w:ascii="Times New Roman" w:eastAsia="Calibri" w:hAnsi="Times New Roman" w:cs="Times New Roman"/>
          <w:sz w:val="24"/>
          <w:szCs w:val="24"/>
        </w:rPr>
      </w:pPr>
    </w:p>
    <w:p w:rsidR="00014F9E" w:rsidRPr="00D05EA9" w:rsidRDefault="00014F9E" w:rsidP="00014F9E">
      <w:pPr>
        <w:autoSpaceDE w:val="0"/>
        <w:autoSpaceDN w:val="0"/>
        <w:adjustRightInd w:val="0"/>
        <w:spacing w:after="0" w:line="240" w:lineRule="auto"/>
        <w:rPr>
          <w:rFonts w:ascii="Times New Roman" w:hAnsi="Times New Roman" w:cs="Times New Roman"/>
          <w:sz w:val="24"/>
          <w:szCs w:val="24"/>
        </w:rPr>
      </w:pPr>
      <w:r w:rsidRPr="00D05EA9">
        <w:rPr>
          <w:rFonts w:ascii="Times New Roman" w:hAnsi="Times New Roman" w:cs="Times New Roman"/>
          <w:sz w:val="24"/>
          <w:szCs w:val="24"/>
        </w:rPr>
        <w:t xml:space="preserve">Afacan, Y. (2015) Resident satisfaction for sustainable urban regeneration Proceedings of the Institution of Civil Engineers Municipal Engineer 168 December 2015 Issue ME4, Pages 220–234 </w:t>
      </w:r>
      <w:hyperlink r:id="rId7" w:history="1">
        <w:r w:rsidRPr="00D05EA9">
          <w:rPr>
            <w:rStyle w:val="Hyperlink"/>
            <w:rFonts w:ascii="Times New Roman" w:hAnsi="Times New Roman" w:cs="Times New Roman"/>
            <w:color w:val="auto"/>
            <w:sz w:val="24"/>
            <w:szCs w:val="24"/>
          </w:rPr>
          <w:t>http://dx.doi.org/10.1680/muen.14.00046</w:t>
        </w:r>
      </w:hyperlink>
      <w:r w:rsidRPr="00D05EA9">
        <w:rPr>
          <w:rFonts w:ascii="Times New Roman" w:hAnsi="Times New Roman" w:cs="Times New Roman"/>
          <w:sz w:val="24"/>
          <w:szCs w:val="24"/>
        </w:rPr>
        <w:t>.</w:t>
      </w:r>
    </w:p>
    <w:p w:rsidR="00F5319F" w:rsidRPr="00D05EA9" w:rsidRDefault="00F5319F" w:rsidP="00014F9E">
      <w:pPr>
        <w:autoSpaceDE w:val="0"/>
        <w:autoSpaceDN w:val="0"/>
        <w:adjustRightInd w:val="0"/>
        <w:spacing w:after="0" w:line="240" w:lineRule="auto"/>
        <w:rPr>
          <w:rFonts w:ascii="Times New Roman" w:hAnsi="Times New Roman" w:cs="Times New Roman"/>
          <w:sz w:val="24"/>
          <w:szCs w:val="24"/>
        </w:rPr>
      </w:pPr>
      <w:r w:rsidRPr="00D05EA9">
        <w:rPr>
          <w:rFonts w:ascii="Times New Roman" w:hAnsi="Times New Roman" w:cs="Times New Roman"/>
          <w:sz w:val="24"/>
          <w:szCs w:val="24"/>
        </w:rPr>
        <w:t xml:space="preserve">Ali, A. S., Rahmat, I., Hassan, H. (2011) Involvement of key design participants in refurbishment design process, </w:t>
      </w:r>
      <w:r w:rsidRPr="00D05EA9">
        <w:rPr>
          <w:rFonts w:ascii="Times New Roman" w:hAnsi="Times New Roman" w:cs="Times New Roman"/>
          <w:i/>
          <w:sz w:val="24"/>
          <w:szCs w:val="24"/>
        </w:rPr>
        <w:t>Facilities</w:t>
      </w:r>
      <w:r w:rsidRPr="00D05EA9">
        <w:rPr>
          <w:rFonts w:ascii="Times New Roman" w:hAnsi="Times New Roman" w:cs="Times New Roman"/>
          <w:sz w:val="24"/>
          <w:szCs w:val="24"/>
        </w:rPr>
        <w:t>, Vol. 26 No. 9/10, pp. 389-400.</w:t>
      </w:r>
    </w:p>
    <w:p w:rsidR="00AA5606" w:rsidRPr="00D05EA9" w:rsidRDefault="00AA5606" w:rsidP="00AA5606">
      <w:pPr>
        <w:spacing w:after="120" w:line="240" w:lineRule="auto"/>
        <w:contextualSpacing/>
        <w:jc w:val="both"/>
        <w:rPr>
          <w:rFonts w:ascii="Times New Roman" w:eastAsia="Calibri" w:hAnsi="Times New Roman" w:cs="Times New Roman"/>
          <w:sz w:val="24"/>
          <w:szCs w:val="24"/>
        </w:rPr>
      </w:pPr>
    </w:p>
    <w:p w:rsidR="00AA5606" w:rsidRPr="00D05EA9" w:rsidRDefault="00FA1F2D" w:rsidP="00AA5606">
      <w:pPr>
        <w:spacing w:after="120" w:line="240" w:lineRule="auto"/>
        <w:contextualSpacing/>
        <w:jc w:val="both"/>
        <w:rPr>
          <w:rFonts w:ascii="Times New Roman" w:eastAsia="Calibri" w:hAnsi="Times New Roman" w:cs="Times New Roman"/>
          <w:i/>
          <w:sz w:val="24"/>
          <w:szCs w:val="24"/>
        </w:rPr>
      </w:pPr>
      <w:r w:rsidRPr="00D05EA9">
        <w:rPr>
          <w:rFonts w:ascii="Times New Roman" w:eastAsia="Calibri" w:hAnsi="Times New Roman" w:cs="Times New Roman"/>
          <w:sz w:val="24"/>
          <w:szCs w:val="24"/>
        </w:rPr>
        <w:t>Audit Commission (2007)</w:t>
      </w:r>
      <w:r w:rsidR="00AA5606" w:rsidRPr="00D05EA9">
        <w:rPr>
          <w:rFonts w:ascii="Times New Roman" w:eastAsia="Calibri" w:hAnsi="Times New Roman" w:cs="Times New Roman"/>
          <w:sz w:val="24"/>
          <w:szCs w:val="24"/>
        </w:rPr>
        <w:t xml:space="preserve"> “</w:t>
      </w:r>
      <w:r w:rsidR="00AA5606" w:rsidRPr="00D05EA9">
        <w:rPr>
          <w:rFonts w:ascii="Times New Roman" w:eastAsia="Calibri" w:hAnsi="Times New Roman" w:cs="Times New Roman"/>
          <w:i/>
          <w:sz w:val="24"/>
          <w:szCs w:val="24"/>
        </w:rPr>
        <w:t>Service Inspection Report, Regeneration, West Lindsey District Council, UK.</w:t>
      </w:r>
    </w:p>
    <w:p w:rsidR="00AA5606" w:rsidRPr="00D05EA9" w:rsidRDefault="00AA5606" w:rsidP="00AA5606">
      <w:pPr>
        <w:spacing w:after="120" w:line="240" w:lineRule="auto"/>
        <w:contextualSpacing/>
        <w:jc w:val="both"/>
        <w:rPr>
          <w:rFonts w:ascii="Times New Roman" w:eastAsia="Calibri" w:hAnsi="Times New Roman" w:cs="Times New Roman"/>
          <w:sz w:val="24"/>
          <w:szCs w:val="24"/>
        </w:rPr>
      </w:pPr>
    </w:p>
    <w:p w:rsidR="00AA5606" w:rsidRPr="00D05EA9" w:rsidRDefault="00AA5606" w:rsidP="00AA5606">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Brandon, P.S. and Lombardi, P. </w:t>
      </w:r>
      <w:r w:rsidR="00FA1F2D"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2011</w:t>
      </w:r>
      <w:r w:rsidR="00FA1F2D"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006B0652" w:rsidRPr="00D05EA9">
        <w:rPr>
          <w:rFonts w:ascii="Times New Roman" w:eastAsia="Calibri" w:hAnsi="Times New Roman" w:cs="Times New Roman"/>
          <w:sz w:val="24"/>
          <w:szCs w:val="24"/>
        </w:rPr>
        <w:t>“</w:t>
      </w:r>
      <w:r w:rsidRPr="00D05EA9">
        <w:rPr>
          <w:rFonts w:ascii="Times New Roman" w:eastAsia="Calibri" w:hAnsi="Times New Roman" w:cs="Times New Roman"/>
          <w:i/>
          <w:sz w:val="24"/>
          <w:szCs w:val="24"/>
        </w:rPr>
        <w:t>Evaluating sustainable develo</w:t>
      </w:r>
      <w:r w:rsidR="006B0652" w:rsidRPr="00D05EA9">
        <w:rPr>
          <w:rFonts w:ascii="Times New Roman" w:eastAsia="Calibri" w:hAnsi="Times New Roman" w:cs="Times New Roman"/>
          <w:i/>
          <w:sz w:val="24"/>
          <w:szCs w:val="24"/>
        </w:rPr>
        <w:t xml:space="preserve">pment: in the Built Environment.” </w:t>
      </w:r>
      <w:r w:rsidRPr="00D05EA9">
        <w:rPr>
          <w:rFonts w:ascii="Times New Roman" w:eastAsia="Calibri" w:hAnsi="Times New Roman" w:cs="Times New Roman"/>
          <w:sz w:val="24"/>
          <w:szCs w:val="24"/>
        </w:rPr>
        <w:t>2nd ed, Wiley and Sons Ltd Publication, UK.</w:t>
      </w:r>
    </w:p>
    <w:p w:rsidR="00AA5606" w:rsidRPr="00D05EA9" w:rsidRDefault="00AA5606" w:rsidP="006311E1">
      <w:pPr>
        <w:spacing w:after="120" w:line="240" w:lineRule="auto"/>
        <w:contextualSpacing/>
        <w:jc w:val="both"/>
        <w:rPr>
          <w:rFonts w:ascii="Times New Roman" w:eastAsia="Calibri" w:hAnsi="Times New Roman" w:cs="Times New Roman"/>
          <w:sz w:val="24"/>
          <w:szCs w:val="24"/>
        </w:rPr>
      </w:pPr>
    </w:p>
    <w:p w:rsidR="00F5319F" w:rsidRPr="00D05EA9" w:rsidRDefault="00F5319F" w:rsidP="00A24052">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bCs/>
          <w:sz w:val="24"/>
          <w:szCs w:val="24"/>
        </w:rPr>
        <w:t>Clapham, D. (2014) Regeneration and poverty in Wales: Evidence and policy review:</w:t>
      </w:r>
      <w:r w:rsidRPr="00D05EA9">
        <w:rPr>
          <w:rFonts w:ascii="Times New Roman" w:eastAsia="Calibri" w:hAnsi="Times New Roman" w:cs="Times New Roman"/>
          <w:sz w:val="24"/>
          <w:szCs w:val="24"/>
        </w:rPr>
        <w:t xml:space="preserve"> </w:t>
      </w:r>
      <w:r w:rsidRPr="00D05EA9">
        <w:rPr>
          <w:rFonts w:ascii="Times New Roman" w:eastAsia="Calibri" w:hAnsi="Times New Roman" w:cs="Times New Roman"/>
          <w:i/>
          <w:sz w:val="24"/>
          <w:szCs w:val="24"/>
        </w:rPr>
        <w:t>Centre for Regional Economic and Social Research</w:t>
      </w:r>
    </w:p>
    <w:p w:rsidR="00F5319F" w:rsidRPr="00D05EA9" w:rsidRDefault="00F5319F" w:rsidP="00A24052">
      <w:pPr>
        <w:spacing w:after="120" w:line="240" w:lineRule="auto"/>
        <w:contextualSpacing/>
        <w:jc w:val="both"/>
        <w:rPr>
          <w:rFonts w:ascii="Times New Roman" w:eastAsia="Calibri" w:hAnsi="Times New Roman" w:cs="Times New Roman"/>
          <w:sz w:val="24"/>
          <w:szCs w:val="24"/>
        </w:rPr>
      </w:pPr>
    </w:p>
    <w:p w:rsidR="00A24052" w:rsidRPr="00D05EA9" w:rsidRDefault="00A24052" w:rsidP="00A24052">
      <w:pPr>
        <w:spacing w:after="120" w:line="240" w:lineRule="auto"/>
        <w:contextualSpacing/>
        <w:jc w:val="both"/>
        <w:rPr>
          <w:rFonts w:ascii="Times New Roman" w:eastAsia="Calibri" w:hAnsi="Times New Roman" w:cs="Times New Roman"/>
          <w:bCs/>
          <w:sz w:val="24"/>
          <w:szCs w:val="24"/>
        </w:rPr>
      </w:pPr>
      <w:r w:rsidRPr="00D05EA9">
        <w:rPr>
          <w:rFonts w:ascii="Times New Roman" w:eastAsia="Calibri" w:hAnsi="Times New Roman" w:cs="Times New Roman"/>
          <w:sz w:val="24"/>
          <w:szCs w:val="24"/>
        </w:rPr>
        <w:t xml:space="preserve">CLG </w:t>
      </w:r>
      <w:r w:rsidR="00FA1F2D"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2009</w:t>
      </w:r>
      <w:r w:rsidR="00FA1F2D"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Pr="00D05EA9">
        <w:rPr>
          <w:rFonts w:ascii="Times New Roman" w:eastAsia="Calibri" w:hAnsi="Times New Roman" w:cs="Times New Roman"/>
          <w:i/>
          <w:sz w:val="24"/>
          <w:szCs w:val="24"/>
        </w:rPr>
        <w:t xml:space="preserve">Transforming Places; Changing Lives – A Framework for Regeneration: </w:t>
      </w:r>
      <w:r w:rsidRPr="00D05EA9">
        <w:rPr>
          <w:rFonts w:ascii="Times New Roman" w:eastAsia="Calibri" w:hAnsi="Times New Roman" w:cs="Times New Roman"/>
          <w:bCs/>
          <w:i/>
          <w:sz w:val="24"/>
          <w:szCs w:val="24"/>
        </w:rPr>
        <w:t xml:space="preserve">Summary of Consultation Responses”. </w:t>
      </w:r>
      <w:r w:rsidRPr="00D05EA9">
        <w:rPr>
          <w:rFonts w:ascii="Times New Roman" w:eastAsia="Calibri" w:hAnsi="Times New Roman" w:cs="Times New Roman"/>
          <w:bCs/>
          <w:sz w:val="24"/>
          <w:szCs w:val="24"/>
        </w:rPr>
        <w:t>Communities and Local Government (CLG), London: Her Majesty’s Stationery Office.</w:t>
      </w:r>
    </w:p>
    <w:p w:rsidR="00A24052" w:rsidRPr="00D05EA9" w:rsidRDefault="00A24052" w:rsidP="00A24052">
      <w:pPr>
        <w:spacing w:after="120" w:line="240" w:lineRule="auto"/>
        <w:contextualSpacing/>
        <w:jc w:val="both"/>
        <w:rPr>
          <w:rFonts w:ascii="Times New Roman" w:eastAsia="Calibri" w:hAnsi="Times New Roman" w:cs="Times New Roman"/>
          <w:bCs/>
          <w:i/>
          <w:sz w:val="24"/>
          <w:szCs w:val="24"/>
        </w:rPr>
      </w:pPr>
    </w:p>
    <w:p w:rsidR="00A24052" w:rsidRPr="00D05EA9" w:rsidRDefault="00A24052" w:rsidP="00A24052">
      <w:pPr>
        <w:spacing w:after="120" w:line="240" w:lineRule="auto"/>
        <w:contextualSpacing/>
        <w:jc w:val="both"/>
        <w:rPr>
          <w:rFonts w:ascii="Times New Roman" w:eastAsia="Calibri" w:hAnsi="Times New Roman" w:cs="Times New Roman"/>
          <w:bCs/>
          <w:sz w:val="24"/>
          <w:szCs w:val="24"/>
        </w:rPr>
      </w:pPr>
      <w:r w:rsidRPr="00D05EA9">
        <w:rPr>
          <w:rFonts w:ascii="Times New Roman" w:eastAsia="Calibri" w:hAnsi="Times New Roman" w:cs="Times New Roman"/>
          <w:sz w:val="24"/>
          <w:szCs w:val="24"/>
        </w:rPr>
        <w:t xml:space="preserve">CLG </w:t>
      </w:r>
      <w:r w:rsidR="00FA1F2D"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2008</w:t>
      </w:r>
      <w:r w:rsidR="00FA1F2D"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Pr="00D05EA9">
        <w:rPr>
          <w:rFonts w:ascii="Times New Roman" w:eastAsia="Calibri" w:hAnsi="Times New Roman" w:cs="Times New Roman"/>
          <w:i/>
          <w:sz w:val="24"/>
          <w:szCs w:val="24"/>
        </w:rPr>
        <w:t xml:space="preserve">Transforming Places; Changing Lives: </w:t>
      </w:r>
      <w:r w:rsidRPr="00D05EA9">
        <w:rPr>
          <w:rFonts w:ascii="Times New Roman" w:eastAsia="Calibri" w:hAnsi="Times New Roman" w:cs="Times New Roman"/>
          <w:bCs/>
          <w:i/>
          <w:sz w:val="24"/>
          <w:szCs w:val="24"/>
        </w:rPr>
        <w:t>A framework for regeneration</w:t>
      </w:r>
      <w:r w:rsidRPr="00D05EA9">
        <w:rPr>
          <w:rFonts w:ascii="Times New Roman" w:eastAsia="Calibri" w:hAnsi="Times New Roman" w:cs="Times New Roman"/>
          <w:bCs/>
          <w:sz w:val="24"/>
          <w:szCs w:val="24"/>
        </w:rPr>
        <w:t>.”</w:t>
      </w:r>
      <w:r w:rsidRPr="00D05EA9">
        <w:rPr>
          <w:rFonts w:ascii="Times New Roman" w:eastAsia="Calibri" w:hAnsi="Times New Roman" w:cs="Times New Roman"/>
          <w:bCs/>
          <w:i/>
          <w:sz w:val="24"/>
          <w:szCs w:val="24"/>
        </w:rPr>
        <w:t xml:space="preserve"> </w:t>
      </w:r>
      <w:r w:rsidRPr="00D05EA9">
        <w:rPr>
          <w:rFonts w:ascii="Times New Roman" w:eastAsia="Calibri" w:hAnsi="Times New Roman" w:cs="Times New Roman"/>
          <w:bCs/>
          <w:sz w:val="24"/>
          <w:szCs w:val="24"/>
        </w:rPr>
        <w:t>Communities and Local Government (CLG), London: Her Majesty’s Stationery Office.</w:t>
      </w:r>
    </w:p>
    <w:p w:rsidR="00AA5606" w:rsidRPr="00D05EA9" w:rsidRDefault="00AA5606" w:rsidP="006311E1">
      <w:pPr>
        <w:spacing w:after="120" w:line="240" w:lineRule="auto"/>
        <w:contextualSpacing/>
        <w:jc w:val="both"/>
        <w:rPr>
          <w:rFonts w:ascii="Times New Roman" w:eastAsia="Calibri" w:hAnsi="Times New Roman" w:cs="Times New Roman"/>
          <w:sz w:val="24"/>
          <w:szCs w:val="24"/>
        </w:rPr>
      </w:pPr>
    </w:p>
    <w:p w:rsidR="00A24052" w:rsidRPr="00D05EA9" w:rsidRDefault="00A24052" w:rsidP="00A24052">
      <w:pPr>
        <w:spacing w:after="120" w:line="240" w:lineRule="auto"/>
        <w:contextualSpacing/>
        <w:jc w:val="both"/>
        <w:rPr>
          <w:rFonts w:ascii="Times New Roman" w:eastAsia="Calibri" w:hAnsi="Times New Roman" w:cs="Times New Roman"/>
          <w:bCs/>
          <w:sz w:val="24"/>
          <w:szCs w:val="24"/>
        </w:rPr>
      </w:pPr>
      <w:r w:rsidRPr="00D05EA9">
        <w:rPr>
          <w:rFonts w:ascii="Times New Roman" w:eastAsia="Calibri" w:hAnsi="Times New Roman" w:cs="Times New Roman"/>
          <w:bCs/>
          <w:sz w:val="24"/>
          <w:szCs w:val="24"/>
        </w:rPr>
        <w:t xml:space="preserve">DBIS </w:t>
      </w:r>
      <w:r w:rsidR="00FA1F2D" w:rsidRPr="00D05EA9">
        <w:rPr>
          <w:rFonts w:ascii="Times New Roman" w:eastAsia="Calibri" w:hAnsi="Times New Roman" w:cs="Times New Roman"/>
          <w:bCs/>
          <w:sz w:val="24"/>
          <w:szCs w:val="24"/>
        </w:rPr>
        <w:t>(</w:t>
      </w:r>
      <w:r w:rsidRPr="00D05EA9">
        <w:rPr>
          <w:rFonts w:ascii="Times New Roman" w:eastAsia="Calibri" w:hAnsi="Times New Roman" w:cs="Times New Roman"/>
          <w:bCs/>
          <w:sz w:val="24"/>
          <w:szCs w:val="24"/>
        </w:rPr>
        <w:t>2013</w:t>
      </w:r>
      <w:r w:rsidR="00FA1F2D" w:rsidRPr="00D05EA9">
        <w:rPr>
          <w:rFonts w:ascii="Times New Roman" w:eastAsia="Calibri" w:hAnsi="Times New Roman" w:cs="Times New Roman"/>
          <w:bCs/>
          <w:sz w:val="24"/>
          <w:szCs w:val="24"/>
        </w:rPr>
        <w:t>)</w:t>
      </w:r>
      <w:r w:rsidRPr="00D05EA9">
        <w:rPr>
          <w:rFonts w:ascii="Times New Roman" w:eastAsia="Calibri" w:hAnsi="Times New Roman" w:cs="Times New Roman"/>
          <w:bCs/>
          <w:sz w:val="24"/>
          <w:szCs w:val="24"/>
        </w:rPr>
        <w:t xml:space="preserve"> </w:t>
      </w:r>
      <w:r w:rsidR="006B0652" w:rsidRPr="00D05EA9">
        <w:rPr>
          <w:rFonts w:ascii="Times New Roman" w:eastAsia="Calibri" w:hAnsi="Times New Roman" w:cs="Times New Roman"/>
          <w:bCs/>
          <w:sz w:val="24"/>
          <w:szCs w:val="24"/>
        </w:rPr>
        <w:t>“</w:t>
      </w:r>
      <w:r w:rsidRPr="00D05EA9">
        <w:rPr>
          <w:rFonts w:ascii="Times New Roman" w:eastAsia="Calibri" w:hAnsi="Times New Roman" w:cs="Times New Roman"/>
          <w:bCs/>
          <w:sz w:val="24"/>
          <w:szCs w:val="24"/>
        </w:rPr>
        <w:t>Industrial Strategy: governme</w:t>
      </w:r>
      <w:r w:rsidR="006B0652" w:rsidRPr="00D05EA9">
        <w:rPr>
          <w:rFonts w:ascii="Times New Roman" w:eastAsia="Calibri" w:hAnsi="Times New Roman" w:cs="Times New Roman"/>
          <w:bCs/>
          <w:sz w:val="24"/>
          <w:szCs w:val="24"/>
        </w:rPr>
        <w:t>nt and industry in partnership-Construction Strategy 2025.”</w:t>
      </w:r>
      <w:r w:rsidRPr="00D05EA9">
        <w:rPr>
          <w:rFonts w:ascii="Times New Roman" w:eastAsia="Calibri" w:hAnsi="Times New Roman" w:cs="Times New Roman"/>
          <w:bCs/>
          <w:sz w:val="24"/>
          <w:szCs w:val="24"/>
        </w:rPr>
        <w:t xml:space="preserve"> Department for Business, Innovation and Skills, HM Government.</w:t>
      </w:r>
    </w:p>
    <w:p w:rsidR="00A24052" w:rsidRPr="00D05EA9" w:rsidRDefault="00A24052" w:rsidP="00A24052">
      <w:pPr>
        <w:spacing w:after="120" w:line="240" w:lineRule="auto"/>
        <w:contextualSpacing/>
        <w:jc w:val="both"/>
        <w:rPr>
          <w:rFonts w:ascii="Times New Roman" w:eastAsia="Calibri" w:hAnsi="Times New Roman" w:cs="Times New Roman"/>
          <w:sz w:val="24"/>
          <w:szCs w:val="24"/>
        </w:rPr>
      </w:pPr>
    </w:p>
    <w:p w:rsidR="00A24052" w:rsidRPr="00D05EA9" w:rsidRDefault="00A24052" w:rsidP="00A24052">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Denzin, N. K. and Lincoln, Y. S. </w:t>
      </w:r>
      <w:r w:rsidR="00FA1F2D"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2008</w:t>
      </w:r>
      <w:r w:rsidR="00FA1F2D"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Pr="00D05EA9">
        <w:rPr>
          <w:rFonts w:ascii="Times New Roman" w:eastAsia="Calibri" w:hAnsi="Times New Roman" w:cs="Times New Roman"/>
          <w:i/>
          <w:iCs/>
          <w:sz w:val="24"/>
          <w:szCs w:val="24"/>
        </w:rPr>
        <w:t xml:space="preserve">The landscape of Qualitative Research.” </w:t>
      </w:r>
      <w:r w:rsidRPr="00D05EA9">
        <w:rPr>
          <w:rFonts w:ascii="Times New Roman" w:eastAsia="Calibri" w:hAnsi="Times New Roman" w:cs="Times New Roman"/>
          <w:sz w:val="24"/>
          <w:szCs w:val="24"/>
        </w:rPr>
        <w:t>3rd edn., SAGE Publication Ltd, London, UK.</w:t>
      </w:r>
    </w:p>
    <w:p w:rsidR="00E65A17" w:rsidRPr="00D05EA9" w:rsidRDefault="00E65A17" w:rsidP="00A24052">
      <w:pPr>
        <w:spacing w:after="120" w:line="240" w:lineRule="auto"/>
        <w:contextualSpacing/>
        <w:jc w:val="both"/>
        <w:rPr>
          <w:rFonts w:ascii="Times New Roman" w:eastAsia="Calibri" w:hAnsi="Times New Roman" w:cs="Times New Roman"/>
          <w:sz w:val="24"/>
          <w:szCs w:val="24"/>
        </w:rPr>
      </w:pPr>
    </w:p>
    <w:p w:rsidR="00A24052" w:rsidRPr="00D05EA9" w:rsidRDefault="00A24052" w:rsidP="00A24052">
      <w:pPr>
        <w:spacing w:after="120" w:line="240" w:lineRule="auto"/>
        <w:contextualSpacing/>
        <w:jc w:val="both"/>
        <w:rPr>
          <w:rFonts w:ascii="Times New Roman" w:eastAsia="Calibri" w:hAnsi="Times New Roman" w:cs="Times New Roman"/>
          <w:sz w:val="24"/>
          <w:szCs w:val="24"/>
          <w:u w:val="single"/>
        </w:rPr>
      </w:pPr>
      <w:r w:rsidRPr="00D05EA9">
        <w:rPr>
          <w:rFonts w:ascii="Times New Roman" w:eastAsia="Calibri" w:hAnsi="Times New Roman" w:cs="Times New Roman"/>
          <w:sz w:val="24"/>
          <w:szCs w:val="24"/>
        </w:rPr>
        <w:lastRenderedPageBreak/>
        <w:t xml:space="preserve">Dixon, T. </w:t>
      </w:r>
      <w:r w:rsidR="00D95D28"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2006</w:t>
      </w:r>
      <w:r w:rsidR="00D95D28"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“Integrating Sustainability into Brownfield Regeneration: Rhetoric or Reality? – An analysis of the UK Development Industry.” </w:t>
      </w:r>
      <w:r w:rsidRPr="00D05EA9">
        <w:rPr>
          <w:rFonts w:ascii="Times New Roman" w:eastAsia="Calibri" w:hAnsi="Times New Roman" w:cs="Times New Roman"/>
          <w:i/>
          <w:sz w:val="24"/>
          <w:szCs w:val="24"/>
        </w:rPr>
        <w:t>Journal of Property Research</w:t>
      </w:r>
      <w:r w:rsidRPr="00D05EA9">
        <w:rPr>
          <w:rFonts w:ascii="Times New Roman" w:eastAsia="Calibri" w:hAnsi="Times New Roman" w:cs="Times New Roman"/>
          <w:sz w:val="24"/>
          <w:szCs w:val="24"/>
        </w:rPr>
        <w:t xml:space="preserve"> 23(3): 237–267, DOI: </w:t>
      </w:r>
      <w:hyperlink r:id="rId8" w:history="1">
        <w:r w:rsidRPr="00D05EA9">
          <w:rPr>
            <w:rStyle w:val="Hyperlink"/>
            <w:rFonts w:ascii="Times New Roman" w:eastAsia="Calibri" w:hAnsi="Times New Roman" w:cs="Times New Roman"/>
            <w:color w:val="auto"/>
            <w:sz w:val="24"/>
            <w:szCs w:val="24"/>
          </w:rPr>
          <w:t>10.1080/09599910600933889</w:t>
        </w:r>
      </w:hyperlink>
    </w:p>
    <w:p w:rsidR="00AA5606" w:rsidRPr="00D05EA9" w:rsidRDefault="00AA5606" w:rsidP="006311E1">
      <w:pPr>
        <w:spacing w:after="120" w:line="240" w:lineRule="auto"/>
        <w:contextualSpacing/>
        <w:jc w:val="both"/>
        <w:rPr>
          <w:rFonts w:ascii="Times New Roman" w:eastAsia="Calibri" w:hAnsi="Times New Roman" w:cs="Times New Roman"/>
          <w:sz w:val="24"/>
          <w:szCs w:val="24"/>
        </w:rPr>
      </w:pPr>
    </w:p>
    <w:p w:rsidR="00DB7E57" w:rsidRPr="00D05EA9" w:rsidRDefault="00DB7E57" w:rsidP="00DB7E57">
      <w:pPr>
        <w:pStyle w:val="Default"/>
        <w:rPr>
          <w:color w:val="auto"/>
        </w:rPr>
      </w:pPr>
      <w:r w:rsidRPr="00D05EA9">
        <w:rPr>
          <w:iCs/>
          <w:color w:val="auto"/>
        </w:rPr>
        <w:t>Erbey, D and Erbas, A.E. (2017)</w:t>
      </w:r>
      <w:r w:rsidRPr="00D05EA9">
        <w:rPr>
          <w:i/>
          <w:iCs/>
          <w:color w:val="auto"/>
        </w:rPr>
        <w:t xml:space="preserve"> </w:t>
      </w:r>
      <w:r w:rsidRPr="00D05EA9">
        <w:rPr>
          <w:color w:val="auto"/>
        </w:rPr>
        <w:t>the challenges on spatial continuity of urban regeneration projects: the case of fener balat historical district in Istanbul</w:t>
      </w:r>
      <w:r w:rsidRPr="00D05EA9">
        <w:rPr>
          <w:i/>
          <w:iCs/>
          <w:color w:val="auto"/>
        </w:rPr>
        <w:t xml:space="preserve">, Int. J. Sus. Dev. Plann. Vol. 12, No. 3, 498–507. </w:t>
      </w:r>
      <w:r w:rsidRPr="00D05EA9">
        <w:rPr>
          <w:color w:val="auto"/>
        </w:rPr>
        <w:t>DOI: 10.2495/SDP-V12-N3-498-507.</w:t>
      </w:r>
    </w:p>
    <w:p w:rsidR="00DB7E57" w:rsidRPr="00D05EA9" w:rsidRDefault="00DB7E57" w:rsidP="00A24052">
      <w:pPr>
        <w:spacing w:after="120" w:line="240" w:lineRule="auto"/>
        <w:contextualSpacing/>
        <w:jc w:val="both"/>
        <w:rPr>
          <w:rFonts w:ascii="Times New Roman" w:eastAsia="Calibri" w:hAnsi="Times New Roman" w:cs="Times New Roman"/>
          <w:sz w:val="24"/>
          <w:szCs w:val="24"/>
        </w:rPr>
      </w:pPr>
    </w:p>
    <w:p w:rsidR="00A24052" w:rsidRPr="00D05EA9" w:rsidRDefault="00A24052" w:rsidP="00A24052">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Feige, A; Wallbaum, H and Krank, S. </w:t>
      </w:r>
      <w:r w:rsidR="00D95D28"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2011</w:t>
      </w:r>
      <w:r w:rsidR="00D95D28"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“Harnessing stakeholder motivation: towards a Swiss sustainable building sector.” </w:t>
      </w:r>
      <w:r w:rsidRPr="00D05EA9">
        <w:rPr>
          <w:rFonts w:ascii="Times New Roman" w:eastAsia="Calibri" w:hAnsi="Times New Roman" w:cs="Times New Roman"/>
          <w:i/>
          <w:iCs/>
          <w:sz w:val="24"/>
          <w:szCs w:val="24"/>
        </w:rPr>
        <w:t>Building Research and Information</w:t>
      </w:r>
      <w:r w:rsidRPr="00D05EA9">
        <w:rPr>
          <w:rFonts w:ascii="Times New Roman" w:eastAsia="Calibri" w:hAnsi="Times New Roman" w:cs="Times New Roman"/>
          <w:sz w:val="24"/>
          <w:szCs w:val="24"/>
        </w:rPr>
        <w:t xml:space="preserve"> 39 (5): 504-51, DIO: </w:t>
      </w:r>
      <w:hyperlink r:id="rId9" w:history="1">
        <w:r w:rsidRPr="00D05EA9">
          <w:rPr>
            <w:rStyle w:val="Hyperlink"/>
            <w:rFonts w:ascii="Times New Roman" w:eastAsia="Calibri" w:hAnsi="Times New Roman" w:cs="Times New Roman"/>
            <w:color w:val="auto"/>
            <w:sz w:val="24"/>
            <w:szCs w:val="24"/>
          </w:rPr>
          <w:t>10.1080/09613218.2011.589788</w:t>
        </w:r>
      </w:hyperlink>
    </w:p>
    <w:p w:rsidR="009700EF" w:rsidRPr="00D05EA9" w:rsidRDefault="009700EF" w:rsidP="006311E1">
      <w:pPr>
        <w:spacing w:after="120" w:line="240" w:lineRule="auto"/>
        <w:contextualSpacing/>
        <w:jc w:val="both"/>
        <w:rPr>
          <w:rFonts w:ascii="Times New Roman" w:eastAsia="Calibri" w:hAnsi="Times New Roman" w:cs="Times New Roman"/>
          <w:sz w:val="24"/>
          <w:szCs w:val="24"/>
        </w:rPr>
      </w:pPr>
    </w:p>
    <w:p w:rsidR="009700EF" w:rsidRPr="00D05EA9" w:rsidRDefault="00A24052" w:rsidP="006311E1">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Glossop, C. </w:t>
      </w:r>
      <w:r w:rsidR="00D95D28"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2008</w:t>
      </w:r>
      <w:r w:rsidR="00D95D28"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009700EF" w:rsidRPr="00D05EA9">
        <w:rPr>
          <w:rFonts w:ascii="Times New Roman" w:eastAsia="Calibri" w:hAnsi="Times New Roman" w:cs="Times New Roman"/>
          <w:i/>
          <w:sz w:val="24"/>
          <w:szCs w:val="24"/>
        </w:rPr>
        <w:t>Housing and economic devel</w:t>
      </w:r>
      <w:r w:rsidRPr="00D05EA9">
        <w:rPr>
          <w:rFonts w:ascii="Times New Roman" w:eastAsia="Calibri" w:hAnsi="Times New Roman" w:cs="Times New Roman"/>
          <w:i/>
          <w:sz w:val="24"/>
          <w:szCs w:val="24"/>
        </w:rPr>
        <w:t>opment: Moving forward together</w:t>
      </w:r>
      <w:r w:rsidRPr="00D05EA9">
        <w:rPr>
          <w:rFonts w:ascii="Times New Roman" w:eastAsia="Calibri" w:hAnsi="Times New Roman" w:cs="Times New Roman"/>
          <w:sz w:val="24"/>
          <w:szCs w:val="24"/>
        </w:rPr>
        <w:t>.”</w:t>
      </w:r>
      <w:r w:rsidR="009700EF" w:rsidRPr="00D05EA9">
        <w:rPr>
          <w:rFonts w:ascii="Times New Roman" w:eastAsia="Calibri" w:hAnsi="Times New Roman" w:cs="Times New Roman"/>
          <w:i/>
          <w:sz w:val="24"/>
          <w:szCs w:val="24"/>
        </w:rPr>
        <w:t xml:space="preserve"> </w:t>
      </w:r>
      <w:r w:rsidR="006B0652" w:rsidRPr="00D05EA9">
        <w:rPr>
          <w:rFonts w:ascii="Times New Roman" w:eastAsia="Calibri" w:hAnsi="Times New Roman" w:cs="Times New Roman"/>
          <w:sz w:val="24"/>
          <w:szCs w:val="24"/>
        </w:rPr>
        <w:t xml:space="preserve">London: </w:t>
      </w:r>
      <w:r w:rsidR="009700EF" w:rsidRPr="00D05EA9">
        <w:rPr>
          <w:rFonts w:ascii="Times New Roman" w:eastAsia="Calibri" w:hAnsi="Times New Roman" w:cs="Times New Roman"/>
          <w:sz w:val="24"/>
          <w:szCs w:val="24"/>
        </w:rPr>
        <w:t>Centre for Cities.</w:t>
      </w:r>
    </w:p>
    <w:p w:rsidR="00A55329" w:rsidRPr="00D05EA9" w:rsidRDefault="00A55329" w:rsidP="006311E1">
      <w:pPr>
        <w:spacing w:after="120" w:line="240" w:lineRule="auto"/>
        <w:contextualSpacing/>
        <w:jc w:val="both"/>
        <w:rPr>
          <w:rFonts w:ascii="Times New Roman" w:eastAsia="Calibri" w:hAnsi="Times New Roman" w:cs="Times New Roman"/>
          <w:sz w:val="24"/>
          <w:szCs w:val="24"/>
        </w:rPr>
      </w:pPr>
    </w:p>
    <w:p w:rsidR="00A24052" w:rsidRPr="00D05EA9" w:rsidRDefault="00A24052" w:rsidP="00A24052">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Haran, M., Newell, G., Adair, A., McGreal, S. and Berry, J. </w:t>
      </w:r>
      <w:r w:rsidR="00D95D28"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2011</w:t>
      </w:r>
      <w:r w:rsidR="00D95D28"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“The performance of UK regeneration property within a mixed asset portfolio.” </w:t>
      </w:r>
      <w:r w:rsidRPr="00D05EA9">
        <w:rPr>
          <w:rFonts w:ascii="Times New Roman" w:eastAsia="Calibri" w:hAnsi="Times New Roman" w:cs="Times New Roman"/>
          <w:i/>
          <w:sz w:val="24"/>
          <w:szCs w:val="24"/>
        </w:rPr>
        <w:t>Journal of Property Research</w:t>
      </w:r>
      <w:r w:rsidRPr="00D05EA9">
        <w:rPr>
          <w:rFonts w:ascii="Times New Roman" w:eastAsia="Calibri" w:hAnsi="Times New Roman" w:cs="Times New Roman"/>
          <w:sz w:val="24"/>
          <w:szCs w:val="24"/>
        </w:rPr>
        <w:t>, 28 (1): 75-95.</w:t>
      </w:r>
    </w:p>
    <w:p w:rsidR="00103F1A" w:rsidRPr="00D05EA9" w:rsidRDefault="00103F1A" w:rsidP="00103F1A">
      <w:pPr>
        <w:spacing w:after="120" w:line="240" w:lineRule="auto"/>
        <w:contextualSpacing/>
        <w:jc w:val="both"/>
        <w:rPr>
          <w:rFonts w:ascii="Times New Roman" w:eastAsia="Calibri" w:hAnsi="Times New Roman" w:cs="Times New Roman"/>
          <w:sz w:val="24"/>
          <w:szCs w:val="24"/>
        </w:rPr>
      </w:pPr>
    </w:p>
    <w:p w:rsidR="00F5319F" w:rsidRPr="00D05EA9" w:rsidRDefault="00F5319F" w:rsidP="00103F1A">
      <w:pPr>
        <w:spacing w:after="120" w:line="240" w:lineRule="auto"/>
        <w:contextualSpacing/>
        <w:jc w:val="both"/>
        <w:rPr>
          <w:rFonts w:ascii="Times New Roman" w:eastAsia="Calibri" w:hAnsi="Times New Roman" w:cs="Times New Roman"/>
          <w:bCs/>
          <w:i/>
          <w:sz w:val="24"/>
          <w:szCs w:val="24"/>
        </w:rPr>
      </w:pPr>
      <w:r w:rsidRPr="00D05EA9">
        <w:rPr>
          <w:rFonts w:ascii="Times New Roman" w:eastAsia="Calibri" w:hAnsi="Times New Roman" w:cs="Times New Roman"/>
          <w:bCs/>
          <w:sz w:val="24"/>
          <w:szCs w:val="24"/>
        </w:rPr>
        <w:t xml:space="preserve">Hussin, A. A. (2009) Roles of professionals in construction industry, The International Conference on Economics and Administration, Faculty of Administration and Business, University of Bucharest, Romania ICEA </w:t>
      </w:r>
      <w:r w:rsidRPr="00D05EA9">
        <w:rPr>
          <w:rFonts w:ascii="Times New Roman" w:eastAsia="Calibri" w:hAnsi="Times New Roman" w:cs="Times New Roman"/>
          <w:bCs/>
          <w:i/>
          <w:sz w:val="24"/>
          <w:szCs w:val="24"/>
        </w:rPr>
        <w:t>- FAA Bucharest, 14-15th November 2009</w:t>
      </w:r>
    </w:p>
    <w:p w:rsidR="00F5319F" w:rsidRPr="00D05EA9" w:rsidRDefault="00F5319F" w:rsidP="00103F1A">
      <w:pPr>
        <w:spacing w:after="120" w:line="240" w:lineRule="auto"/>
        <w:contextualSpacing/>
        <w:jc w:val="both"/>
        <w:rPr>
          <w:rFonts w:ascii="Times New Roman" w:eastAsia="Calibri" w:hAnsi="Times New Roman" w:cs="Times New Roman"/>
          <w:sz w:val="24"/>
          <w:szCs w:val="24"/>
        </w:rPr>
      </w:pPr>
    </w:p>
    <w:p w:rsidR="00103F1A" w:rsidRPr="00D05EA9" w:rsidRDefault="00103F1A" w:rsidP="00103F1A">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Jones, P., Hillier, D., Comfort, D. </w:t>
      </w:r>
      <w:r w:rsidR="00FB1572"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2003</w:t>
      </w:r>
      <w:r w:rsidR="00FB1572"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“Urban Regeneration Companies and City Centre.</w:t>
      </w:r>
      <w:r w:rsidR="006B0652"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Pr="00D05EA9">
        <w:rPr>
          <w:rFonts w:ascii="Times New Roman" w:eastAsia="Calibri" w:hAnsi="Times New Roman" w:cs="Times New Roman"/>
          <w:i/>
          <w:sz w:val="24"/>
          <w:szCs w:val="24"/>
        </w:rPr>
        <w:t>Management Research News</w:t>
      </w:r>
      <w:r w:rsidRPr="00D05EA9">
        <w:rPr>
          <w:rFonts w:ascii="Times New Roman" w:eastAsia="Calibri" w:hAnsi="Times New Roman" w:cs="Times New Roman"/>
          <w:sz w:val="24"/>
          <w:szCs w:val="24"/>
        </w:rPr>
        <w:t>, Vol. 26 (1): 54-63.</w:t>
      </w:r>
    </w:p>
    <w:p w:rsidR="00372BED" w:rsidRPr="00D05EA9" w:rsidRDefault="00372BED" w:rsidP="00103F1A">
      <w:pPr>
        <w:spacing w:after="120" w:line="240" w:lineRule="auto"/>
        <w:contextualSpacing/>
        <w:jc w:val="both"/>
        <w:rPr>
          <w:rFonts w:ascii="Times New Roman" w:eastAsia="Calibri" w:hAnsi="Times New Roman" w:cs="Times New Roman"/>
          <w:sz w:val="24"/>
          <w:szCs w:val="24"/>
        </w:rPr>
      </w:pPr>
    </w:p>
    <w:p w:rsidR="00372BED" w:rsidRPr="00D05EA9" w:rsidRDefault="00372BED" w:rsidP="00372BED">
      <w:pPr>
        <w:autoSpaceDE w:val="0"/>
        <w:autoSpaceDN w:val="0"/>
        <w:adjustRightInd w:val="0"/>
        <w:spacing w:after="0" w:line="240" w:lineRule="auto"/>
        <w:rPr>
          <w:rFonts w:ascii="Times New Roman" w:hAnsi="Times New Roman" w:cs="Times New Roman"/>
          <w:sz w:val="24"/>
          <w:szCs w:val="24"/>
        </w:rPr>
      </w:pPr>
      <w:r w:rsidRPr="00D05EA9">
        <w:rPr>
          <w:rFonts w:ascii="Times New Roman" w:hAnsi="Times New Roman" w:cs="Times New Roman"/>
          <w:sz w:val="24"/>
          <w:szCs w:val="24"/>
        </w:rPr>
        <w:t xml:space="preserve">Jung; T.H; Lee, J; Yap, M.H.T; Ineson, E.M. (2015) The role of stakeholder collaboration in culture-led urban regeneration: A case study of the Gwangju project, Korea, </w:t>
      </w:r>
      <w:r w:rsidRPr="00D05EA9">
        <w:rPr>
          <w:rFonts w:ascii="Times New Roman" w:hAnsi="Times New Roman" w:cs="Times New Roman"/>
          <w:i/>
          <w:sz w:val="24"/>
          <w:szCs w:val="24"/>
        </w:rPr>
        <w:t>Cities</w:t>
      </w:r>
      <w:r w:rsidRPr="00D05EA9">
        <w:rPr>
          <w:rFonts w:ascii="Times New Roman" w:hAnsi="Times New Roman" w:cs="Times New Roman"/>
          <w:sz w:val="24"/>
          <w:szCs w:val="24"/>
        </w:rPr>
        <w:t>, 44, 29–39.</w:t>
      </w:r>
    </w:p>
    <w:p w:rsidR="00103F1A" w:rsidRPr="00D05EA9" w:rsidRDefault="00103F1A" w:rsidP="00117C50">
      <w:pPr>
        <w:spacing w:after="120" w:line="240" w:lineRule="auto"/>
        <w:contextualSpacing/>
        <w:jc w:val="both"/>
        <w:rPr>
          <w:rFonts w:ascii="Times New Roman" w:eastAsia="Calibri" w:hAnsi="Times New Roman" w:cs="Times New Roman"/>
          <w:sz w:val="24"/>
          <w:szCs w:val="24"/>
        </w:rPr>
      </w:pPr>
    </w:p>
    <w:p w:rsidR="00EA6CA7" w:rsidRPr="00D05EA9" w:rsidRDefault="00103F1A" w:rsidP="00BF4B22">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Lombardi, P. </w:t>
      </w:r>
      <w:r w:rsidR="00733D6F"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2009</w:t>
      </w:r>
      <w:r w:rsidR="00733D6F"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“Evaluation of sustainable urban redevelopment scenario.” Proceedings of the Institution of Civil Engineers. </w:t>
      </w:r>
      <w:r w:rsidRPr="00D05EA9">
        <w:rPr>
          <w:rFonts w:ascii="Times New Roman" w:eastAsia="Calibri" w:hAnsi="Times New Roman" w:cs="Times New Roman"/>
          <w:i/>
          <w:sz w:val="24"/>
          <w:szCs w:val="24"/>
        </w:rPr>
        <w:t>Urban Design and Planning</w:t>
      </w:r>
      <w:r w:rsidRPr="00D05EA9">
        <w:rPr>
          <w:rFonts w:ascii="Times New Roman" w:eastAsia="Calibri" w:hAnsi="Times New Roman" w:cs="Times New Roman"/>
          <w:sz w:val="24"/>
          <w:szCs w:val="24"/>
        </w:rPr>
        <w:t>, 162(4):179–186.</w:t>
      </w:r>
    </w:p>
    <w:p w:rsidR="00103F1A" w:rsidRPr="00D05EA9" w:rsidRDefault="00103F1A" w:rsidP="00BF4B22">
      <w:pPr>
        <w:spacing w:after="120" w:line="240" w:lineRule="auto"/>
        <w:contextualSpacing/>
        <w:jc w:val="both"/>
        <w:rPr>
          <w:rFonts w:ascii="Times New Roman" w:eastAsia="Calibri" w:hAnsi="Times New Roman" w:cs="Times New Roman"/>
          <w:sz w:val="24"/>
          <w:szCs w:val="24"/>
        </w:rPr>
      </w:pPr>
    </w:p>
    <w:p w:rsidR="00103F1A" w:rsidRPr="00D05EA9" w:rsidRDefault="00103F1A" w:rsidP="00103F1A">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Mathur, V.N; Price, A.D.F and Austin, S. </w:t>
      </w:r>
      <w:r w:rsidR="00B11E65"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2008</w:t>
      </w:r>
      <w:r w:rsidR="00B11E65"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006B0652"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Conceptualizing stakeholder engagement in the context of sustainability and its assessment.</w:t>
      </w:r>
      <w:r w:rsidR="006B0652"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Pr="00D05EA9">
        <w:rPr>
          <w:rFonts w:ascii="Times New Roman" w:eastAsia="Calibri" w:hAnsi="Times New Roman" w:cs="Times New Roman"/>
          <w:i/>
          <w:sz w:val="24"/>
          <w:szCs w:val="24"/>
        </w:rPr>
        <w:t>Construction Management and Economics,</w:t>
      </w:r>
      <w:r w:rsidRPr="00D05EA9">
        <w:rPr>
          <w:rFonts w:ascii="Times New Roman" w:eastAsia="Calibri" w:hAnsi="Times New Roman" w:cs="Times New Roman"/>
          <w:sz w:val="24"/>
          <w:szCs w:val="24"/>
        </w:rPr>
        <w:t xml:space="preserve"> 26 (6), 601- 609.</w:t>
      </w:r>
    </w:p>
    <w:p w:rsidR="00105BD7" w:rsidRPr="00D05EA9" w:rsidRDefault="00105BD7" w:rsidP="00103F1A">
      <w:pPr>
        <w:spacing w:after="120" w:line="240" w:lineRule="auto"/>
        <w:contextualSpacing/>
        <w:jc w:val="both"/>
        <w:rPr>
          <w:rFonts w:ascii="Times New Roman" w:eastAsia="Calibri" w:hAnsi="Times New Roman" w:cs="Times New Roman"/>
          <w:sz w:val="24"/>
          <w:szCs w:val="24"/>
        </w:rPr>
      </w:pPr>
    </w:p>
    <w:p w:rsidR="00105BD7" w:rsidRPr="00D05EA9" w:rsidRDefault="00105BD7" w:rsidP="00105BD7">
      <w:pPr>
        <w:autoSpaceDE w:val="0"/>
        <w:autoSpaceDN w:val="0"/>
        <w:adjustRightInd w:val="0"/>
        <w:spacing w:after="0" w:line="240" w:lineRule="auto"/>
        <w:rPr>
          <w:rFonts w:ascii="Times New Roman" w:hAnsi="Times New Roman" w:cs="Times New Roman"/>
          <w:sz w:val="24"/>
          <w:szCs w:val="24"/>
        </w:rPr>
      </w:pPr>
      <w:r w:rsidRPr="00D05EA9">
        <w:rPr>
          <w:rFonts w:ascii="Times New Roman" w:hAnsi="Times New Roman" w:cs="Times New Roman"/>
          <w:sz w:val="24"/>
          <w:szCs w:val="24"/>
        </w:rPr>
        <w:t xml:space="preserve">Missimer, M; Robert, K.H; Broman, G. (2017) A strategic approach to social sustainability- Part 1: exploring the social system, </w:t>
      </w:r>
      <w:r w:rsidRPr="00D05EA9">
        <w:rPr>
          <w:rFonts w:ascii="Times New Roman" w:hAnsi="Times New Roman" w:cs="Times New Roman"/>
          <w:i/>
          <w:sz w:val="24"/>
          <w:szCs w:val="24"/>
        </w:rPr>
        <w:t>Journal of Cleaner Production</w:t>
      </w:r>
      <w:r w:rsidR="00E65A17" w:rsidRPr="00D05EA9">
        <w:rPr>
          <w:rFonts w:ascii="Times New Roman" w:hAnsi="Times New Roman" w:cs="Times New Roman"/>
          <w:sz w:val="24"/>
          <w:szCs w:val="24"/>
        </w:rPr>
        <w:t xml:space="preserve"> 140, </w:t>
      </w:r>
      <w:r w:rsidRPr="00D05EA9">
        <w:rPr>
          <w:rFonts w:ascii="Times New Roman" w:hAnsi="Times New Roman" w:cs="Times New Roman"/>
          <w:sz w:val="24"/>
          <w:szCs w:val="24"/>
        </w:rPr>
        <w:t>32-41.</w:t>
      </w:r>
    </w:p>
    <w:p w:rsidR="00103F1A" w:rsidRPr="00D05EA9" w:rsidRDefault="00103F1A" w:rsidP="00103F1A">
      <w:pPr>
        <w:spacing w:after="120" w:line="240" w:lineRule="auto"/>
        <w:contextualSpacing/>
        <w:jc w:val="both"/>
        <w:rPr>
          <w:rFonts w:ascii="Times New Roman" w:eastAsia="Calibri" w:hAnsi="Times New Roman" w:cs="Times New Roman"/>
          <w:sz w:val="24"/>
          <w:szCs w:val="24"/>
        </w:rPr>
      </w:pPr>
    </w:p>
    <w:p w:rsidR="00103F1A" w:rsidRPr="00D05EA9" w:rsidRDefault="00103F1A" w:rsidP="00103F1A">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ODPM, </w:t>
      </w:r>
      <w:r w:rsidR="00684670"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2005</w:t>
      </w:r>
      <w:r w:rsidR="00684670"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006B0652" w:rsidRPr="00D05EA9">
        <w:rPr>
          <w:rFonts w:ascii="Times New Roman" w:eastAsia="Calibri" w:hAnsi="Times New Roman" w:cs="Times New Roman"/>
          <w:sz w:val="24"/>
          <w:szCs w:val="24"/>
        </w:rPr>
        <w:t>“</w:t>
      </w:r>
      <w:r w:rsidRPr="00D05EA9">
        <w:rPr>
          <w:rFonts w:ascii="Times New Roman" w:eastAsia="Calibri" w:hAnsi="Times New Roman" w:cs="Times New Roman"/>
          <w:i/>
          <w:sz w:val="24"/>
          <w:szCs w:val="24"/>
        </w:rPr>
        <w:t>Planning Policy Statement 1: Del</w:t>
      </w:r>
      <w:r w:rsidR="006B0652" w:rsidRPr="00D05EA9">
        <w:rPr>
          <w:rFonts w:ascii="Times New Roman" w:eastAsia="Calibri" w:hAnsi="Times New Roman" w:cs="Times New Roman"/>
          <w:i/>
          <w:sz w:val="24"/>
          <w:szCs w:val="24"/>
        </w:rPr>
        <w:t>ivering Sustainable Development.”</w:t>
      </w:r>
      <w:r w:rsidRPr="00D05EA9">
        <w:rPr>
          <w:rFonts w:ascii="Times New Roman" w:eastAsia="Calibri" w:hAnsi="Times New Roman" w:cs="Times New Roman"/>
          <w:i/>
          <w:sz w:val="24"/>
          <w:szCs w:val="24"/>
        </w:rPr>
        <w:t xml:space="preserve"> </w:t>
      </w:r>
      <w:r w:rsidRPr="00D05EA9">
        <w:rPr>
          <w:rFonts w:ascii="Times New Roman" w:eastAsia="Calibri" w:hAnsi="Times New Roman" w:cs="Times New Roman"/>
          <w:sz w:val="24"/>
          <w:szCs w:val="24"/>
        </w:rPr>
        <w:t>Office of Deputy Prime Minister UK.</w:t>
      </w:r>
    </w:p>
    <w:p w:rsidR="00103F1A" w:rsidRPr="00D05EA9" w:rsidRDefault="00103F1A" w:rsidP="00BF4B22">
      <w:pPr>
        <w:spacing w:after="120" w:line="240" w:lineRule="auto"/>
        <w:contextualSpacing/>
        <w:jc w:val="both"/>
        <w:rPr>
          <w:rFonts w:ascii="Times New Roman" w:eastAsia="Calibri" w:hAnsi="Times New Roman" w:cs="Times New Roman"/>
          <w:sz w:val="24"/>
          <w:szCs w:val="24"/>
        </w:rPr>
      </w:pPr>
    </w:p>
    <w:p w:rsidR="00103F1A" w:rsidRPr="00D05EA9" w:rsidRDefault="00103F1A" w:rsidP="00103F1A">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OGC, </w:t>
      </w:r>
      <w:r w:rsidR="0049547A"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2011</w:t>
      </w:r>
      <w:r w:rsidR="0049547A"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006B0652" w:rsidRPr="00D05EA9">
        <w:rPr>
          <w:rFonts w:ascii="Times New Roman" w:eastAsia="Calibri" w:hAnsi="Times New Roman" w:cs="Times New Roman"/>
          <w:sz w:val="24"/>
          <w:szCs w:val="24"/>
        </w:rPr>
        <w:t>“</w:t>
      </w:r>
      <w:r w:rsidRPr="00D05EA9">
        <w:rPr>
          <w:rFonts w:ascii="Times New Roman" w:eastAsia="Calibri" w:hAnsi="Times New Roman" w:cs="Times New Roman"/>
          <w:i/>
          <w:sz w:val="24"/>
          <w:szCs w:val="24"/>
        </w:rPr>
        <w:t>Sustainability: The achieving excellence in construction procurement guide</w:t>
      </w:r>
      <w:r w:rsidR="006B0652" w:rsidRPr="00D05EA9">
        <w:rPr>
          <w:rFonts w:ascii="Times New Roman" w:eastAsia="Calibri" w:hAnsi="Times New Roman" w:cs="Times New Roman"/>
          <w:sz w:val="24"/>
          <w:szCs w:val="24"/>
        </w:rPr>
        <w:t xml:space="preserve">.” </w:t>
      </w:r>
      <w:r w:rsidRPr="00D05EA9">
        <w:rPr>
          <w:rFonts w:ascii="Times New Roman" w:eastAsia="Calibri" w:hAnsi="Times New Roman" w:cs="Times New Roman"/>
          <w:sz w:val="24"/>
          <w:szCs w:val="24"/>
        </w:rPr>
        <w:t>London: Office of Government Commerce, HM UK Government.</w:t>
      </w:r>
    </w:p>
    <w:p w:rsidR="00A12EA4" w:rsidRPr="00D05EA9" w:rsidRDefault="00A12EA4" w:rsidP="00103F1A">
      <w:pPr>
        <w:spacing w:after="120" w:line="240" w:lineRule="auto"/>
        <w:contextualSpacing/>
        <w:jc w:val="both"/>
        <w:rPr>
          <w:rFonts w:ascii="Times New Roman" w:eastAsia="Calibri" w:hAnsi="Times New Roman" w:cs="Times New Roman"/>
          <w:sz w:val="24"/>
          <w:szCs w:val="24"/>
        </w:rPr>
      </w:pPr>
    </w:p>
    <w:p w:rsidR="00A12EA4" w:rsidRPr="00D05EA9" w:rsidRDefault="00A12EA4" w:rsidP="00A12EA4">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Pitt, M; Tucker, M; Riley, M; Longden, J. (2009) Towards sustainable construction: promotion and best practices, </w:t>
      </w:r>
      <w:r w:rsidRPr="00D05EA9">
        <w:rPr>
          <w:rFonts w:ascii="Times New Roman" w:eastAsia="Calibri" w:hAnsi="Times New Roman" w:cs="Times New Roman"/>
          <w:i/>
          <w:sz w:val="24"/>
          <w:szCs w:val="24"/>
        </w:rPr>
        <w:t>Construction Innovation</w:t>
      </w:r>
      <w:r w:rsidRPr="00D05EA9">
        <w:rPr>
          <w:rFonts w:ascii="Times New Roman" w:eastAsia="Calibri" w:hAnsi="Times New Roman" w:cs="Times New Roman"/>
          <w:sz w:val="24"/>
          <w:szCs w:val="24"/>
        </w:rPr>
        <w:t>, Vol. 9, No. 2, pp. 201-224.</w:t>
      </w:r>
    </w:p>
    <w:p w:rsidR="00103F1A" w:rsidRPr="00D05EA9" w:rsidRDefault="00103F1A" w:rsidP="00103F1A">
      <w:pPr>
        <w:spacing w:after="120" w:line="240" w:lineRule="auto"/>
        <w:contextualSpacing/>
        <w:jc w:val="both"/>
        <w:rPr>
          <w:rFonts w:ascii="Times New Roman" w:eastAsia="Calibri" w:hAnsi="Times New Roman" w:cs="Times New Roman"/>
          <w:sz w:val="24"/>
          <w:szCs w:val="24"/>
        </w:rPr>
      </w:pPr>
    </w:p>
    <w:p w:rsidR="00103F1A" w:rsidRPr="00D05EA9" w:rsidRDefault="00103F1A" w:rsidP="00103F1A">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lastRenderedPageBreak/>
        <w:t>Reyes, J.P; San-José, J.T; C</w:t>
      </w:r>
      <w:r w:rsidR="00B80F82" w:rsidRPr="00D05EA9">
        <w:rPr>
          <w:rFonts w:ascii="Times New Roman" w:eastAsia="Calibri" w:hAnsi="Times New Roman" w:cs="Times New Roman"/>
          <w:sz w:val="24"/>
          <w:szCs w:val="24"/>
        </w:rPr>
        <w:t>uadrado, J; Sancibrian, R. (2014)</w:t>
      </w:r>
      <w:r w:rsidRPr="00D05EA9">
        <w:rPr>
          <w:rFonts w:ascii="Times New Roman" w:eastAsia="Calibri" w:hAnsi="Times New Roman" w:cs="Times New Roman"/>
          <w:sz w:val="24"/>
          <w:szCs w:val="24"/>
        </w:rPr>
        <w:t xml:space="preserve"> </w:t>
      </w:r>
      <w:r w:rsidR="006B0652"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Health &amp; Safety criteria for determining the sustainable value of construction projects.</w:t>
      </w:r>
      <w:r w:rsidR="006B0652"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Pr="00D05EA9">
        <w:rPr>
          <w:rFonts w:ascii="Times New Roman" w:eastAsia="Calibri" w:hAnsi="Times New Roman" w:cs="Times New Roman"/>
          <w:i/>
          <w:sz w:val="24"/>
          <w:szCs w:val="24"/>
        </w:rPr>
        <w:t>Safety Science</w:t>
      </w:r>
      <w:r w:rsidRPr="00D05EA9">
        <w:rPr>
          <w:rFonts w:ascii="Times New Roman" w:eastAsia="Calibri" w:hAnsi="Times New Roman" w:cs="Times New Roman"/>
          <w:sz w:val="24"/>
          <w:szCs w:val="24"/>
        </w:rPr>
        <w:t>, 62, 221–232.</w:t>
      </w:r>
    </w:p>
    <w:p w:rsidR="00103F1A" w:rsidRPr="00D05EA9" w:rsidRDefault="00103F1A" w:rsidP="00FB0B75">
      <w:pPr>
        <w:spacing w:after="120" w:line="240" w:lineRule="auto"/>
        <w:contextualSpacing/>
        <w:jc w:val="both"/>
        <w:rPr>
          <w:rFonts w:ascii="Times New Roman" w:eastAsia="Calibri" w:hAnsi="Times New Roman" w:cs="Times New Roman"/>
          <w:sz w:val="24"/>
          <w:szCs w:val="24"/>
        </w:rPr>
      </w:pPr>
    </w:p>
    <w:p w:rsidR="00103F1A" w:rsidRPr="00D05EA9" w:rsidRDefault="00103F1A" w:rsidP="00103F1A">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Rowlinson, S and Cheung, Y.K.F. </w:t>
      </w:r>
      <w:r w:rsidR="00B80F82" w:rsidRPr="00D05EA9">
        <w:rPr>
          <w:rFonts w:ascii="Times New Roman" w:eastAsia="Calibri" w:hAnsi="Times New Roman" w:cs="Times New Roman"/>
          <w:sz w:val="24"/>
          <w:szCs w:val="24"/>
        </w:rPr>
        <w:t>(2008)</w:t>
      </w:r>
      <w:r w:rsidRPr="00D05EA9">
        <w:rPr>
          <w:rFonts w:ascii="Times New Roman" w:eastAsia="Calibri" w:hAnsi="Times New Roman" w:cs="Times New Roman"/>
          <w:sz w:val="24"/>
          <w:szCs w:val="24"/>
        </w:rPr>
        <w:t xml:space="preserve"> </w:t>
      </w:r>
      <w:r w:rsidR="006B0652"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Stakeholder management through empowerment: modelling project success.</w:t>
      </w:r>
      <w:r w:rsidR="006B0652"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Pr="00D05EA9">
        <w:rPr>
          <w:rFonts w:ascii="Times New Roman" w:eastAsia="Calibri" w:hAnsi="Times New Roman" w:cs="Times New Roman"/>
          <w:i/>
          <w:sz w:val="24"/>
          <w:szCs w:val="24"/>
        </w:rPr>
        <w:t>Construction Management and Economics</w:t>
      </w:r>
      <w:r w:rsidRPr="00D05EA9">
        <w:rPr>
          <w:rFonts w:ascii="Times New Roman" w:eastAsia="Calibri" w:hAnsi="Times New Roman" w:cs="Times New Roman"/>
          <w:sz w:val="24"/>
          <w:szCs w:val="24"/>
        </w:rPr>
        <w:t>, 26(6)611 - 623.</w:t>
      </w:r>
    </w:p>
    <w:p w:rsidR="00103F1A" w:rsidRPr="00D05EA9" w:rsidRDefault="008D1560" w:rsidP="00103F1A">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Smith, R. (2006)</w:t>
      </w:r>
      <w:r w:rsidR="00103F1A" w:rsidRPr="00D05EA9">
        <w:rPr>
          <w:rFonts w:ascii="Times New Roman" w:eastAsia="Calibri" w:hAnsi="Times New Roman" w:cs="Times New Roman"/>
          <w:sz w:val="24"/>
          <w:szCs w:val="24"/>
        </w:rPr>
        <w:t xml:space="preserve"> </w:t>
      </w:r>
      <w:r w:rsidR="006B0652" w:rsidRPr="00D05EA9">
        <w:rPr>
          <w:rFonts w:ascii="Times New Roman" w:eastAsia="Calibri" w:hAnsi="Times New Roman" w:cs="Times New Roman"/>
          <w:sz w:val="24"/>
          <w:szCs w:val="24"/>
        </w:rPr>
        <w:t>“</w:t>
      </w:r>
      <w:r w:rsidR="00103F1A" w:rsidRPr="00D05EA9">
        <w:rPr>
          <w:rFonts w:ascii="Times New Roman" w:eastAsia="Calibri" w:hAnsi="Times New Roman" w:cs="Times New Roman"/>
          <w:sz w:val="24"/>
          <w:szCs w:val="24"/>
        </w:rPr>
        <w:t>Housing Stock Transfer: Investing in Renewal as a Tool for Sustainable Regeneration.</w:t>
      </w:r>
      <w:r w:rsidR="006B0652" w:rsidRPr="00D05EA9">
        <w:rPr>
          <w:rFonts w:ascii="Times New Roman" w:eastAsia="Calibri" w:hAnsi="Times New Roman" w:cs="Times New Roman"/>
          <w:sz w:val="24"/>
          <w:szCs w:val="24"/>
        </w:rPr>
        <w:t xml:space="preserve">” </w:t>
      </w:r>
      <w:r w:rsidR="00103F1A" w:rsidRPr="00D05EA9">
        <w:rPr>
          <w:rFonts w:ascii="Times New Roman" w:eastAsia="Calibri" w:hAnsi="Times New Roman" w:cs="Times New Roman"/>
          <w:sz w:val="24"/>
          <w:szCs w:val="24"/>
        </w:rPr>
        <w:t xml:space="preserve"> </w:t>
      </w:r>
      <w:r w:rsidR="00103F1A" w:rsidRPr="00D05EA9">
        <w:rPr>
          <w:rFonts w:ascii="Times New Roman" w:eastAsia="Calibri" w:hAnsi="Times New Roman" w:cs="Times New Roman"/>
          <w:i/>
          <w:sz w:val="24"/>
          <w:szCs w:val="24"/>
        </w:rPr>
        <w:t>Housing Studies,</w:t>
      </w:r>
      <w:r w:rsidR="00103F1A" w:rsidRPr="00D05EA9">
        <w:rPr>
          <w:rFonts w:ascii="Times New Roman" w:eastAsia="Calibri" w:hAnsi="Times New Roman" w:cs="Times New Roman"/>
          <w:sz w:val="24"/>
          <w:szCs w:val="24"/>
        </w:rPr>
        <w:t xml:space="preserve"> 21(2) 269-282.</w:t>
      </w:r>
      <w:r w:rsidR="00103F1A" w:rsidRPr="00D05EA9">
        <w:rPr>
          <w:rFonts w:ascii="Garamond" w:hAnsi="Garamond" w:cs="Times New Roman"/>
          <w:sz w:val="20"/>
          <w:szCs w:val="20"/>
        </w:rPr>
        <w:t xml:space="preserve"> </w:t>
      </w:r>
      <w:r w:rsidR="00103F1A" w:rsidRPr="00D05EA9">
        <w:rPr>
          <w:rFonts w:ascii="Times New Roman" w:eastAsia="Calibri" w:hAnsi="Times New Roman" w:cs="Times New Roman"/>
          <w:sz w:val="24"/>
          <w:szCs w:val="24"/>
        </w:rPr>
        <w:t xml:space="preserve">DOI: </w:t>
      </w:r>
      <w:hyperlink r:id="rId10" w:history="1">
        <w:r w:rsidR="00103F1A" w:rsidRPr="00D05EA9">
          <w:rPr>
            <w:rStyle w:val="Hyperlink"/>
            <w:rFonts w:ascii="Times New Roman" w:eastAsia="Calibri" w:hAnsi="Times New Roman" w:cs="Times New Roman"/>
            <w:color w:val="auto"/>
            <w:sz w:val="24"/>
            <w:szCs w:val="24"/>
          </w:rPr>
          <w:t>10.1080/02673030500484885</w:t>
        </w:r>
      </w:hyperlink>
    </w:p>
    <w:p w:rsidR="00103F1A" w:rsidRPr="00D05EA9" w:rsidRDefault="00103F1A" w:rsidP="00103F1A">
      <w:pPr>
        <w:spacing w:after="120" w:line="240" w:lineRule="auto"/>
        <w:contextualSpacing/>
        <w:jc w:val="both"/>
        <w:rPr>
          <w:rFonts w:ascii="Times New Roman" w:eastAsia="Calibri" w:hAnsi="Times New Roman" w:cs="Times New Roman"/>
          <w:sz w:val="24"/>
          <w:szCs w:val="24"/>
        </w:rPr>
      </w:pPr>
    </w:p>
    <w:p w:rsidR="00103F1A" w:rsidRPr="00D05EA9" w:rsidRDefault="00103F1A" w:rsidP="00103F1A">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SDC, </w:t>
      </w:r>
      <w:r w:rsidR="008D1560"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2003</w:t>
      </w:r>
      <w:r w:rsidR="008D1560"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006B0652"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Mainstreaming sustainable regeneration: A call to action.</w:t>
      </w:r>
      <w:r w:rsidR="006B0652"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Pr="00D05EA9">
        <w:rPr>
          <w:rFonts w:ascii="Times New Roman" w:eastAsia="Calibri" w:hAnsi="Times New Roman" w:cs="Times New Roman"/>
          <w:i/>
          <w:iCs/>
          <w:sz w:val="24"/>
          <w:szCs w:val="24"/>
        </w:rPr>
        <w:t>A Report by the UK Sustainable Development Commission</w:t>
      </w:r>
      <w:r w:rsidRPr="00D05EA9">
        <w:rPr>
          <w:rFonts w:ascii="Times New Roman" w:eastAsia="Calibri" w:hAnsi="Times New Roman" w:cs="Times New Roman"/>
          <w:iCs/>
          <w:sz w:val="24"/>
          <w:szCs w:val="24"/>
        </w:rPr>
        <w:t>, London.</w:t>
      </w:r>
    </w:p>
    <w:p w:rsidR="00103F1A" w:rsidRPr="00D05EA9" w:rsidRDefault="00103F1A" w:rsidP="00103F1A">
      <w:pPr>
        <w:spacing w:after="120" w:line="240" w:lineRule="auto"/>
        <w:contextualSpacing/>
        <w:jc w:val="both"/>
        <w:rPr>
          <w:rFonts w:ascii="Times New Roman" w:eastAsia="Calibri" w:hAnsi="Times New Roman" w:cs="Times New Roman"/>
          <w:sz w:val="24"/>
          <w:szCs w:val="24"/>
        </w:rPr>
      </w:pPr>
    </w:p>
    <w:p w:rsidR="00103F1A" w:rsidRPr="00D05EA9" w:rsidRDefault="00DC2C8A" w:rsidP="00103F1A">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Takim, R. (2009)</w:t>
      </w:r>
      <w:r w:rsidR="00103F1A" w:rsidRPr="00D05EA9">
        <w:rPr>
          <w:rFonts w:ascii="Times New Roman" w:eastAsia="Calibri" w:hAnsi="Times New Roman" w:cs="Times New Roman"/>
          <w:sz w:val="24"/>
          <w:szCs w:val="24"/>
        </w:rPr>
        <w:t xml:space="preserve"> </w:t>
      </w:r>
      <w:r w:rsidR="006B0652" w:rsidRPr="00D05EA9">
        <w:rPr>
          <w:rFonts w:ascii="Times New Roman" w:eastAsia="Calibri" w:hAnsi="Times New Roman" w:cs="Times New Roman"/>
          <w:sz w:val="24"/>
          <w:szCs w:val="24"/>
        </w:rPr>
        <w:t>“</w:t>
      </w:r>
      <w:r w:rsidR="00103F1A" w:rsidRPr="00D05EA9">
        <w:rPr>
          <w:rFonts w:ascii="Times New Roman" w:eastAsia="Calibri" w:hAnsi="Times New Roman" w:cs="Times New Roman"/>
          <w:sz w:val="24"/>
          <w:szCs w:val="24"/>
        </w:rPr>
        <w:t>The management of stakeholders’ needs and expectations in the development of construction project in Malaysia.</w:t>
      </w:r>
      <w:r w:rsidR="006B0652" w:rsidRPr="00D05EA9">
        <w:rPr>
          <w:rFonts w:ascii="Times New Roman" w:eastAsia="Calibri" w:hAnsi="Times New Roman" w:cs="Times New Roman"/>
          <w:sz w:val="24"/>
          <w:szCs w:val="24"/>
        </w:rPr>
        <w:t>”</w:t>
      </w:r>
      <w:r w:rsidR="00103F1A" w:rsidRPr="00D05EA9">
        <w:rPr>
          <w:rFonts w:ascii="Times New Roman" w:eastAsia="Calibri" w:hAnsi="Times New Roman" w:cs="Times New Roman"/>
          <w:sz w:val="24"/>
          <w:szCs w:val="24"/>
        </w:rPr>
        <w:t xml:space="preserve"> </w:t>
      </w:r>
      <w:r w:rsidR="00103F1A" w:rsidRPr="00D05EA9">
        <w:rPr>
          <w:rFonts w:ascii="Times New Roman" w:eastAsia="Calibri" w:hAnsi="Times New Roman" w:cs="Times New Roman"/>
          <w:i/>
          <w:sz w:val="24"/>
          <w:szCs w:val="24"/>
        </w:rPr>
        <w:t>Modern Applied Science</w:t>
      </w:r>
      <w:r w:rsidR="00103F1A" w:rsidRPr="00D05EA9">
        <w:rPr>
          <w:rFonts w:ascii="Times New Roman" w:eastAsia="Calibri" w:hAnsi="Times New Roman" w:cs="Times New Roman"/>
          <w:sz w:val="24"/>
          <w:szCs w:val="24"/>
        </w:rPr>
        <w:t>, 3(5), 167-175.</w:t>
      </w:r>
    </w:p>
    <w:p w:rsidR="00103F1A" w:rsidRPr="00D05EA9" w:rsidRDefault="00103F1A" w:rsidP="00FB0B75">
      <w:pPr>
        <w:spacing w:after="120" w:line="240" w:lineRule="auto"/>
        <w:contextualSpacing/>
        <w:jc w:val="both"/>
        <w:rPr>
          <w:rFonts w:ascii="Times New Roman" w:eastAsia="Calibri" w:hAnsi="Times New Roman" w:cs="Times New Roman"/>
          <w:sz w:val="24"/>
          <w:szCs w:val="24"/>
        </w:rPr>
      </w:pPr>
    </w:p>
    <w:p w:rsidR="00103F1A" w:rsidRPr="00D05EA9" w:rsidRDefault="006B0652" w:rsidP="00103F1A">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RIBA, </w:t>
      </w:r>
      <w:r w:rsidR="00DC2C8A"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2013</w:t>
      </w:r>
      <w:r w:rsidR="00DC2C8A" w:rsidRPr="00D05EA9">
        <w:rPr>
          <w:rFonts w:ascii="Times New Roman" w:eastAsia="Calibri" w:hAnsi="Times New Roman" w:cs="Times New Roman"/>
          <w:sz w:val="24"/>
          <w:szCs w:val="24"/>
        </w:rPr>
        <w:t>)</w:t>
      </w:r>
      <w:r w:rsidR="00103F1A" w:rsidRPr="00D05EA9">
        <w:rPr>
          <w:rFonts w:ascii="Times New Roman" w:eastAsia="Calibri" w:hAnsi="Times New Roman" w:cs="Times New Roman"/>
          <w:sz w:val="24"/>
          <w:szCs w:val="24"/>
        </w:rPr>
        <w:t xml:space="preserve"> </w:t>
      </w:r>
      <w:r w:rsidRPr="00D05EA9">
        <w:rPr>
          <w:rFonts w:ascii="Times New Roman" w:eastAsia="Calibri" w:hAnsi="Times New Roman" w:cs="Times New Roman"/>
          <w:sz w:val="24"/>
          <w:szCs w:val="24"/>
        </w:rPr>
        <w:t>“</w:t>
      </w:r>
      <w:r w:rsidR="00103F1A" w:rsidRPr="00D05EA9">
        <w:rPr>
          <w:rFonts w:ascii="Times New Roman" w:eastAsia="Calibri" w:hAnsi="Times New Roman" w:cs="Times New Roman"/>
          <w:sz w:val="24"/>
          <w:szCs w:val="24"/>
        </w:rPr>
        <w:t>The Royal Institute of British Architects Outline Plan of Work.</w:t>
      </w:r>
      <w:r w:rsidRPr="00D05EA9">
        <w:rPr>
          <w:rFonts w:ascii="Times New Roman" w:eastAsia="Calibri" w:hAnsi="Times New Roman" w:cs="Times New Roman"/>
          <w:sz w:val="24"/>
          <w:szCs w:val="24"/>
        </w:rPr>
        <w:t>”</w:t>
      </w:r>
      <w:r w:rsidR="00103F1A" w:rsidRPr="00D05EA9">
        <w:rPr>
          <w:rFonts w:ascii="Times New Roman" w:eastAsia="Calibri" w:hAnsi="Times New Roman" w:cs="Times New Roman"/>
          <w:sz w:val="24"/>
          <w:szCs w:val="24"/>
        </w:rPr>
        <w:t xml:space="preserve"> London, RIBA Publishing.</w:t>
      </w:r>
    </w:p>
    <w:p w:rsidR="00103F1A" w:rsidRPr="00D05EA9" w:rsidRDefault="00103F1A" w:rsidP="00103F1A">
      <w:pPr>
        <w:spacing w:after="120" w:line="240" w:lineRule="auto"/>
        <w:contextualSpacing/>
        <w:jc w:val="both"/>
        <w:rPr>
          <w:rFonts w:ascii="Times New Roman" w:eastAsia="Calibri" w:hAnsi="Times New Roman" w:cs="Times New Roman"/>
          <w:sz w:val="24"/>
          <w:szCs w:val="24"/>
        </w:rPr>
      </w:pPr>
    </w:p>
    <w:p w:rsidR="00103F1A" w:rsidRPr="00D05EA9" w:rsidRDefault="00103F1A" w:rsidP="00103F1A">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Tippett, J; Handley, J.F; Ravetz, J. </w:t>
      </w:r>
      <w:r w:rsidR="00DC2C8A"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2007</w:t>
      </w:r>
      <w:r w:rsidR="00DC2C8A"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006B0652"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Meeting the challenges of sustainable Development-A conceptual appraisal of a new methodology for participatory ecological Planning</w:t>
      </w:r>
      <w:r w:rsidR="006A68D5"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Pr="00D05EA9">
        <w:rPr>
          <w:rFonts w:ascii="Times New Roman" w:eastAsia="Calibri" w:hAnsi="Times New Roman" w:cs="Times New Roman"/>
          <w:i/>
          <w:sz w:val="24"/>
          <w:szCs w:val="24"/>
        </w:rPr>
        <w:t>Progress in Planning</w:t>
      </w:r>
      <w:r w:rsidRPr="00D05EA9">
        <w:rPr>
          <w:rFonts w:ascii="Times New Roman" w:eastAsia="Calibri" w:hAnsi="Times New Roman" w:cs="Times New Roman"/>
          <w:sz w:val="24"/>
          <w:szCs w:val="24"/>
        </w:rPr>
        <w:t>, 67(1) 1–98.</w:t>
      </w:r>
    </w:p>
    <w:p w:rsidR="00103F1A" w:rsidRPr="00D05EA9" w:rsidRDefault="00103F1A" w:rsidP="00103F1A">
      <w:pPr>
        <w:spacing w:after="120" w:line="240" w:lineRule="auto"/>
        <w:contextualSpacing/>
        <w:jc w:val="both"/>
        <w:rPr>
          <w:rFonts w:ascii="Times New Roman" w:eastAsia="Calibri" w:hAnsi="Times New Roman" w:cs="Times New Roman"/>
          <w:sz w:val="24"/>
          <w:szCs w:val="24"/>
        </w:rPr>
      </w:pPr>
    </w:p>
    <w:p w:rsidR="00F5319F" w:rsidRPr="00D05EA9" w:rsidRDefault="00F5319F" w:rsidP="00F5319F">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Trigunarsyah, B. (2004) Project owners' role in improving constructability of construction projects: an example analysis for Indonesia, </w:t>
      </w:r>
      <w:r w:rsidRPr="00D05EA9">
        <w:rPr>
          <w:rFonts w:ascii="Times New Roman" w:eastAsia="Calibri" w:hAnsi="Times New Roman" w:cs="Times New Roman"/>
          <w:i/>
          <w:sz w:val="24"/>
          <w:szCs w:val="24"/>
        </w:rPr>
        <w:t>Construction Management and Economics,</w:t>
      </w:r>
      <w:r w:rsidRPr="00D05EA9">
        <w:rPr>
          <w:rFonts w:ascii="Times New Roman" w:eastAsia="Calibri" w:hAnsi="Times New Roman" w:cs="Times New Roman"/>
          <w:sz w:val="24"/>
          <w:szCs w:val="24"/>
        </w:rPr>
        <w:t xml:space="preserve"> 22(8), 861-876.</w:t>
      </w:r>
    </w:p>
    <w:p w:rsidR="002947AD" w:rsidRPr="00D05EA9" w:rsidRDefault="002947AD" w:rsidP="00F5319F">
      <w:pPr>
        <w:spacing w:after="120" w:line="240" w:lineRule="auto"/>
        <w:contextualSpacing/>
        <w:jc w:val="both"/>
        <w:rPr>
          <w:rFonts w:ascii="Times New Roman" w:eastAsia="Calibri" w:hAnsi="Times New Roman" w:cs="Times New Roman"/>
          <w:sz w:val="24"/>
          <w:szCs w:val="24"/>
        </w:rPr>
      </w:pPr>
    </w:p>
    <w:p w:rsidR="00F5319F" w:rsidRPr="00D05EA9" w:rsidRDefault="00EE1956" w:rsidP="00F5319F">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Williams, T., Bouchlaghem, </w:t>
      </w:r>
      <w:r w:rsidR="00F5319F" w:rsidRPr="00D05EA9">
        <w:rPr>
          <w:rFonts w:ascii="Times New Roman" w:eastAsia="Calibri" w:hAnsi="Times New Roman" w:cs="Times New Roman"/>
          <w:sz w:val="24"/>
          <w:szCs w:val="24"/>
        </w:rPr>
        <w:t xml:space="preserve">D., Loveday, </w:t>
      </w:r>
      <w:bookmarkStart w:id="4" w:name="_GoBack"/>
      <w:bookmarkEnd w:id="4"/>
      <w:r w:rsidR="00F5319F" w:rsidRPr="00D05EA9">
        <w:rPr>
          <w:rFonts w:ascii="Times New Roman" w:eastAsia="Calibri" w:hAnsi="Times New Roman" w:cs="Times New Roman"/>
          <w:sz w:val="24"/>
          <w:szCs w:val="24"/>
        </w:rPr>
        <w:t xml:space="preserve">D. and Law, C. (2013) Principal contractor involvement in post-occupancy evaluation in the UK construction industry, </w:t>
      </w:r>
      <w:r w:rsidR="00F5319F" w:rsidRPr="00D05EA9">
        <w:rPr>
          <w:rFonts w:ascii="Times New Roman" w:eastAsia="Calibri" w:hAnsi="Times New Roman" w:cs="Times New Roman"/>
          <w:i/>
          <w:sz w:val="24"/>
          <w:szCs w:val="24"/>
        </w:rPr>
        <w:t>Facilities,</w:t>
      </w:r>
      <w:r w:rsidRPr="00D05EA9">
        <w:rPr>
          <w:rFonts w:ascii="Times New Roman" w:eastAsia="Calibri" w:hAnsi="Times New Roman" w:cs="Times New Roman"/>
          <w:sz w:val="24"/>
          <w:szCs w:val="24"/>
        </w:rPr>
        <w:t xml:space="preserve"> Vol. 31 No. 1, </w:t>
      </w:r>
      <w:r w:rsidR="00F5319F" w:rsidRPr="00D05EA9">
        <w:rPr>
          <w:rFonts w:ascii="Times New Roman" w:eastAsia="Calibri" w:hAnsi="Times New Roman" w:cs="Times New Roman"/>
          <w:sz w:val="24"/>
          <w:szCs w:val="24"/>
        </w:rPr>
        <w:t>pp. 39-55.</w:t>
      </w:r>
    </w:p>
    <w:p w:rsidR="00F5319F" w:rsidRPr="00D05EA9" w:rsidRDefault="00F5319F" w:rsidP="00103F1A">
      <w:pPr>
        <w:spacing w:after="120" w:line="240" w:lineRule="auto"/>
        <w:contextualSpacing/>
        <w:jc w:val="both"/>
        <w:rPr>
          <w:rFonts w:ascii="Times New Roman" w:eastAsia="Calibri" w:hAnsi="Times New Roman" w:cs="Times New Roman"/>
          <w:sz w:val="24"/>
          <w:szCs w:val="24"/>
        </w:rPr>
      </w:pPr>
    </w:p>
    <w:p w:rsidR="00B12D71" w:rsidRPr="00D05EA9" w:rsidRDefault="00A756AA" w:rsidP="00FB0B75">
      <w:pPr>
        <w:spacing w:after="120" w:line="240" w:lineRule="auto"/>
        <w:contextualSpacing/>
        <w:jc w:val="both"/>
        <w:rPr>
          <w:rFonts w:ascii="Times New Roman" w:eastAsia="Calibri" w:hAnsi="Times New Roman" w:cs="Times New Roman"/>
          <w:sz w:val="24"/>
          <w:szCs w:val="24"/>
        </w:rPr>
      </w:pPr>
      <w:r w:rsidRPr="00D05EA9">
        <w:rPr>
          <w:rFonts w:ascii="Times New Roman" w:eastAsia="Calibri" w:hAnsi="Times New Roman" w:cs="Times New Roman"/>
          <w:sz w:val="24"/>
          <w:szCs w:val="24"/>
        </w:rPr>
        <w:t xml:space="preserve">Winston, N. </w:t>
      </w:r>
      <w:r w:rsidR="00DC2C8A"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2009</w:t>
      </w:r>
      <w:r w:rsidR="00DC2C8A"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 </w:t>
      </w:r>
      <w:r w:rsidR="00117E06" w:rsidRPr="00D05EA9">
        <w:rPr>
          <w:rFonts w:ascii="Times New Roman" w:eastAsia="Calibri" w:hAnsi="Times New Roman" w:cs="Times New Roman"/>
          <w:sz w:val="24"/>
          <w:szCs w:val="24"/>
        </w:rPr>
        <w:t>“</w:t>
      </w:r>
      <w:r w:rsidRPr="00D05EA9">
        <w:rPr>
          <w:rFonts w:ascii="Times New Roman" w:eastAsia="Calibri" w:hAnsi="Times New Roman" w:cs="Times New Roman"/>
          <w:sz w:val="24"/>
          <w:szCs w:val="24"/>
        </w:rPr>
        <w:t xml:space="preserve">Urban Regeneration for Sustainable Development: The Role of Sustainable Housing? </w:t>
      </w:r>
      <w:r w:rsidRPr="00D05EA9">
        <w:rPr>
          <w:rFonts w:ascii="Times New Roman" w:eastAsia="Calibri" w:hAnsi="Times New Roman" w:cs="Times New Roman"/>
          <w:i/>
          <w:sz w:val="24"/>
          <w:szCs w:val="24"/>
        </w:rPr>
        <w:t>European Planning Studies</w:t>
      </w:r>
      <w:r w:rsidRPr="00D05EA9">
        <w:rPr>
          <w:rFonts w:ascii="Times New Roman" w:eastAsia="Calibri" w:hAnsi="Times New Roman" w:cs="Times New Roman"/>
          <w:sz w:val="24"/>
          <w:szCs w:val="24"/>
        </w:rPr>
        <w:t>, 1(12), 1781-1796.</w:t>
      </w:r>
    </w:p>
    <w:p w:rsidR="00FB0B75" w:rsidRPr="00D05EA9" w:rsidRDefault="00FB0B75" w:rsidP="00FB0B75">
      <w:pPr>
        <w:spacing w:after="120" w:line="240" w:lineRule="auto"/>
        <w:contextualSpacing/>
        <w:jc w:val="both"/>
        <w:rPr>
          <w:rFonts w:ascii="Times New Roman" w:eastAsia="Calibri" w:hAnsi="Times New Roman" w:cs="Times New Roman"/>
          <w:sz w:val="24"/>
          <w:szCs w:val="24"/>
        </w:rPr>
      </w:pPr>
    </w:p>
    <w:p w:rsidR="00916A8D" w:rsidRPr="00D05EA9" w:rsidRDefault="00916A8D" w:rsidP="00916A8D">
      <w:pPr>
        <w:spacing w:line="360" w:lineRule="auto"/>
        <w:contextualSpacing/>
        <w:jc w:val="both"/>
        <w:rPr>
          <w:rFonts w:ascii="Times New Roman" w:eastAsia="Calibri" w:hAnsi="Times New Roman" w:cs="Times New Roman"/>
          <w:sz w:val="24"/>
          <w:szCs w:val="24"/>
        </w:rPr>
      </w:pPr>
    </w:p>
    <w:p w:rsidR="00B77E79" w:rsidRPr="00D05EA9" w:rsidRDefault="00B77E79" w:rsidP="002A59B5">
      <w:pPr>
        <w:pStyle w:val="Default"/>
        <w:rPr>
          <w:color w:val="auto"/>
        </w:rPr>
      </w:pPr>
    </w:p>
    <w:p w:rsidR="00A95E4B" w:rsidRPr="00D05EA9" w:rsidRDefault="00A95E4B" w:rsidP="00B77E79">
      <w:pPr>
        <w:autoSpaceDE w:val="0"/>
        <w:autoSpaceDN w:val="0"/>
        <w:adjustRightInd w:val="0"/>
        <w:spacing w:after="0" w:line="240" w:lineRule="auto"/>
        <w:rPr>
          <w:rFonts w:ascii="Times New Roman" w:hAnsi="Times New Roman" w:cs="Times New Roman"/>
          <w:sz w:val="24"/>
          <w:szCs w:val="24"/>
        </w:rPr>
      </w:pPr>
    </w:p>
    <w:p w:rsidR="00BE2BC0" w:rsidRPr="00D05EA9" w:rsidRDefault="00BE2BC0" w:rsidP="00A95E4B">
      <w:pPr>
        <w:autoSpaceDE w:val="0"/>
        <w:autoSpaceDN w:val="0"/>
        <w:adjustRightInd w:val="0"/>
        <w:spacing w:after="0" w:line="240" w:lineRule="auto"/>
        <w:rPr>
          <w:rFonts w:ascii="Arial" w:hAnsi="Arial" w:cs="Arial"/>
        </w:rPr>
      </w:pPr>
    </w:p>
    <w:p w:rsidR="00A95E4B" w:rsidRPr="00D05EA9" w:rsidRDefault="00A95E4B" w:rsidP="00B77E79">
      <w:pPr>
        <w:autoSpaceDE w:val="0"/>
        <w:autoSpaceDN w:val="0"/>
        <w:adjustRightInd w:val="0"/>
        <w:spacing w:after="0" w:line="240" w:lineRule="auto"/>
        <w:rPr>
          <w:rFonts w:ascii="Times New Roman" w:hAnsi="Times New Roman" w:cs="Times New Roman"/>
          <w:sz w:val="24"/>
          <w:szCs w:val="24"/>
        </w:rPr>
      </w:pPr>
    </w:p>
    <w:p w:rsidR="00B77E79" w:rsidRPr="00D05EA9" w:rsidRDefault="00B77E79" w:rsidP="002A59B5">
      <w:pPr>
        <w:pStyle w:val="Default"/>
        <w:rPr>
          <w:rFonts w:ascii="Times" w:hAnsi="Times" w:cs="Times"/>
          <w:color w:val="auto"/>
        </w:rPr>
      </w:pPr>
    </w:p>
    <w:p w:rsidR="00916A8D" w:rsidRPr="00D05EA9" w:rsidRDefault="00916A8D" w:rsidP="00916A8D">
      <w:pPr>
        <w:spacing w:line="360" w:lineRule="auto"/>
        <w:contextualSpacing/>
        <w:jc w:val="both"/>
        <w:rPr>
          <w:rFonts w:ascii="Times New Roman" w:eastAsia="Calibri" w:hAnsi="Times New Roman" w:cs="Times New Roman"/>
          <w:sz w:val="24"/>
          <w:szCs w:val="24"/>
        </w:rPr>
      </w:pPr>
    </w:p>
    <w:p w:rsidR="00916A8D" w:rsidRPr="00D05EA9" w:rsidRDefault="00916A8D" w:rsidP="00916A8D">
      <w:pPr>
        <w:spacing w:line="360" w:lineRule="auto"/>
        <w:contextualSpacing/>
        <w:jc w:val="both"/>
        <w:rPr>
          <w:rFonts w:ascii="Times New Roman" w:eastAsia="Calibri" w:hAnsi="Times New Roman" w:cs="Times New Roman"/>
          <w:sz w:val="24"/>
          <w:szCs w:val="24"/>
        </w:rPr>
      </w:pPr>
    </w:p>
    <w:sectPr w:rsidR="00916A8D" w:rsidRPr="00D05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7088B96"/>
    <w:lvl w:ilvl="0">
      <w:start w:val="1"/>
      <w:numFmt w:val="decimal"/>
      <w:pStyle w:val="Heading1"/>
      <w:lvlText w:val="%1"/>
      <w:legacy w:legacy="1" w:legacySpace="153" w:legacyIndent="0"/>
      <w:lvlJc w:val="left"/>
      <w:rPr>
        <w:rFonts w:ascii="Times New Roman" w:hAnsi="Times New Roman" w:hint="default"/>
        <w:b w:val="0"/>
        <w:i w:val="0"/>
        <w:sz w:val="22"/>
      </w:rPr>
    </w:lvl>
    <w:lvl w:ilvl="1">
      <w:start w:val="1"/>
      <w:numFmt w:val="decimal"/>
      <w:pStyle w:val="Heading2"/>
      <w:lvlText w:val="%1.%2"/>
      <w:legacy w:legacy="1" w:legacySpace="153" w:legacyIndent="0"/>
      <w:lvlJc w:val="left"/>
      <w:pPr>
        <w:ind w:left="0" w:firstLine="0"/>
      </w:pPr>
      <w:rPr>
        <w:rFonts w:ascii="Times New Roman" w:hAnsi="Times New Roman" w:hint="default"/>
        <w:b w:val="0"/>
        <w:i w:val="0"/>
        <w:sz w:val="22"/>
      </w:rPr>
    </w:lvl>
    <w:lvl w:ilvl="2">
      <w:start w:val="1"/>
      <w:numFmt w:val="decimal"/>
      <w:pStyle w:val="Heading3"/>
      <w:lvlText w:val="%1.%2.%3"/>
      <w:legacy w:legacy="1" w:legacySpace="153" w:legacyIndent="0"/>
      <w:lvlJc w:val="left"/>
      <w:pPr>
        <w:ind w:left="0" w:firstLine="0"/>
      </w:pPr>
      <w:rPr>
        <w:rFonts w:ascii="Times New Roman" w:hAnsi="Times New Roman" w:hint="default"/>
        <w:b w:val="0"/>
        <w:i w:val="0"/>
        <w:sz w:val="22"/>
      </w:rPr>
    </w:lvl>
    <w:lvl w:ilvl="3">
      <w:start w:val="1"/>
      <w:numFmt w:val="decimal"/>
      <w:pStyle w:val="Heading4"/>
      <w:lvlText w:val="%1.%2.%3.%4"/>
      <w:legacy w:legacy="1" w:legacySpace="153" w:legacyIndent="0"/>
      <w:lvlJc w:val="left"/>
      <w:pPr>
        <w:ind w:left="0" w:firstLine="0"/>
      </w:pPr>
      <w:rPr>
        <w:rFonts w:ascii="Times New Roman" w:hAnsi="Times New Roman" w:hint="default"/>
        <w:b w:val="0"/>
        <w:i w:val="0"/>
        <w:sz w:val="22"/>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nsid w:val="06FE67E4"/>
    <w:multiLevelType w:val="hybridMultilevel"/>
    <w:tmpl w:val="3960A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F627E8"/>
    <w:multiLevelType w:val="hybridMultilevel"/>
    <w:tmpl w:val="ACFCB5EA"/>
    <w:lvl w:ilvl="0" w:tplc="59E41A6A">
      <w:start w:val="6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DB3D3A"/>
    <w:multiLevelType w:val="hybridMultilevel"/>
    <w:tmpl w:val="1EDE76A0"/>
    <w:lvl w:ilvl="0" w:tplc="0B8E89AC">
      <w:start w:val="64"/>
      <w:numFmt w:val="bullet"/>
      <w:lvlText w:val="-"/>
      <w:lvlJc w:val="left"/>
      <w:pPr>
        <w:ind w:left="720" w:hanging="360"/>
      </w:pPr>
      <w:rPr>
        <w:rFonts w:ascii="Times New Roman" w:eastAsia="Calibri" w:hAnsi="Times New Roman"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C065DF"/>
    <w:multiLevelType w:val="hybridMultilevel"/>
    <w:tmpl w:val="E8C45F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8682A87"/>
    <w:multiLevelType w:val="hybridMultilevel"/>
    <w:tmpl w:val="E160A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FF3D5B"/>
    <w:multiLevelType w:val="hybridMultilevel"/>
    <w:tmpl w:val="74266DEA"/>
    <w:lvl w:ilvl="0" w:tplc="941C9076">
      <w:start w:val="6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1F52C4"/>
    <w:multiLevelType w:val="hybridMultilevel"/>
    <w:tmpl w:val="0518D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42"/>
    <w:rsid w:val="000008F6"/>
    <w:rsid w:val="0000247E"/>
    <w:rsid w:val="00004E7D"/>
    <w:rsid w:val="000057E4"/>
    <w:rsid w:val="0000714B"/>
    <w:rsid w:val="00010777"/>
    <w:rsid w:val="00010CD0"/>
    <w:rsid w:val="00010F74"/>
    <w:rsid w:val="00013324"/>
    <w:rsid w:val="00014F9E"/>
    <w:rsid w:val="000159B3"/>
    <w:rsid w:val="00020048"/>
    <w:rsid w:val="00020319"/>
    <w:rsid w:val="000205AE"/>
    <w:rsid w:val="000206CB"/>
    <w:rsid w:val="00021124"/>
    <w:rsid w:val="00021AE8"/>
    <w:rsid w:val="000235B1"/>
    <w:rsid w:val="00023B01"/>
    <w:rsid w:val="00023B2B"/>
    <w:rsid w:val="000246BE"/>
    <w:rsid w:val="00027676"/>
    <w:rsid w:val="00031CB8"/>
    <w:rsid w:val="00033696"/>
    <w:rsid w:val="00035ACF"/>
    <w:rsid w:val="00036085"/>
    <w:rsid w:val="000400D7"/>
    <w:rsid w:val="000404FD"/>
    <w:rsid w:val="00040BB5"/>
    <w:rsid w:val="00040E6B"/>
    <w:rsid w:val="000421F3"/>
    <w:rsid w:val="000422C0"/>
    <w:rsid w:val="00044217"/>
    <w:rsid w:val="00046745"/>
    <w:rsid w:val="0004679C"/>
    <w:rsid w:val="00050A89"/>
    <w:rsid w:val="0005101D"/>
    <w:rsid w:val="00052901"/>
    <w:rsid w:val="000554C3"/>
    <w:rsid w:val="000565FC"/>
    <w:rsid w:val="00056745"/>
    <w:rsid w:val="00056CE5"/>
    <w:rsid w:val="00057CB2"/>
    <w:rsid w:val="00061730"/>
    <w:rsid w:val="00062150"/>
    <w:rsid w:val="00062472"/>
    <w:rsid w:val="00062A4C"/>
    <w:rsid w:val="00065982"/>
    <w:rsid w:val="0006705E"/>
    <w:rsid w:val="00067980"/>
    <w:rsid w:val="00071996"/>
    <w:rsid w:val="00072E8C"/>
    <w:rsid w:val="0007316C"/>
    <w:rsid w:val="000748D1"/>
    <w:rsid w:val="000757A2"/>
    <w:rsid w:val="000759E7"/>
    <w:rsid w:val="00080555"/>
    <w:rsid w:val="00080B57"/>
    <w:rsid w:val="00081B3E"/>
    <w:rsid w:val="00082929"/>
    <w:rsid w:val="0008573B"/>
    <w:rsid w:val="000874B2"/>
    <w:rsid w:val="00087A9C"/>
    <w:rsid w:val="000916E8"/>
    <w:rsid w:val="00092C3C"/>
    <w:rsid w:val="00093C3B"/>
    <w:rsid w:val="00095691"/>
    <w:rsid w:val="000958A2"/>
    <w:rsid w:val="00096F56"/>
    <w:rsid w:val="000A0AE5"/>
    <w:rsid w:val="000A1FEB"/>
    <w:rsid w:val="000A2DE1"/>
    <w:rsid w:val="000A4E42"/>
    <w:rsid w:val="000A681B"/>
    <w:rsid w:val="000B0648"/>
    <w:rsid w:val="000B1016"/>
    <w:rsid w:val="000B1022"/>
    <w:rsid w:val="000B26EC"/>
    <w:rsid w:val="000B2A29"/>
    <w:rsid w:val="000B3F02"/>
    <w:rsid w:val="000B5C8D"/>
    <w:rsid w:val="000B6859"/>
    <w:rsid w:val="000B7036"/>
    <w:rsid w:val="000B7E5C"/>
    <w:rsid w:val="000C1379"/>
    <w:rsid w:val="000C27B8"/>
    <w:rsid w:val="000C28C3"/>
    <w:rsid w:val="000C40DF"/>
    <w:rsid w:val="000C527A"/>
    <w:rsid w:val="000C78BC"/>
    <w:rsid w:val="000D0B42"/>
    <w:rsid w:val="000D1331"/>
    <w:rsid w:val="000D1BDD"/>
    <w:rsid w:val="000D2F17"/>
    <w:rsid w:val="000D3017"/>
    <w:rsid w:val="000D3E88"/>
    <w:rsid w:val="000D3EEF"/>
    <w:rsid w:val="000D3FAD"/>
    <w:rsid w:val="000D504F"/>
    <w:rsid w:val="000E1FA8"/>
    <w:rsid w:val="000E3330"/>
    <w:rsid w:val="000E54EC"/>
    <w:rsid w:val="000E7C3A"/>
    <w:rsid w:val="000F1350"/>
    <w:rsid w:val="000F1968"/>
    <w:rsid w:val="000F2740"/>
    <w:rsid w:val="000F4E09"/>
    <w:rsid w:val="000F4F24"/>
    <w:rsid w:val="000F799A"/>
    <w:rsid w:val="00100FE9"/>
    <w:rsid w:val="001012A9"/>
    <w:rsid w:val="00103A6D"/>
    <w:rsid w:val="00103F1A"/>
    <w:rsid w:val="00105BD7"/>
    <w:rsid w:val="00110301"/>
    <w:rsid w:val="00110FDC"/>
    <w:rsid w:val="00112697"/>
    <w:rsid w:val="00112CE0"/>
    <w:rsid w:val="00114A97"/>
    <w:rsid w:val="00115AE6"/>
    <w:rsid w:val="00115F40"/>
    <w:rsid w:val="00117405"/>
    <w:rsid w:val="00117C50"/>
    <w:rsid w:val="00117DF9"/>
    <w:rsid w:val="00117E06"/>
    <w:rsid w:val="00121F9B"/>
    <w:rsid w:val="001227B5"/>
    <w:rsid w:val="001279DE"/>
    <w:rsid w:val="00127B43"/>
    <w:rsid w:val="00132D26"/>
    <w:rsid w:val="0013301F"/>
    <w:rsid w:val="0013360E"/>
    <w:rsid w:val="00136880"/>
    <w:rsid w:val="001473C2"/>
    <w:rsid w:val="001478C8"/>
    <w:rsid w:val="00154F0B"/>
    <w:rsid w:val="00155077"/>
    <w:rsid w:val="00156A5F"/>
    <w:rsid w:val="00160687"/>
    <w:rsid w:val="00160CD5"/>
    <w:rsid w:val="00162708"/>
    <w:rsid w:val="00170556"/>
    <w:rsid w:val="0017493D"/>
    <w:rsid w:val="001777D3"/>
    <w:rsid w:val="00182BCD"/>
    <w:rsid w:val="00183E96"/>
    <w:rsid w:val="00184AFF"/>
    <w:rsid w:val="001857B6"/>
    <w:rsid w:val="0019182C"/>
    <w:rsid w:val="001932A8"/>
    <w:rsid w:val="00197E3A"/>
    <w:rsid w:val="001A1E8F"/>
    <w:rsid w:val="001A27A2"/>
    <w:rsid w:val="001A2AED"/>
    <w:rsid w:val="001A67C5"/>
    <w:rsid w:val="001A7915"/>
    <w:rsid w:val="001B0883"/>
    <w:rsid w:val="001B238C"/>
    <w:rsid w:val="001B5E80"/>
    <w:rsid w:val="001B7DB8"/>
    <w:rsid w:val="001C1D07"/>
    <w:rsid w:val="001C4012"/>
    <w:rsid w:val="001C4F63"/>
    <w:rsid w:val="001D18C0"/>
    <w:rsid w:val="001D230A"/>
    <w:rsid w:val="001D4A5B"/>
    <w:rsid w:val="001D679E"/>
    <w:rsid w:val="001E05EF"/>
    <w:rsid w:val="001E2071"/>
    <w:rsid w:val="001E2CB3"/>
    <w:rsid w:val="001E574F"/>
    <w:rsid w:val="001E6731"/>
    <w:rsid w:val="001E7B81"/>
    <w:rsid w:val="001F03F4"/>
    <w:rsid w:val="001F295B"/>
    <w:rsid w:val="001F3F64"/>
    <w:rsid w:val="001F54C0"/>
    <w:rsid w:val="001F6EB9"/>
    <w:rsid w:val="001F7E0F"/>
    <w:rsid w:val="00203986"/>
    <w:rsid w:val="00204014"/>
    <w:rsid w:val="00207EC6"/>
    <w:rsid w:val="00213EB4"/>
    <w:rsid w:val="00215D9F"/>
    <w:rsid w:val="002163E1"/>
    <w:rsid w:val="00216C69"/>
    <w:rsid w:val="00220ACD"/>
    <w:rsid w:val="00221725"/>
    <w:rsid w:val="002221D7"/>
    <w:rsid w:val="00225865"/>
    <w:rsid w:val="00225BC8"/>
    <w:rsid w:val="00230FF3"/>
    <w:rsid w:val="00231255"/>
    <w:rsid w:val="002319E6"/>
    <w:rsid w:val="0023310A"/>
    <w:rsid w:val="002349E9"/>
    <w:rsid w:val="00235F10"/>
    <w:rsid w:val="00236041"/>
    <w:rsid w:val="00236D08"/>
    <w:rsid w:val="002404C0"/>
    <w:rsid w:val="00244C9A"/>
    <w:rsid w:val="00245DB1"/>
    <w:rsid w:val="00250294"/>
    <w:rsid w:val="002522A8"/>
    <w:rsid w:val="00256304"/>
    <w:rsid w:val="00256526"/>
    <w:rsid w:val="002570BB"/>
    <w:rsid w:val="002606B6"/>
    <w:rsid w:val="002645EB"/>
    <w:rsid w:val="002649FB"/>
    <w:rsid w:val="0027038E"/>
    <w:rsid w:val="00270B42"/>
    <w:rsid w:val="002716FC"/>
    <w:rsid w:val="00277E78"/>
    <w:rsid w:val="00280507"/>
    <w:rsid w:val="00280C20"/>
    <w:rsid w:val="002816F1"/>
    <w:rsid w:val="0028210E"/>
    <w:rsid w:val="00284846"/>
    <w:rsid w:val="00287AA0"/>
    <w:rsid w:val="00293D22"/>
    <w:rsid w:val="002947AD"/>
    <w:rsid w:val="00297A54"/>
    <w:rsid w:val="002A034C"/>
    <w:rsid w:val="002A59B5"/>
    <w:rsid w:val="002A66FA"/>
    <w:rsid w:val="002B4E93"/>
    <w:rsid w:val="002B5219"/>
    <w:rsid w:val="002B5C36"/>
    <w:rsid w:val="002B5CEB"/>
    <w:rsid w:val="002C01B9"/>
    <w:rsid w:val="002C021C"/>
    <w:rsid w:val="002C25CA"/>
    <w:rsid w:val="002C29FF"/>
    <w:rsid w:val="002C3267"/>
    <w:rsid w:val="002C5E6F"/>
    <w:rsid w:val="002D07F8"/>
    <w:rsid w:val="002D0961"/>
    <w:rsid w:val="002D0C44"/>
    <w:rsid w:val="002D3054"/>
    <w:rsid w:val="002D36DA"/>
    <w:rsid w:val="002D636A"/>
    <w:rsid w:val="002E0761"/>
    <w:rsid w:val="002E2ABC"/>
    <w:rsid w:val="002E3982"/>
    <w:rsid w:val="002E43DA"/>
    <w:rsid w:val="002E5AB0"/>
    <w:rsid w:val="002E614F"/>
    <w:rsid w:val="002E7DA9"/>
    <w:rsid w:val="002F1868"/>
    <w:rsid w:val="002F392B"/>
    <w:rsid w:val="002F45F4"/>
    <w:rsid w:val="002F591D"/>
    <w:rsid w:val="002F68B7"/>
    <w:rsid w:val="002F7438"/>
    <w:rsid w:val="0030195E"/>
    <w:rsid w:val="00301FE1"/>
    <w:rsid w:val="0030256B"/>
    <w:rsid w:val="003031A2"/>
    <w:rsid w:val="003053D9"/>
    <w:rsid w:val="00312FCF"/>
    <w:rsid w:val="00314DC1"/>
    <w:rsid w:val="00320AC9"/>
    <w:rsid w:val="00322B6D"/>
    <w:rsid w:val="00323279"/>
    <w:rsid w:val="00323353"/>
    <w:rsid w:val="003263B3"/>
    <w:rsid w:val="003279EC"/>
    <w:rsid w:val="00327FCB"/>
    <w:rsid w:val="00330521"/>
    <w:rsid w:val="00333915"/>
    <w:rsid w:val="0033394D"/>
    <w:rsid w:val="003351EF"/>
    <w:rsid w:val="003354D0"/>
    <w:rsid w:val="00340AE7"/>
    <w:rsid w:val="00340BD3"/>
    <w:rsid w:val="00342D04"/>
    <w:rsid w:val="00343107"/>
    <w:rsid w:val="00343B16"/>
    <w:rsid w:val="00345BC0"/>
    <w:rsid w:val="003460A5"/>
    <w:rsid w:val="00346B4A"/>
    <w:rsid w:val="00347FF9"/>
    <w:rsid w:val="003524F2"/>
    <w:rsid w:val="00352527"/>
    <w:rsid w:val="00354070"/>
    <w:rsid w:val="00354E8D"/>
    <w:rsid w:val="00361470"/>
    <w:rsid w:val="0036173A"/>
    <w:rsid w:val="00362374"/>
    <w:rsid w:val="00362B67"/>
    <w:rsid w:val="00363E7C"/>
    <w:rsid w:val="00365173"/>
    <w:rsid w:val="00365502"/>
    <w:rsid w:val="003655A1"/>
    <w:rsid w:val="0036565C"/>
    <w:rsid w:val="00365D3F"/>
    <w:rsid w:val="003718E2"/>
    <w:rsid w:val="0037195F"/>
    <w:rsid w:val="00372BED"/>
    <w:rsid w:val="003802C3"/>
    <w:rsid w:val="00380D71"/>
    <w:rsid w:val="00382007"/>
    <w:rsid w:val="0038289C"/>
    <w:rsid w:val="00383E5E"/>
    <w:rsid w:val="003853BF"/>
    <w:rsid w:val="003872C6"/>
    <w:rsid w:val="0039349E"/>
    <w:rsid w:val="0039448F"/>
    <w:rsid w:val="00395318"/>
    <w:rsid w:val="003961A7"/>
    <w:rsid w:val="0039692E"/>
    <w:rsid w:val="00396F47"/>
    <w:rsid w:val="0039703C"/>
    <w:rsid w:val="003976BE"/>
    <w:rsid w:val="00397C06"/>
    <w:rsid w:val="003A1AE2"/>
    <w:rsid w:val="003A61A7"/>
    <w:rsid w:val="003B1AF1"/>
    <w:rsid w:val="003B2124"/>
    <w:rsid w:val="003B74AD"/>
    <w:rsid w:val="003C1A53"/>
    <w:rsid w:val="003C3690"/>
    <w:rsid w:val="003C6708"/>
    <w:rsid w:val="003C6A05"/>
    <w:rsid w:val="003C7B90"/>
    <w:rsid w:val="003C7BEB"/>
    <w:rsid w:val="003D1BE2"/>
    <w:rsid w:val="003D253E"/>
    <w:rsid w:val="003D3A13"/>
    <w:rsid w:val="003D4A27"/>
    <w:rsid w:val="003D6B98"/>
    <w:rsid w:val="003D7B95"/>
    <w:rsid w:val="003E06DD"/>
    <w:rsid w:val="003E0FF0"/>
    <w:rsid w:val="003E6517"/>
    <w:rsid w:val="003F0812"/>
    <w:rsid w:val="003F351E"/>
    <w:rsid w:val="003F6512"/>
    <w:rsid w:val="0040330B"/>
    <w:rsid w:val="00404066"/>
    <w:rsid w:val="004047FF"/>
    <w:rsid w:val="004100B8"/>
    <w:rsid w:val="00411832"/>
    <w:rsid w:val="00412B10"/>
    <w:rsid w:val="00412F3D"/>
    <w:rsid w:val="0041335C"/>
    <w:rsid w:val="0041409C"/>
    <w:rsid w:val="00414D04"/>
    <w:rsid w:val="00415E87"/>
    <w:rsid w:val="00416683"/>
    <w:rsid w:val="00420875"/>
    <w:rsid w:val="00422330"/>
    <w:rsid w:val="004258B1"/>
    <w:rsid w:val="00426720"/>
    <w:rsid w:val="00426E9D"/>
    <w:rsid w:val="0042769A"/>
    <w:rsid w:val="00427FC7"/>
    <w:rsid w:val="00432CB6"/>
    <w:rsid w:val="004345E7"/>
    <w:rsid w:val="004347A6"/>
    <w:rsid w:val="00437EF1"/>
    <w:rsid w:val="00440272"/>
    <w:rsid w:val="00440C7C"/>
    <w:rsid w:val="00441724"/>
    <w:rsid w:val="0044463D"/>
    <w:rsid w:val="00444986"/>
    <w:rsid w:val="004530B8"/>
    <w:rsid w:val="0045384F"/>
    <w:rsid w:val="00456798"/>
    <w:rsid w:val="0046074B"/>
    <w:rsid w:val="00461042"/>
    <w:rsid w:val="00461DDF"/>
    <w:rsid w:val="004644F5"/>
    <w:rsid w:val="00464668"/>
    <w:rsid w:val="004664F7"/>
    <w:rsid w:val="00466BB3"/>
    <w:rsid w:val="0047099C"/>
    <w:rsid w:val="00473AFA"/>
    <w:rsid w:val="00473DAA"/>
    <w:rsid w:val="00475DF1"/>
    <w:rsid w:val="0048189E"/>
    <w:rsid w:val="00481A56"/>
    <w:rsid w:val="00483E7D"/>
    <w:rsid w:val="00487341"/>
    <w:rsid w:val="00490400"/>
    <w:rsid w:val="00491703"/>
    <w:rsid w:val="00491B8A"/>
    <w:rsid w:val="004927EA"/>
    <w:rsid w:val="00494D93"/>
    <w:rsid w:val="0049547A"/>
    <w:rsid w:val="004957AF"/>
    <w:rsid w:val="0049793C"/>
    <w:rsid w:val="004A2A07"/>
    <w:rsid w:val="004A4F7A"/>
    <w:rsid w:val="004B0182"/>
    <w:rsid w:val="004B0DB2"/>
    <w:rsid w:val="004B437C"/>
    <w:rsid w:val="004B53BE"/>
    <w:rsid w:val="004B6AD3"/>
    <w:rsid w:val="004B6D51"/>
    <w:rsid w:val="004B7221"/>
    <w:rsid w:val="004C060E"/>
    <w:rsid w:val="004C1A1A"/>
    <w:rsid w:val="004C2344"/>
    <w:rsid w:val="004C46AC"/>
    <w:rsid w:val="004C49BF"/>
    <w:rsid w:val="004C5977"/>
    <w:rsid w:val="004C5E7F"/>
    <w:rsid w:val="004C78CE"/>
    <w:rsid w:val="004C7A6E"/>
    <w:rsid w:val="004D2841"/>
    <w:rsid w:val="004E0374"/>
    <w:rsid w:val="004E0DE1"/>
    <w:rsid w:val="004E2371"/>
    <w:rsid w:val="004E3D32"/>
    <w:rsid w:val="004E4B8C"/>
    <w:rsid w:val="004E50D4"/>
    <w:rsid w:val="004F0204"/>
    <w:rsid w:val="004F1B07"/>
    <w:rsid w:val="004F296B"/>
    <w:rsid w:val="004F3B92"/>
    <w:rsid w:val="004F589E"/>
    <w:rsid w:val="004F737C"/>
    <w:rsid w:val="00501325"/>
    <w:rsid w:val="00503650"/>
    <w:rsid w:val="00503659"/>
    <w:rsid w:val="00504A11"/>
    <w:rsid w:val="00505595"/>
    <w:rsid w:val="00506903"/>
    <w:rsid w:val="005200DB"/>
    <w:rsid w:val="005267F2"/>
    <w:rsid w:val="005268B0"/>
    <w:rsid w:val="005270B2"/>
    <w:rsid w:val="00527C91"/>
    <w:rsid w:val="00527FFE"/>
    <w:rsid w:val="00532333"/>
    <w:rsid w:val="005340A0"/>
    <w:rsid w:val="005344EE"/>
    <w:rsid w:val="00534762"/>
    <w:rsid w:val="00535631"/>
    <w:rsid w:val="00537056"/>
    <w:rsid w:val="00540AC5"/>
    <w:rsid w:val="00544AC0"/>
    <w:rsid w:val="00546B56"/>
    <w:rsid w:val="0055598F"/>
    <w:rsid w:val="005566F6"/>
    <w:rsid w:val="00564EB4"/>
    <w:rsid w:val="00565BDB"/>
    <w:rsid w:val="0057042D"/>
    <w:rsid w:val="00570E58"/>
    <w:rsid w:val="005731C1"/>
    <w:rsid w:val="00574365"/>
    <w:rsid w:val="005754AB"/>
    <w:rsid w:val="005754F2"/>
    <w:rsid w:val="00580254"/>
    <w:rsid w:val="005812F7"/>
    <w:rsid w:val="005827CB"/>
    <w:rsid w:val="00583639"/>
    <w:rsid w:val="005A2686"/>
    <w:rsid w:val="005A2A8A"/>
    <w:rsid w:val="005A3EB8"/>
    <w:rsid w:val="005A7384"/>
    <w:rsid w:val="005B12E6"/>
    <w:rsid w:val="005B1BD7"/>
    <w:rsid w:val="005B382F"/>
    <w:rsid w:val="005B61F3"/>
    <w:rsid w:val="005B7AC7"/>
    <w:rsid w:val="005C4D64"/>
    <w:rsid w:val="005C4E35"/>
    <w:rsid w:val="005C53FC"/>
    <w:rsid w:val="005C5F79"/>
    <w:rsid w:val="005C6974"/>
    <w:rsid w:val="005D010F"/>
    <w:rsid w:val="005D3C0C"/>
    <w:rsid w:val="005D53C0"/>
    <w:rsid w:val="005D61CB"/>
    <w:rsid w:val="005D7F2A"/>
    <w:rsid w:val="005D7F3B"/>
    <w:rsid w:val="005E1693"/>
    <w:rsid w:val="005E2B9D"/>
    <w:rsid w:val="005E41D2"/>
    <w:rsid w:val="005F0254"/>
    <w:rsid w:val="005F10C3"/>
    <w:rsid w:val="005F3FA1"/>
    <w:rsid w:val="005F4B85"/>
    <w:rsid w:val="005F5427"/>
    <w:rsid w:val="005F63BB"/>
    <w:rsid w:val="00601E2B"/>
    <w:rsid w:val="00603A04"/>
    <w:rsid w:val="00605EE4"/>
    <w:rsid w:val="0061384D"/>
    <w:rsid w:val="0061425A"/>
    <w:rsid w:val="0061558B"/>
    <w:rsid w:val="00624FD2"/>
    <w:rsid w:val="006262C0"/>
    <w:rsid w:val="00626A5A"/>
    <w:rsid w:val="0063105B"/>
    <w:rsid w:val="006311E1"/>
    <w:rsid w:val="00631ACE"/>
    <w:rsid w:val="006324C2"/>
    <w:rsid w:val="00632F8A"/>
    <w:rsid w:val="00634A98"/>
    <w:rsid w:val="006371E5"/>
    <w:rsid w:val="006413B0"/>
    <w:rsid w:val="006439C4"/>
    <w:rsid w:val="00645308"/>
    <w:rsid w:val="006476D9"/>
    <w:rsid w:val="006506B1"/>
    <w:rsid w:val="006526C2"/>
    <w:rsid w:val="00652DA9"/>
    <w:rsid w:val="00653907"/>
    <w:rsid w:val="00656876"/>
    <w:rsid w:val="00656BB7"/>
    <w:rsid w:val="006571C3"/>
    <w:rsid w:val="006601BD"/>
    <w:rsid w:val="00660E8C"/>
    <w:rsid w:val="006611D0"/>
    <w:rsid w:val="00662A3A"/>
    <w:rsid w:val="00662F2B"/>
    <w:rsid w:val="00663813"/>
    <w:rsid w:val="006646A8"/>
    <w:rsid w:val="006667D4"/>
    <w:rsid w:val="00672F48"/>
    <w:rsid w:val="00673B69"/>
    <w:rsid w:val="00674625"/>
    <w:rsid w:val="00674EE1"/>
    <w:rsid w:val="00675A06"/>
    <w:rsid w:val="00676640"/>
    <w:rsid w:val="00677A7B"/>
    <w:rsid w:val="00681AAC"/>
    <w:rsid w:val="00684670"/>
    <w:rsid w:val="00693AA9"/>
    <w:rsid w:val="006950BA"/>
    <w:rsid w:val="00697184"/>
    <w:rsid w:val="006A03ED"/>
    <w:rsid w:val="006A2474"/>
    <w:rsid w:val="006A3CDC"/>
    <w:rsid w:val="006A5B7D"/>
    <w:rsid w:val="006A65B0"/>
    <w:rsid w:val="006A68D5"/>
    <w:rsid w:val="006A722C"/>
    <w:rsid w:val="006A78EE"/>
    <w:rsid w:val="006B0652"/>
    <w:rsid w:val="006B0C3E"/>
    <w:rsid w:val="006B1D53"/>
    <w:rsid w:val="006B4349"/>
    <w:rsid w:val="006C1125"/>
    <w:rsid w:val="006C498C"/>
    <w:rsid w:val="006C543F"/>
    <w:rsid w:val="006C56F9"/>
    <w:rsid w:val="006C71F6"/>
    <w:rsid w:val="006D00AE"/>
    <w:rsid w:val="006D04EC"/>
    <w:rsid w:val="006D1AC7"/>
    <w:rsid w:val="006D3634"/>
    <w:rsid w:val="006D60F1"/>
    <w:rsid w:val="006D71AF"/>
    <w:rsid w:val="006E14C4"/>
    <w:rsid w:val="006E1C3F"/>
    <w:rsid w:val="006E23B0"/>
    <w:rsid w:val="006E6091"/>
    <w:rsid w:val="006F042D"/>
    <w:rsid w:val="006F078A"/>
    <w:rsid w:val="006F1D9D"/>
    <w:rsid w:val="006F2268"/>
    <w:rsid w:val="00701F10"/>
    <w:rsid w:val="00702021"/>
    <w:rsid w:val="00703A46"/>
    <w:rsid w:val="00704E3A"/>
    <w:rsid w:val="00705F5F"/>
    <w:rsid w:val="0071008E"/>
    <w:rsid w:val="007105FC"/>
    <w:rsid w:val="00720449"/>
    <w:rsid w:val="00721242"/>
    <w:rsid w:val="00721481"/>
    <w:rsid w:val="00722421"/>
    <w:rsid w:val="00723CA4"/>
    <w:rsid w:val="00724971"/>
    <w:rsid w:val="00726496"/>
    <w:rsid w:val="00726532"/>
    <w:rsid w:val="00726D2B"/>
    <w:rsid w:val="00730B47"/>
    <w:rsid w:val="00731768"/>
    <w:rsid w:val="00733D6F"/>
    <w:rsid w:val="00734133"/>
    <w:rsid w:val="0073455F"/>
    <w:rsid w:val="0073635B"/>
    <w:rsid w:val="0074014D"/>
    <w:rsid w:val="007406AC"/>
    <w:rsid w:val="0074104B"/>
    <w:rsid w:val="00741FE9"/>
    <w:rsid w:val="00743EBA"/>
    <w:rsid w:val="00745498"/>
    <w:rsid w:val="007468CF"/>
    <w:rsid w:val="007514CA"/>
    <w:rsid w:val="007519E9"/>
    <w:rsid w:val="0075311E"/>
    <w:rsid w:val="00754EFC"/>
    <w:rsid w:val="00756F13"/>
    <w:rsid w:val="00762C5F"/>
    <w:rsid w:val="00763C34"/>
    <w:rsid w:val="007640FC"/>
    <w:rsid w:val="007651FA"/>
    <w:rsid w:val="007677B9"/>
    <w:rsid w:val="0077190C"/>
    <w:rsid w:val="0077252A"/>
    <w:rsid w:val="00774F0F"/>
    <w:rsid w:val="007764D5"/>
    <w:rsid w:val="0077686C"/>
    <w:rsid w:val="0078541E"/>
    <w:rsid w:val="0078678C"/>
    <w:rsid w:val="00787C30"/>
    <w:rsid w:val="0079267A"/>
    <w:rsid w:val="007932CF"/>
    <w:rsid w:val="00795D7D"/>
    <w:rsid w:val="007960E2"/>
    <w:rsid w:val="007979BF"/>
    <w:rsid w:val="007A0AA3"/>
    <w:rsid w:val="007A3C61"/>
    <w:rsid w:val="007A5333"/>
    <w:rsid w:val="007A5879"/>
    <w:rsid w:val="007B136F"/>
    <w:rsid w:val="007B1834"/>
    <w:rsid w:val="007B21F2"/>
    <w:rsid w:val="007B3F4E"/>
    <w:rsid w:val="007C0357"/>
    <w:rsid w:val="007C09D4"/>
    <w:rsid w:val="007C15CA"/>
    <w:rsid w:val="007C180E"/>
    <w:rsid w:val="007C1E0A"/>
    <w:rsid w:val="007C376D"/>
    <w:rsid w:val="007C56A0"/>
    <w:rsid w:val="007C606D"/>
    <w:rsid w:val="007D0EC4"/>
    <w:rsid w:val="007D395B"/>
    <w:rsid w:val="007E0EF4"/>
    <w:rsid w:val="007E2A8F"/>
    <w:rsid w:val="007E3AFC"/>
    <w:rsid w:val="007F0758"/>
    <w:rsid w:val="007F21E5"/>
    <w:rsid w:val="007F2395"/>
    <w:rsid w:val="008005EA"/>
    <w:rsid w:val="00801522"/>
    <w:rsid w:val="008035EC"/>
    <w:rsid w:val="00805601"/>
    <w:rsid w:val="0081479B"/>
    <w:rsid w:val="00814E94"/>
    <w:rsid w:val="008164F0"/>
    <w:rsid w:val="008167D3"/>
    <w:rsid w:val="0081700F"/>
    <w:rsid w:val="00817C0A"/>
    <w:rsid w:val="00824597"/>
    <w:rsid w:val="00826DC9"/>
    <w:rsid w:val="00827B15"/>
    <w:rsid w:val="0083071D"/>
    <w:rsid w:val="00831BDB"/>
    <w:rsid w:val="00835A72"/>
    <w:rsid w:val="00835C8D"/>
    <w:rsid w:val="00837FF0"/>
    <w:rsid w:val="00842529"/>
    <w:rsid w:val="00842735"/>
    <w:rsid w:val="00842B05"/>
    <w:rsid w:val="00843546"/>
    <w:rsid w:val="0084355F"/>
    <w:rsid w:val="00846045"/>
    <w:rsid w:val="00846E48"/>
    <w:rsid w:val="008476D2"/>
    <w:rsid w:val="00850B26"/>
    <w:rsid w:val="00853BCB"/>
    <w:rsid w:val="0085522F"/>
    <w:rsid w:val="00860B08"/>
    <w:rsid w:val="00861672"/>
    <w:rsid w:val="008655BD"/>
    <w:rsid w:val="00865A34"/>
    <w:rsid w:val="0087226F"/>
    <w:rsid w:val="00872B6C"/>
    <w:rsid w:val="008730B9"/>
    <w:rsid w:val="008763B2"/>
    <w:rsid w:val="00876FCB"/>
    <w:rsid w:val="008776C0"/>
    <w:rsid w:val="0088056B"/>
    <w:rsid w:val="00880F8F"/>
    <w:rsid w:val="00881BF9"/>
    <w:rsid w:val="00882D72"/>
    <w:rsid w:val="008835F0"/>
    <w:rsid w:val="00884941"/>
    <w:rsid w:val="00885816"/>
    <w:rsid w:val="0089188D"/>
    <w:rsid w:val="00894B03"/>
    <w:rsid w:val="00897208"/>
    <w:rsid w:val="00897DA4"/>
    <w:rsid w:val="008A2FDB"/>
    <w:rsid w:val="008A3B1E"/>
    <w:rsid w:val="008A52E8"/>
    <w:rsid w:val="008A5AC2"/>
    <w:rsid w:val="008A7BBA"/>
    <w:rsid w:val="008B0609"/>
    <w:rsid w:val="008B24F8"/>
    <w:rsid w:val="008B35FB"/>
    <w:rsid w:val="008B7131"/>
    <w:rsid w:val="008C0A26"/>
    <w:rsid w:val="008C1018"/>
    <w:rsid w:val="008C2A86"/>
    <w:rsid w:val="008C461C"/>
    <w:rsid w:val="008C48BA"/>
    <w:rsid w:val="008C4B2F"/>
    <w:rsid w:val="008C6230"/>
    <w:rsid w:val="008C747B"/>
    <w:rsid w:val="008C7964"/>
    <w:rsid w:val="008D0F6C"/>
    <w:rsid w:val="008D1560"/>
    <w:rsid w:val="008D183D"/>
    <w:rsid w:val="008D239C"/>
    <w:rsid w:val="008E0215"/>
    <w:rsid w:val="008E27C1"/>
    <w:rsid w:val="008E60A2"/>
    <w:rsid w:val="008E6962"/>
    <w:rsid w:val="008F0674"/>
    <w:rsid w:val="008F0817"/>
    <w:rsid w:val="008F19CA"/>
    <w:rsid w:val="008F4630"/>
    <w:rsid w:val="008F4AB2"/>
    <w:rsid w:val="008F62F7"/>
    <w:rsid w:val="008F7BA0"/>
    <w:rsid w:val="00900B23"/>
    <w:rsid w:val="00900D73"/>
    <w:rsid w:val="00901ED3"/>
    <w:rsid w:val="00902E6E"/>
    <w:rsid w:val="0090446F"/>
    <w:rsid w:val="00904D13"/>
    <w:rsid w:val="0090595C"/>
    <w:rsid w:val="009062BE"/>
    <w:rsid w:val="00907144"/>
    <w:rsid w:val="0090760F"/>
    <w:rsid w:val="00915335"/>
    <w:rsid w:val="00916A8D"/>
    <w:rsid w:val="009217AD"/>
    <w:rsid w:val="00922176"/>
    <w:rsid w:val="00922C1D"/>
    <w:rsid w:val="0092561E"/>
    <w:rsid w:val="009268B6"/>
    <w:rsid w:val="00927C7D"/>
    <w:rsid w:val="00927F8A"/>
    <w:rsid w:val="009303F0"/>
    <w:rsid w:val="00930C8E"/>
    <w:rsid w:val="009318EA"/>
    <w:rsid w:val="00935F27"/>
    <w:rsid w:val="009375BB"/>
    <w:rsid w:val="00937EFF"/>
    <w:rsid w:val="009408E0"/>
    <w:rsid w:val="009412BF"/>
    <w:rsid w:val="009417E0"/>
    <w:rsid w:val="009422E4"/>
    <w:rsid w:val="00950F2E"/>
    <w:rsid w:val="00952225"/>
    <w:rsid w:val="0095373C"/>
    <w:rsid w:val="00953C1B"/>
    <w:rsid w:val="00954145"/>
    <w:rsid w:val="009542CD"/>
    <w:rsid w:val="0095539D"/>
    <w:rsid w:val="00957B47"/>
    <w:rsid w:val="009613E5"/>
    <w:rsid w:val="009648FF"/>
    <w:rsid w:val="00964DFC"/>
    <w:rsid w:val="009652D7"/>
    <w:rsid w:val="0096583D"/>
    <w:rsid w:val="00967B05"/>
    <w:rsid w:val="00967DB9"/>
    <w:rsid w:val="00967FB7"/>
    <w:rsid w:val="009700EF"/>
    <w:rsid w:val="009714C8"/>
    <w:rsid w:val="00971E06"/>
    <w:rsid w:val="00972FA1"/>
    <w:rsid w:val="009746B7"/>
    <w:rsid w:val="00980C57"/>
    <w:rsid w:val="00981A1F"/>
    <w:rsid w:val="00991F3F"/>
    <w:rsid w:val="00992E53"/>
    <w:rsid w:val="0099398D"/>
    <w:rsid w:val="00994507"/>
    <w:rsid w:val="009966B4"/>
    <w:rsid w:val="009A54DF"/>
    <w:rsid w:val="009A67A1"/>
    <w:rsid w:val="009B1215"/>
    <w:rsid w:val="009B3D13"/>
    <w:rsid w:val="009B3D49"/>
    <w:rsid w:val="009B3DB7"/>
    <w:rsid w:val="009B46AA"/>
    <w:rsid w:val="009B50C0"/>
    <w:rsid w:val="009B585E"/>
    <w:rsid w:val="009B7D84"/>
    <w:rsid w:val="009C2AA0"/>
    <w:rsid w:val="009C2BA2"/>
    <w:rsid w:val="009C383D"/>
    <w:rsid w:val="009C3F87"/>
    <w:rsid w:val="009C5911"/>
    <w:rsid w:val="009C78A7"/>
    <w:rsid w:val="009C7F53"/>
    <w:rsid w:val="009D0635"/>
    <w:rsid w:val="009D2A2B"/>
    <w:rsid w:val="009D369A"/>
    <w:rsid w:val="009D3C93"/>
    <w:rsid w:val="009D4020"/>
    <w:rsid w:val="009D554D"/>
    <w:rsid w:val="009D568B"/>
    <w:rsid w:val="009E47E0"/>
    <w:rsid w:val="009E7B2E"/>
    <w:rsid w:val="009E7FB1"/>
    <w:rsid w:val="009F0F97"/>
    <w:rsid w:val="009F3FE2"/>
    <w:rsid w:val="009F4A29"/>
    <w:rsid w:val="009F52BC"/>
    <w:rsid w:val="009F5770"/>
    <w:rsid w:val="009F7220"/>
    <w:rsid w:val="009F7227"/>
    <w:rsid w:val="00A00232"/>
    <w:rsid w:val="00A01486"/>
    <w:rsid w:val="00A015C4"/>
    <w:rsid w:val="00A02325"/>
    <w:rsid w:val="00A02ED1"/>
    <w:rsid w:val="00A03E7F"/>
    <w:rsid w:val="00A04B37"/>
    <w:rsid w:val="00A04E9F"/>
    <w:rsid w:val="00A065D3"/>
    <w:rsid w:val="00A072EE"/>
    <w:rsid w:val="00A102DF"/>
    <w:rsid w:val="00A112E5"/>
    <w:rsid w:val="00A12EA4"/>
    <w:rsid w:val="00A14D7C"/>
    <w:rsid w:val="00A153A8"/>
    <w:rsid w:val="00A155AA"/>
    <w:rsid w:val="00A173B5"/>
    <w:rsid w:val="00A17B0B"/>
    <w:rsid w:val="00A215EF"/>
    <w:rsid w:val="00A229C5"/>
    <w:rsid w:val="00A22EB1"/>
    <w:rsid w:val="00A24052"/>
    <w:rsid w:val="00A24E58"/>
    <w:rsid w:val="00A27CA1"/>
    <w:rsid w:val="00A30CB0"/>
    <w:rsid w:val="00A3416C"/>
    <w:rsid w:val="00A35397"/>
    <w:rsid w:val="00A35CA1"/>
    <w:rsid w:val="00A37B46"/>
    <w:rsid w:val="00A42757"/>
    <w:rsid w:val="00A44F71"/>
    <w:rsid w:val="00A456B9"/>
    <w:rsid w:val="00A46102"/>
    <w:rsid w:val="00A50A87"/>
    <w:rsid w:val="00A55329"/>
    <w:rsid w:val="00A57CEB"/>
    <w:rsid w:val="00A602BE"/>
    <w:rsid w:val="00A63E3A"/>
    <w:rsid w:val="00A67AB7"/>
    <w:rsid w:val="00A75416"/>
    <w:rsid w:val="00A756AA"/>
    <w:rsid w:val="00A7679F"/>
    <w:rsid w:val="00A829F6"/>
    <w:rsid w:val="00A8325B"/>
    <w:rsid w:val="00A83E9E"/>
    <w:rsid w:val="00A84165"/>
    <w:rsid w:val="00A90AC9"/>
    <w:rsid w:val="00A92855"/>
    <w:rsid w:val="00A9389C"/>
    <w:rsid w:val="00A95E4B"/>
    <w:rsid w:val="00A9769F"/>
    <w:rsid w:val="00AA079D"/>
    <w:rsid w:val="00AA1FD3"/>
    <w:rsid w:val="00AA3E52"/>
    <w:rsid w:val="00AA49A3"/>
    <w:rsid w:val="00AA5606"/>
    <w:rsid w:val="00AA5BB3"/>
    <w:rsid w:val="00AA5E3D"/>
    <w:rsid w:val="00AA68CA"/>
    <w:rsid w:val="00AB101C"/>
    <w:rsid w:val="00AB1424"/>
    <w:rsid w:val="00AB1E12"/>
    <w:rsid w:val="00AB338A"/>
    <w:rsid w:val="00AB38BA"/>
    <w:rsid w:val="00AB5971"/>
    <w:rsid w:val="00AB6B02"/>
    <w:rsid w:val="00AC2220"/>
    <w:rsid w:val="00AC4064"/>
    <w:rsid w:val="00AD016A"/>
    <w:rsid w:val="00AD1768"/>
    <w:rsid w:val="00AD250B"/>
    <w:rsid w:val="00AD33EB"/>
    <w:rsid w:val="00AD513E"/>
    <w:rsid w:val="00AD63AA"/>
    <w:rsid w:val="00AD697C"/>
    <w:rsid w:val="00AD7E82"/>
    <w:rsid w:val="00AE045F"/>
    <w:rsid w:val="00AE0AD2"/>
    <w:rsid w:val="00AE26C6"/>
    <w:rsid w:val="00AE40A8"/>
    <w:rsid w:val="00AE5F72"/>
    <w:rsid w:val="00AE7A7F"/>
    <w:rsid w:val="00AF47ED"/>
    <w:rsid w:val="00AF6825"/>
    <w:rsid w:val="00AF7636"/>
    <w:rsid w:val="00B025C1"/>
    <w:rsid w:val="00B05199"/>
    <w:rsid w:val="00B11630"/>
    <w:rsid w:val="00B11D3B"/>
    <w:rsid w:val="00B11E48"/>
    <w:rsid w:val="00B11E65"/>
    <w:rsid w:val="00B12D71"/>
    <w:rsid w:val="00B16093"/>
    <w:rsid w:val="00B254C5"/>
    <w:rsid w:val="00B25E78"/>
    <w:rsid w:val="00B33DA1"/>
    <w:rsid w:val="00B35DD2"/>
    <w:rsid w:val="00B40446"/>
    <w:rsid w:val="00B42365"/>
    <w:rsid w:val="00B43A53"/>
    <w:rsid w:val="00B47ABA"/>
    <w:rsid w:val="00B526EE"/>
    <w:rsid w:val="00B5487B"/>
    <w:rsid w:val="00B57BE4"/>
    <w:rsid w:val="00B60A1F"/>
    <w:rsid w:val="00B664A7"/>
    <w:rsid w:val="00B6669E"/>
    <w:rsid w:val="00B67C49"/>
    <w:rsid w:val="00B72B67"/>
    <w:rsid w:val="00B73A17"/>
    <w:rsid w:val="00B73EDE"/>
    <w:rsid w:val="00B74BCA"/>
    <w:rsid w:val="00B75F96"/>
    <w:rsid w:val="00B7681B"/>
    <w:rsid w:val="00B77E79"/>
    <w:rsid w:val="00B80F82"/>
    <w:rsid w:val="00B81106"/>
    <w:rsid w:val="00B8258F"/>
    <w:rsid w:val="00B82742"/>
    <w:rsid w:val="00B8629D"/>
    <w:rsid w:val="00B86A79"/>
    <w:rsid w:val="00B905E8"/>
    <w:rsid w:val="00B96641"/>
    <w:rsid w:val="00B972BF"/>
    <w:rsid w:val="00BA0E66"/>
    <w:rsid w:val="00BA1911"/>
    <w:rsid w:val="00BA2B35"/>
    <w:rsid w:val="00BA2B42"/>
    <w:rsid w:val="00BA4144"/>
    <w:rsid w:val="00BA5232"/>
    <w:rsid w:val="00BA57D9"/>
    <w:rsid w:val="00BA7A81"/>
    <w:rsid w:val="00BB022B"/>
    <w:rsid w:val="00BB20D0"/>
    <w:rsid w:val="00BB28D6"/>
    <w:rsid w:val="00BB2918"/>
    <w:rsid w:val="00BB45F2"/>
    <w:rsid w:val="00BB5D66"/>
    <w:rsid w:val="00BC08FB"/>
    <w:rsid w:val="00BC1D6E"/>
    <w:rsid w:val="00BC3509"/>
    <w:rsid w:val="00BC424C"/>
    <w:rsid w:val="00BC47C1"/>
    <w:rsid w:val="00BC5832"/>
    <w:rsid w:val="00BC621A"/>
    <w:rsid w:val="00BD07FE"/>
    <w:rsid w:val="00BD12DC"/>
    <w:rsid w:val="00BD21D6"/>
    <w:rsid w:val="00BD2CAF"/>
    <w:rsid w:val="00BD5909"/>
    <w:rsid w:val="00BD69DD"/>
    <w:rsid w:val="00BD6C04"/>
    <w:rsid w:val="00BD7C70"/>
    <w:rsid w:val="00BE095C"/>
    <w:rsid w:val="00BE1431"/>
    <w:rsid w:val="00BE2192"/>
    <w:rsid w:val="00BE252A"/>
    <w:rsid w:val="00BE2BC0"/>
    <w:rsid w:val="00BE3C9C"/>
    <w:rsid w:val="00BE4F01"/>
    <w:rsid w:val="00BE5A5E"/>
    <w:rsid w:val="00BF005F"/>
    <w:rsid w:val="00BF0B39"/>
    <w:rsid w:val="00BF1999"/>
    <w:rsid w:val="00BF47B6"/>
    <w:rsid w:val="00BF4B22"/>
    <w:rsid w:val="00BF76CC"/>
    <w:rsid w:val="00C00698"/>
    <w:rsid w:val="00C02DB8"/>
    <w:rsid w:val="00C04972"/>
    <w:rsid w:val="00C04C43"/>
    <w:rsid w:val="00C05183"/>
    <w:rsid w:val="00C11FA3"/>
    <w:rsid w:val="00C12E8B"/>
    <w:rsid w:val="00C13A0E"/>
    <w:rsid w:val="00C13EC7"/>
    <w:rsid w:val="00C1435C"/>
    <w:rsid w:val="00C15108"/>
    <w:rsid w:val="00C15677"/>
    <w:rsid w:val="00C164D3"/>
    <w:rsid w:val="00C22CB7"/>
    <w:rsid w:val="00C236AE"/>
    <w:rsid w:val="00C24462"/>
    <w:rsid w:val="00C25213"/>
    <w:rsid w:val="00C302DB"/>
    <w:rsid w:val="00C305BA"/>
    <w:rsid w:val="00C305E3"/>
    <w:rsid w:val="00C31781"/>
    <w:rsid w:val="00C31F23"/>
    <w:rsid w:val="00C328EE"/>
    <w:rsid w:val="00C330B7"/>
    <w:rsid w:val="00C3351E"/>
    <w:rsid w:val="00C338CF"/>
    <w:rsid w:val="00C34924"/>
    <w:rsid w:val="00C36707"/>
    <w:rsid w:val="00C42C9F"/>
    <w:rsid w:val="00C430BB"/>
    <w:rsid w:val="00C431F6"/>
    <w:rsid w:val="00C465FA"/>
    <w:rsid w:val="00C47D05"/>
    <w:rsid w:val="00C50CD8"/>
    <w:rsid w:val="00C50EB0"/>
    <w:rsid w:val="00C544A2"/>
    <w:rsid w:val="00C569AD"/>
    <w:rsid w:val="00C570F8"/>
    <w:rsid w:val="00C57415"/>
    <w:rsid w:val="00C57D45"/>
    <w:rsid w:val="00C62A64"/>
    <w:rsid w:val="00C62D3A"/>
    <w:rsid w:val="00C63416"/>
    <w:rsid w:val="00C635A2"/>
    <w:rsid w:val="00C64920"/>
    <w:rsid w:val="00C66684"/>
    <w:rsid w:val="00C7021A"/>
    <w:rsid w:val="00C7082E"/>
    <w:rsid w:val="00C71E3B"/>
    <w:rsid w:val="00C74C5B"/>
    <w:rsid w:val="00C76EC6"/>
    <w:rsid w:val="00C80F69"/>
    <w:rsid w:val="00C81FC0"/>
    <w:rsid w:val="00C833D5"/>
    <w:rsid w:val="00C83ABB"/>
    <w:rsid w:val="00C919CA"/>
    <w:rsid w:val="00C92D6B"/>
    <w:rsid w:val="00C94557"/>
    <w:rsid w:val="00C94CE9"/>
    <w:rsid w:val="00CA03F5"/>
    <w:rsid w:val="00CA2045"/>
    <w:rsid w:val="00CA66E0"/>
    <w:rsid w:val="00CA75BA"/>
    <w:rsid w:val="00CA769B"/>
    <w:rsid w:val="00CB2154"/>
    <w:rsid w:val="00CB2763"/>
    <w:rsid w:val="00CB499D"/>
    <w:rsid w:val="00CB4BA1"/>
    <w:rsid w:val="00CC16DE"/>
    <w:rsid w:val="00CC172F"/>
    <w:rsid w:val="00CC1F39"/>
    <w:rsid w:val="00CC2496"/>
    <w:rsid w:val="00CC27E1"/>
    <w:rsid w:val="00CC7E00"/>
    <w:rsid w:val="00CD3103"/>
    <w:rsid w:val="00CD43BF"/>
    <w:rsid w:val="00CD5E5A"/>
    <w:rsid w:val="00CD5F6F"/>
    <w:rsid w:val="00CD60D9"/>
    <w:rsid w:val="00CD61B8"/>
    <w:rsid w:val="00CD7A0E"/>
    <w:rsid w:val="00CE17B1"/>
    <w:rsid w:val="00CE21A4"/>
    <w:rsid w:val="00CE35BA"/>
    <w:rsid w:val="00CE4902"/>
    <w:rsid w:val="00CE6808"/>
    <w:rsid w:val="00CF2694"/>
    <w:rsid w:val="00CF2932"/>
    <w:rsid w:val="00CF2A57"/>
    <w:rsid w:val="00CF3959"/>
    <w:rsid w:val="00CF3B55"/>
    <w:rsid w:val="00CF404D"/>
    <w:rsid w:val="00CF4454"/>
    <w:rsid w:val="00CF58AF"/>
    <w:rsid w:val="00CF7CB6"/>
    <w:rsid w:val="00D00E31"/>
    <w:rsid w:val="00D03EFB"/>
    <w:rsid w:val="00D04B64"/>
    <w:rsid w:val="00D05EA9"/>
    <w:rsid w:val="00D06740"/>
    <w:rsid w:val="00D06C71"/>
    <w:rsid w:val="00D10C15"/>
    <w:rsid w:val="00D11121"/>
    <w:rsid w:val="00D15917"/>
    <w:rsid w:val="00D26933"/>
    <w:rsid w:val="00D31BB1"/>
    <w:rsid w:val="00D331AC"/>
    <w:rsid w:val="00D3380A"/>
    <w:rsid w:val="00D34BB2"/>
    <w:rsid w:val="00D37963"/>
    <w:rsid w:val="00D40A63"/>
    <w:rsid w:val="00D42853"/>
    <w:rsid w:val="00D429E9"/>
    <w:rsid w:val="00D44440"/>
    <w:rsid w:val="00D464BC"/>
    <w:rsid w:val="00D4676D"/>
    <w:rsid w:val="00D47960"/>
    <w:rsid w:val="00D51BB1"/>
    <w:rsid w:val="00D53D57"/>
    <w:rsid w:val="00D56DCA"/>
    <w:rsid w:val="00D57BA1"/>
    <w:rsid w:val="00D608F8"/>
    <w:rsid w:val="00D62903"/>
    <w:rsid w:val="00D6291E"/>
    <w:rsid w:val="00D63D65"/>
    <w:rsid w:val="00D63E54"/>
    <w:rsid w:val="00D6401B"/>
    <w:rsid w:val="00D6436C"/>
    <w:rsid w:val="00D6540D"/>
    <w:rsid w:val="00D65EF9"/>
    <w:rsid w:val="00D71465"/>
    <w:rsid w:val="00D7292B"/>
    <w:rsid w:val="00D72FEF"/>
    <w:rsid w:val="00D7686F"/>
    <w:rsid w:val="00D77E25"/>
    <w:rsid w:val="00D861DE"/>
    <w:rsid w:val="00D8638C"/>
    <w:rsid w:val="00D909B6"/>
    <w:rsid w:val="00D937B1"/>
    <w:rsid w:val="00D9580D"/>
    <w:rsid w:val="00D95D28"/>
    <w:rsid w:val="00D97E6D"/>
    <w:rsid w:val="00DA03EF"/>
    <w:rsid w:val="00DA1C03"/>
    <w:rsid w:val="00DA2168"/>
    <w:rsid w:val="00DA243A"/>
    <w:rsid w:val="00DA7D87"/>
    <w:rsid w:val="00DB234F"/>
    <w:rsid w:val="00DB2B63"/>
    <w:rsid w:val="00DB453B"/>
    <w:rsid w:val="00DB50DC"/>
    <w:rsid w:val="00DB73CD"/>
    <w:rsid w:val="00DB7E57"/>
    <w:rsid w:val="00DC057B"/>
    <w:rsid w:val="00DC16AE"/>
    <w:rsid w:val="00DC2C8A"/>
    <w:rsid w:val="00DD0AC8"/>
    <w:rsid w:val="00DD0B40"/>
    <w:rsid w:val="00DD1108"/>
    <w:rsid w:val="00DD23D9"/>
    <w:rsid w:val="00DD7AFD"/>
    <w:rsid w:val="00DE465F"/>
    <w:rsid w:val="00DE6B32"/>
    <w:rsid w:val="00DE7B3E"/>
    <w:rsid w:val="00DF0E88"/>
    <w:rsid w:val="00DF27A5"/>
    <w:rsid w:val="00DF3686"/>
    <w:rsid w:val="00DF3EAC"/>
    <w:rsid w:val="00DF6051"/>
    <w:rsid w:val="00E014D0"/>
    <w:rsid w:val="00E0160F"/>
    <w:rsid w:val="00E02197"/>
    <w:rsid w:val="00E11CDB"/>
    <w:rsid w:val="00E131AE"/>
    <w:rsid w:val="00E16DED"/>
    <w:rsid w:val="00E2269D"/>
    <w:rsid w:val="00E248B1"/>
    <w:rsid w:val="00E2568D"/>
    <w:rsid w:val="00E25A69"/>
    <w:rsid w:val="00E2676D"/>
    <w:rsid w:val="00E2691D"/>
    <w:rsid w:val="00E275CF"/>
    <w:rsid w:val="00E27A4E"/>
    <w:rsid w:val="00E27E8A"/>
    <w:rsid w:val="00E31CB5"/>
    <w:rsid w:val="00E33D81"/>
    <w:rsid w:val="00E356A8"/>
    <w:rsid w:val="00E35B0B"/>
    <w:rsid w:val="00E4186B"/>
    <w:rsid w:val="00E47E41"/>
    <w:rsid w:val="00E516BF"/>
    <w:rsid w:val="00E54504"/>
    <w:rsid w:val="00E56825"/>
    <w:rsid w:val="00E57178"/>
    <w:rsid w:val="00E57501"/>
    <w:rsid w:val="00E577B8"/>
    <w:rsid w:val="00E65A17"/>
    <w:rsid w:val="00E70A93"/>
    <w:rsid w:val="00E71865"/>
    <w:rsid w:val="00E7312A"/>
    <w:rsid w:val="00E739A2"/>
    <w:rsid w:val="00E77753"/>
    <w:rsid w:val="00E808A2"/>
    <w:rsid w:val="00E809DF"/>
    <w:rsid w:val="00E81C23"/>
    <w:rsid w:val="00E82A3C"/>
    <w:rsid w:val="00E82EF7"/>
    <w:rsid w:val="00E847E4"/>
    <w:rsid w:val="00E8579F"/>
    <w:rsid w:val="00E9336B"/>
    <w:rsid w:val="00E93B1B"/>
    <w:rsid w:val="00E94335"/>
    <w:rsid w:val="00E9462F"/>
    <w:rsid w:val="00E95B8E"/>
    <w:rsid w:val="00E97C2D"/>
    <w:rsid w:val="00EA08E1"/>
    <w:rsid w:val="00EA36F7"/>
    <w:rsid w:val="00EA4FAC"/>
    <w:rsid w:val="00EA6674"/>
    <w:rsid w:val="00EA67A9"/>
    <w:rsid w:val="00EA6CA7"/>
    <w:rsid w:val="00EA6DD5"/>
    <w:rsid w:val="00EB3E6B"/>
    <w:rsid w:val="00EB594D"/>
    <w:rsid w:val="00EB6180"/>
    <w:rsid w:val="00EB6547"/>
    <w:rsid w:val="00EC0195"/>
    <w:rsid w:val="00EC026F"/>
    <w:rsid w:val="00EC0896"/>
    <w:rsid w:val="00EC22C5"/>
    <w:rsid w:val="00EC3D88"/>
    <w:rsid w:val="00EC4A4B"/>
    <w:rsid w:val="00ED05FD"/>
    <w:rsid w:val="00ED3569"/>
    <w:rsid w:val="00ED5884"/>
    <w:rsid w:val="00ED63DE"/>
    <w:rsid w:val="00ED678B"/>
    <w:rsid w:val="00ED6940"/>
    <w:rsid w:val="00ED770F"/>
    <w:rsid w:val="00EE0689"/>
    <w:rsid w:val="00EE157C"/>
    <w:rsid w:val="00EE1956"/>
    <w:rsid w:val="00EE3DA7"/>
    <w:rsid w:val="00EE76C4"/>
    <w:rsid w:val="00EE790C"/>
    <w:rsid w:val="00EF06F4"/>
    <w:rsid w:val="00EF1BAE"/>
    <w:rsid w:val="00EF4A49"/>
    <w:rsid w:val="00EF5724"/>
    <w:rsid w:val="00EF62E2"/>
    <w:rsid w:val="00EF6749"/>
    <w:rsid w:val="00EF78BC"/>
    <w:rsid w:val="00F018D3"/>
    <w:rsid w:val="00F01AD2"/>
    <w:rsid w:val="00F02C8B"/>
    <w:rsid w:val="00F0535B"/>
    <w:rsid w:val="00F10F51"/>
    <w:rsid w:val="00F13A4C"/>
    <w:rsid w:val="00F13C34"/>
    <w:rsid w:val="00F14E50"/>
    <w:rsid w:val="00F159B7"/>
    <w:rsid w:val="00F20E4A"/>
    <w:rsid w:val="00F24B6F"/>
    <w:rsid w:val="00F25B3A"/>
    <w:rsid w:val="00F26875"/>
    <w:rsid w:val="00F27EA0"/>
    <w:rsid w:val="00F305C6"/>
    <w:rsid w:val="00F31B83"/>
    <w:rsid w:val="00F32282"/>
    <w:rsid w:val="00F37CCA"/>
    <w:rsid w:val="00F406F8"/>
    <w:rsid w:val="00F43116"/>
    <w:rsid w:val="00F43B26"/>
    <w:rsid w:val="00F43FB6"/>
    <w:rsid w:val="00F470FE"/>
    <w:rsid w:val="00F512A4"/>
    <w:rsid w:val="00F5319F"/>
    <w:rsid w:val="00F53C24"/>
    <w:rsid w:val="00F5507D"/>
    <w:rsid w:val="00F55262"/>
    <w:rsid w:val="00F55E8F"/>
    <w:rsid w:val="00F62CA6"/>
    <w:rsid w:val="00F63225"/>
    <w:rsid w:val="00F63B90"/>
    <w:rsid w:val="00F660CC"/>
    <w:rsid w:val="00F71CAC"/>
    <w:rsid w:val="00F74A34"/>
    <w:rsid w:val="00F76B25"/>
    <w:rsid w:val="00F80366"/>
    <w:rsid w:val="00F80C7B"/>
    <w:rsid w:val="00F82A70"/>
    <w:rsid w:val="00F83974"/>
    <w:rsid w:val="00F854E9"/>
    <w:rsid w:val="00F9029E"/>
    <w:rsid w:val="00F92B7B"/>
    <w:rsid w:val="00F93593"/>
    <w:rsid w:val="00F95EDF"/>
    <w:rsid w:val="00FA0036"/>
    <w:rsid w:val="00FA1C7C"/>
    <w:rsid w:val="00FA1F2D"/>
    <w:rsid w:val="00FA2983"/>
    <w:rsid w:val="00FA2C74"/>
    <w:rsid w:val="00FA7FDC"/>
    <w:rsid w:val="00FB0B75"/>
    <w:rsid w:val="00FB1572"/>
    <w:rsid w:val="00FB509D"/>
    <w:rsid w:val="00FB5A0B"/>
    <w:rsid w:val="00FB5FF3"/>
    <w:rsid w:val="00FB7F7A"/>
    <w:rsid w:val="00FC15EE"/>
    <w:rsid w:val="00FC173D"/>
    <w:rsid w:val="00FC25B6"/>
    <w:rsid w:val="00FC50DC"/>
    <w:rsid w:val="00FD0D98"/>
    <w:rsid w:val="00FD1064"/>
    <w:rsid w:val="00FD211D"/>
    <w:rsid w:val="00FD3AB4"/>
    <w:rsid w:val="00FD699A"/>
    <w:rsid w:val="00FD6E8B"/>
    <w:rsid w:val="00FD7AB8"/>
    <w:rsid w:val="00FD7D6E"/>
    <w:rsid w:val="00FE2DE9"/>
    <w:rsid w:val="00FE31A9"/>
    <w:rsid w:val="00FE698E"/>
    <w:rsid w:val="00FF1595"/>
    <w:rsid w:val="00FF425F"/>
    <w:rsid w:val="00FF6375"/>
    <w:rsid w:val="00FF6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w:basedOn w:val="Normal"/>
    <w:next w:val="Normal"/>
    <w:link w:val="Heading1Char"/>
    <w:qFormat/>
    <w:rsid w:val="005267F2"/>
    <w:pPr>
      <w:keepNext/>
      <w:keepLines/>
      <w:numPr>
        <w:numId w:val="3"/>
      </w:numPr>
      <w:suppressAutoHyphens/>
      <w:overflowPunct w:val="0"/>
      <w:autoSpaceDE w:val="0"/>
      <w:autoSpaceDN w:val="0"/>
      <w:adjustRightInd w:val="0"/>
      <w:spacing w:before="480" w:after="240" w:line="240" w:lineRule="exact"/>
      <w:textAlignment w:val="baseline"/>
      <w:outlineLvl w:val="0"/>
    </w:pPr>
    <w:rPr>
      <w:rFonts w:ascii="Times New Roman" w:eastAsia="Times New Roman" w:hAnsi="Times New Roman" w:cs="Times New Roman"/>
      <w:caps/>
      <w:szCs w:val="20"/>
    </w:rPr>
  </w:style>
  <w:style w:type="paragraph" w:styleId="Heading2">
    <w:name w:val="heading 2"/>
    <w:aliases w:val="heading 2"/>
    <w:basedOn w:val="Normal"/>
    <w:next w:val="Normal"/>
    <w:link w:val="Heading2Char"/>
    <w:qFormat/>
    <w:rsid w:val="005267F2"/>
    <w:pPr>
      <w:keepNext/>
      <w:keepLines/>
      <w:numPr>
        <w:ilvl w:val="1"/>
        <w:numId w:val="3"/>
      </w:numPr>
      <w:suppressAutoHyphens/>
      <w:overflowPunct w:val="0"/>
      <w:autoSpaceDE w:val="0"/>
      <w:autoSpaceDN w:val="0"/>
      <w:adjustRightInd w:val="0"/>
      <w:spacing w:before="360" w:after="120" w:line="240" w:lineRule="exact"/>
      <w:textAlignment w:val="baseline"/>
      <w:outlineLvl w:val="1"/>
    </w:pPr>
    <w:rPr>
      <w:rFonts w:ascii="Times New Roman" w:eastAsia="Times New Roman" w:hAnsi="Times New Roman" w:cs="Times New Roman"/>
      <w:i/>
      <w:szCs w:val="20"/>
    </w:rPr>
  </w:style>
  <w:style w:type="paragraph" w:styleId="Heading3">
    <w:name w:val="heading 3"/>
    <w:aliases w:val="heading 3"/>
    <w:basedOn w:val="Normal"/>
    <w:next w:val="Normal"/>
    <w:link w:val="Heading3Char"/>
    <w:qFormat/>
    <w:rsid w:val="005267F2"/>
    <w:pPr>
      <w:keepNext/>
      <w:keepLines/>
      <w:numPr>
        <w:ilvl w:val="2"/>
        <w:numId w:val="3"/>
      </w:numPr>
      <w:overflowPunct w:val="0"/>
      <w:autoSpaceDE w:val="0"/>
      <w:autoSpaceDN w:val="0"/>
      <w:adjustRightInd w:val="0"/>
      <w:spacing w:before="240" w:after="0" w:line="240" w:lineRule="exact"/>
      <w:textAlignment w:val="baseline"/>
      <w:outlineLvl w:val="2"/>
    </w:pPr>
    <w:rPr>
      <w:rFonts w:ascii="Times New Roman" w:eastAsia="Times New Roman" w:hAnsi="Times New Roman" w:cs="Times New Roman"/>
      <w:i/>
      <w:szCs w:val="20"/>
    </w:rPr>
  </w:style>
  <w:style w:type="paragraph" w:styleId="Heading4">
    <w:name w:val="heading 4"/>
    <w:aliases w:val="heading 4"/>
    <w:basedOn w:val="Normal"/>
    <w:next w:val="Normal"/>
    <w:link w:val="Heading4Char"/>
    <w:qFormat/>
    <w:rsid w:val="005267F2"/>
    <w:pPr>
      <w:keepNext/>
      <w:numPr>
        <w:ilvl w:val="3"/>
        <w:numId w:val="3"/>
      </w:numPr>
      <w:overflowPunct w:val="0"/>
      <w:autoSpaceDE w:val="0"/>
      <w:autoSpaceDN w:val="0"/>
      <w:adjustRightInd w:val="0"/>
      <w:spacing w:before="240" w:after="0" w:line="240" w:lineRule="exact"/>
      <w:jc w:val="both"/>
      <w:textAlignment w:val="baseline"/>
      <w:outlineLvl w:val="3"/>
    </w:pPr>
    <w:rPr>
      <w:rFonts w:ascii="Times New Roman" w:eastAsia="Times New Roman" w:hAnsi="Times New Roman" w:cs="Times New Roman"/>
      <w:szCs w:val="20"/>
    </w:rPr>
  </w:style>
  <w:style w:type="paragraph" w:styleId="Heading5">
    <w:name w:val="heading 5"/>
    <w:basedOn w:val="Normal"/>
    <w:next w:val="Normal"/>
    <w:link w:val="Heading5Char"/>
    <w:qFormat/>
    <w:rsid w:val="005267F2"/>
    <w:pPr>
      <w:numPr>
        <w:ilvl w:val="4"/>
        <w:numId w:val="3"/>
      </w:numPr>
      <w:overflowPunct w:val="0"/>
      <w:autoSpaceDE w:val="0"/>
      <w:autoSpaceDN w:val="0"/>
      <w:adjustRightInd w:val="0"/>
      <w:spacing w:before="240" w:after="60" w:line="240" w:lineRule="exact"/>
      <w:jc w:val="both"/>
      <w:textAlignment w:val="baseline"/>
      <w:outlineLvl w:val="4"/>
    </w:pPr>
    <w:rPr>
      <w:rFonts w:ascii="Arial" w:eastAsia="Times New Roman" w:hAnsi="Arial" w:cs="Times New Roman"/>
      <w:szCs w:val="20"/>
    </w:rPr>
  </w:style>
  <w:style w:type="paragraph" w:styleId="Heading6">
    <w:name w:val="heading 6"/>
    <w:basedOn w:val="Normal"/>
    <w:next w:val="Normal"/>
    <w:link w:val="Heading6Char"/>
    <w:qFormat/>
    <w:rsid w:val="005267F2"/>
    <w:pPr>
      <w:numPr>
        <w:ilvl w:val="5"/>
        <w:numId w:val="3"/>
      </w:numPr>
      <w:overflowPunct w:val="0"/>
      <w:autoSpaceDE w:val="0"/>
      <w:autoSpaceDN w:val="0"/>
      <w:adjustRightInd w:val="0"/>
      <w:spacing w:before="240" w:after="60" w:line="240" w:lineRule="exact"/>
      <w:jc w:val="both"/>
      <w:textAlignment w:val="baseline"/>
      <w:outlineLvl w:val="5"/>
    </w:pPr>
    <w:rPr>
      <w:rFonts w:ascii="Arial" w:eastAsia="Times New Roman" w:hAnsi="Arial" w:cs="Times New Roman"/>
      <w:i/>
      <w:szCs w:val="20"/>
    </w:rPr>
  </w:style>
  <w:style w:type="paragraph" w:styleId="Heading7">
    <w:name w:val="heading 7"/>
    <w:basedOn w:val="Normal"/>
    <w:next w:val="Normal"/>
    <w:link w:val="Heading7Char"/>
    <w:qFormat/>
    <w:rsid w:val="005267F2"/>
    <w:pPr>
      <w:numPr>
        <w:ilvl w:val="6"/>
        <w:numId w:val="3"/>
      </w:numPr>
      <w:overflowPunct w:val="0"/>
      <w:autoSpaceDE w:val="0"/>
      <w:autoSpaceDN w:val="0"/>
      <w:adjustRightInd w:val="0"/>
      <w:spacing w:before="240" w:after="60" w:line="240" w:lineRule="exact"/>
      <w:jc w:val="both"/>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267F2"/>
    <w:pPr>
      <w:numPr>
        <w:ilvl w:val="7"/>
        <w:numId w:val="3"/>
      </w:numPr>
      <w:overflowPunct w:val="0"/>
      <w:autoSpaceDE w:val="0"/>
      <w:autoSpaceDN w:val="0"/>
      <w:adjustRightInd w:val="0"/>
      <w:spacing w:before="240" w:after="60" w:line="240" w:lineRule="exact"/>
      <w:jc w:val="both"/>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267F2"/>
    <w:pPr>
      <w:numPr>
        <w:ilvl w:val="8"/>
        <w:numId w:val="3"/>
      </w:numPr>
      <w:overflowPunct w:val="0"/>
      <w:autoSpaceDE w:val="0"/>
      <w:autoSpaceDN w:val="0"/>
      <w:adjustRightInd w:val="0"/>
      <w:spacing w:before="240" w:after="60" w:line="240" w:lineRule="exact"/>
      <w:jc w:val="both"/>
      <w:textAlignment w:val="baseline"/>
      <w:outlineLvl w:val="8"/>
    </w:pPr>
    <w:rPr>
      <w:rFonts w:ascii="Arial" w:eastAsia="Times New Roman" w:hAnsi="Arial" w:cs="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List-Accent2">
    <w:name w:val="Colorful List Accent 2"/>
    <w:basedOn w:val="TableNormal"/>
    <w:uiPriority w:val="72"/>
    <w:rsid w:val="00E56825"/>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BalloonText">
    <w:name w:val="Balloon Text"/>
    <w:basedOn w:val="Normal"/>
    <w:link w:val="BalloonTextChar"/>
    <w:uiPriority w:val="99"/>
    <w:semiHidden/>
    <w:unhideWhenUsed/>
    <w:rsid w:val="005D6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1CB"/>
    <w:rPr>
      <w:rFonts w:ascii="Tahoma" w:hAnsi="Tahoma" w:cs="Tahoma"/>
      <w:sz w:val="16"/>
      <w:szCs w:val="16"/>
    </w:rPr>
  </w:style>
  <w:style w:type="character" w:customStyle="1" w:styleId="Heading1Char">
    <w:name w:val="Heading 1 Char"/>
    <w:aliases w:val="heading 1 Char"/>
    <w:basedOn w:val="DefaultParagraphFont"/>
    <w:link w:val="Heading1"/>
    <w:rsid w:val="005267F2"/>
    <w:rPr>
      <w:rFonts w:ascii="Times New Roman" w:eastAsia="Times New Roman" w:hAnsi="Times New Roman" w:cs="Times New Roman"/>
      <w:caps/>
      <w:szCs w:val="20"/>
    </w:rPr>
  </w:style>
  <w:style w:type="character" w:customStyle="1" w:styleId="Heading2Char">
    <w:name w:val="Heading 2 Char"/>
    <w:aliases w:val="heading 2 Char"/>
    <w:basedOn w:val="DefaultParagraphFont"/>
    <w:link w:val="Heading2"/>
    <w:rsid w:val="005267F2"/>
    <w:rPr>
      <w:rFonts w:ascii="Times New Roman" w:eastAsia="Times New Roman" w:hAnsi="Times New Roman" w:cs="Times New Roman"/>
      <w:i/>
      <w:szCs w:val="20"/>
    </w:rPr>
  </w:style>
  <w:style w:type="character" w:customStyle="1" w:styleId="Heading3Char">
    <w:name w:val="Heading 3 Char"/>
    <w:aliases w:val="heading 3 Char"/>
    <w:basedOn w:val="DefaultParagraphFont"/>
    <w:link w:val="Heading3"/>
    <w:rsid w:val="005267F2"/>
    <w:rPr>
      <w:rFonts w:ascii="Times New Roman" w:eastAsia="Times New Roman" w:hAnsi="Times New Roman" w:cs="Times New Roman"/>
      <w:i/>
      <w:szCs w:val="20"/>
    </w:rPr>
  </w:style>
  <w:style w:type="character" w:customStyle="1" w:styleId="Heading4Char">
    <w:name w:val="Heading 4 Char"/>
    <w:aliases w:val="heading 4 Char"/>
    <w:basedOn w:val="DefaultParagraphFont"/>
    <w:link w:val="Heading4"/>
    <w:rsid w:val="005267F2"/>
    <w:rPr>
      <w:rFonts w:ascii="Times New Roman" w:eastAsia="Times New Roman" w:hAnsi="Times New Roman" w:cs="Times New Roman"/>
      <w:szCs w:val="20"/>
    </w:rPr>
  </w:style>
  <w:style w:type="character" w:customStyle="1" w:styleId="Heading5Char">
    <w:name w:val="Heading 5 Char"/>
    <w:basedOn w:val="DefaultParagraphFont"/>
    <w:link w:val="Heading5"/>
    <w:rsid w:val="005267F2"/>
    <w:rPr>
      <w:rFonts w:ascii="Arial" w:eastAsia="Times New Roman" w:hAnsi="Arial" w:cs="Times New Roman"/>
      <w:szCs w:val="20"/>
    </w:rPr>
  </w:style>
  <w:style w:type="character" w:customStyle="1" w:styleId="Heading6Char">
    <w:name w:val="Heading 6 Char"/>
    <w:basedOn w:val="DefaultParagraphFont"/>
    <w:link w:val="Heading6"/>
    <w:rsid w:val="005267F2"/>
    <w:rPr>
      <w:rFonts w:ascii="Arial" w:eastAsia="Times New Roman" w:hAnsi="Arial" w:cs="Times New Roman"/>
      <w:i/>
      <w:szCs w:val="20"/>
    </w:rPr>
  </w:style>
  <w:style w:type="character" w:customStyle="1" w:styleId="Heading7Char">
    <w:name w:val="Heading 7 Char"/>
    <w:basedOn w:val="DefaultParagraphFont"/>
    <w:link w:val="Heading7"/>
    <w:rsid w:val="005267F2"/>
    <w:rPr>
      <w:rFonts w:ascii="Arial" w:eastAsia="Times New Roman" w:hAnsi="Arial" w:cs="Times New Roman"/>
      <w:sz w:val="20"/>
      <w:szCs w:val="20"/>
    </w:rPr>
  </w:style>
  <w:style w:type="character" w:customStyle="1" w:styleId="Heading8Char">
    <w:name w:val="Heading 8 Char"/>
    <w:basedOn w:val="DefaultParagraphFont"/>
    <w:link w:val="Heading8"/>
    <w:rsid w:val="005267F2"/>
    <w:rPr>
      <w:rFonts w:ascii="Arial" w:eastAsia="Times New Roman" w:hAnsi="Arial" w:cs="Times New Roman"/>
      <w:i/>
      <w:sz w:val="20"/>
      <w:szCs w:val="20"/>
    </w:rPr>
  </w:style>
  <w:style w:type="character" w:customStyle="1" w:styleId="Heading9Char">
    <w:name w:val="Heading 9 Char"/>
    <w:basedOn w:val="DefaultParagraphFont"/>
    <w:link w:val="Heading9"/>
    <w:rsid w:val="005267F2"/>
    <w:rPr>
      <w:rFonts w:ascii="Arial" w:eastAsia="Times New Roman" w:hAnsi="Arial" w:cs="Times New Roman"/>
      <w:i/>
      <w:szCs w:val="20"/>
    </w:rPr>
  </w:style>
  <w:style w:type="paragraph" w:styleId="ListParagraph">
    <w:name w:val="List Paragraph"/>
    <w:basedOn w:val="Normal"/>
    <w:uiPriority w:val="34"/>
    <w:qFormat/>
    <w:rsid w:val="002C021C"/>
    <w:pPr>
      <w:ind w:left="720"/>
      <w:contextualSpacing/>
    </w:pPr>
  </w:style>
  <w:style w:type="paragraph" w:customStyle="1" w:styleId="Default">
    <w:name w:val="Default"/>
    <w:rsid w:val="00365D3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ColorfulList-Accent21">
    <w:name w:val="Colorful List - Accent 21"/>
    <w:basedOn w:val="TableNormal"/>
    <w:next w:val="ColorfulList-Accent2"/>
    <w:uiPriority w:val="72"/>
    <w:rsid w:val="00D97E6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ghtList-Accent1">
    <w:name w:val="Light List Accent 1"/>
    <w:basedOn w:val="TableNormal"/>
    <w:uiPriority w:val="61"/>
    <w:rsid w:val="00D97E6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A75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052"/>
    <w:rPr>
      <w:color w:val="0000FF" w:themeColor="hyperlink"/>
      <w:u w:val="single"/>
    </w:rPr>
  </w:style>
  <w:style w:type="paragraph" w:customStyle="1" w:styleId="References">
    <w:name w:val="References"/>
    <w:basedOn w:val="Normal"/>
    <w:link w:val="ReferencesChar"/>
    <w:qFormat/>
    <w:rsid w:val="008A7BBA"/>
    <w:pPr>
      <w:keepLines/>
      <w:spacing w:after="120" w:line="240" w:lineRule="auto"/>
      <w:ind w:left="720" w:hanging="720"/>
    </w:pPr>
    <w:rPr>
      <w:rFonts w:ascii="Times New Roman" w:eastAsia="Times New Roman" w:hAnsi="Times New Roman" w:cs="Times New Roman"/>
      <w:szCs w:val="20"/>
    </w:rPr>
  </w:style>
  <w:style w:type="character" w:customStyle="1" w:styleId="ReferencesChar">
    <w:name w:val="References Char"/>
    <w:link w:val="References"/>
    <w:rsid w:val="008A7BBA"/>
    <w:rPr>
      <w:rFonts w:ascii="Times New Roman" w:eastAsia="Times New Roman" w:hAnsi="Times New Roman" w:cs="Times New Roman"/>
      <w:szCs w:val="20"/>
    </w:rPr>
  </w:style>
  <w:style w:type="paragraph" w:customStyle="1" w:styleId="Tabletitle">
    <w:name w:val="Table title"/>
    <w:basedOn w:val="Normal"/>
    <w:next w:val="Normal"/>
    <w:qFormat/>
    <w:rsid w:val="00BD2CAF"/>
    <w:pPr>
      <w:spacing w:before="240" w:after="0" w:line="360" w:lineRule="auto"/>
    </w:pPr>
    <w:rPr>
      <w:rFonts w:ascii="Times New Roman" w:eastAsia="Times New Roman" w:hAnsi="Times New Roman" w:cs="Times New Roman"/>
      <w:sz w:val="24"/>
      <w:szCs w:val="24"/>
      <w:lang w:eastAsia="en-GB"/>
    </w:rPr>
  </w:style>
  <w:style w:type="paragraph" w:customStyle="1" w:styleId="Newparagraph">
    <w:name w:val="New paragraph"/>
    <w:basedOn w:val="Normal"/>
    <w:qFormat/>
    <w:rsid w:val="00BD2CAF"/>
    <w:pPr>
      <w:spacing w:after="0" w:line="480" w:lineRule="auto"/>
      <w:ind w:firstLine="720"/>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w:basedOn w:val="Normal"/>
    <w:next w:val="Normal"/>
    <w:link w:val="Heading1Char"/>
    <w:qFormat/>
    <w:rsid w:val="005267F2"/>
    <w:pPr>
      <w:keepNext/>
      <w:keepLines/>
      <w:numPr>
        <w:numId w:val="3"/>
      </w:numPr>
      <w:suppressAutoHyphens/>
      <w:overflowPunct w:val="0"/>
      <w:autoSpaceDE w:val="0"/>
      <w:autoSpaceDN w:val="0"/>
      <w:adjustRightInd w:val="0"/>
      <w:spacing w:before="480" w:after="240" w:line="240" w:lineRule="exact"/>
      <w:textAlignment w:val="baseline"/>
      <w:outlineLvl w:val="0"/>
    </w:pPr>
    <w:rPr>
      <w:rFonts w:ascii="Times New Roman" w:eastAsia="Times New Roman" w:hAnsi="Times New Roman" w:cs="Times New Roman"/>
      <w:caps/>
      <w:szCs w:val="20"/>
    </w:rPr>
  </w:style>
  <w:style w:type="paragraph" w:styleId="Heading2">
    <w:name w:val="heading 2"/>
    <w:aliases w:val="heading 2"/>
    <w:basedOn w:val="Normal"/>
    <w:next w:val="Normal"/>
    <w:link w:val="Heading2Char"/>
    <w:qFormat/>
    <w:rsid w:val="005267F2"/>
    <w:pPr>
      <w:keepNext/>
      <w:keepLines/>
      <w:numPr>
        <w:ilvl w:val="1"/>
        <w:numId w:val="3"/>
      </w:numPr>
      <w:suppressAutoHyphens/>
      <w:overflowPunct w:val="0"/>
      <w:autoSpaceDE w:val="0"/>
      <w:autoSpaceDN w:val="0"/>
      <w:adjustRightInd w:val="0"/>
      <w:spacing w:before="360" w:after="120" w:line="240" w:lineRule="exact"/>
      <w:textAlignment w:val="baseline"/>
      <w:outlineLvl w:val="1"/>
    </w:pPr>
    <w:rPr>
      <w:rFonts w:ascii="Times New Roman" w:eastAsia="Times New Roman" w:hAnsi="Times New Roman" w:cs="Times New Roman"/>
      <w:i/>
      <w:szCs w:val="20"/>
    </w:rPr>
  </w:style>
  <w:style w:type="paragraph" w:styleId="Heading3">
    <w:name w:val="heading 3"/>
    <w:aliases w:val="heading 3"/>
    <w:basedOn w:val="Normal"/>
    <w:next w:val="Normal"/>
    <w:link w:val="Heading3Char"/>
    <w:qFormat/>
    <w:rsid w:val="005267F2"/>
    <w:pPr>
      <w:keepNext/>
      <w:keepLines/>
      <w:numPr>
        <w:ilvl w:val="2"/>
        <w:numId w:val="3"/>
      </w:numPr>
      <w:overflowPunct w:val="0"/>
      <w:autoSpaceDE w:val="0"/>
      <w:autoSpaceDN w:val="0"/>
      <w:adjustRightInd w:val="0"/>
      <w:spacing w:before="240" w:after="0" w:line="240" w:lineRule="exact"/>
      <w:textAlignment w:val="baseline"/>
      <w:outlineLvl w:val="2"/>
    </w:pPr>
    <w:rPr>
      <w:rFonts w:ascii="Times New Roman" w:eastAsia="Times New Roman" w:hAnsi="Times New Roman" w:cs="Times New Roman"/>
      <w:i/>
      <w:szCs w:val="20"/>
    </w:rPr>
  </w:style>
  <w:style w:type="paragraph" w:styleId="Heading4">
    <w:name w:val="heading 4"/>
    <w:aliases w:val="heading 4"/>
    <w:basedOn w:val="Normal"/>
    <w:next w:val="Normal"/>
    <w:link w:val="Heading4Char"/>
    <w:qFormat/>
    <w:rsid w:val="005267F2"/>
    <w:pPr>
      <w:keepNext/>
      <w:numPr>
        <w:ilvl w:val="3"/>
        <w:numId w:val="3"/>
      </w:numPr>
      <w:overflowPunct w:val="0"/>
      <w:autoSpaceDE w:val="0"/>
      <w:autoSpaceDN w:val="0"/>
      <w:adjustRightInd w:val="0"/>
      <w:spacing w:before="240" w:after="0" w:line="240" w:lineRule="exact"/>
      <w:jc w:val="both"/>
      <w:textAlignment w:val="baseline"/>
      <w:outlineLvl w:val="3"/>
    </w:pPr>
    <w:rPr>
      <w:rFonts w:ascii="Times New Roman" w:eastAsia="Times New Roman" w:hAnsi="Times New Roman" w:cs="Times New Roman"/>
      <w:szCs w:val="20"/>
    </w:rPr>
  </w:style>
  <w:style w:type="paragraph" w:styleId="Heading5">
    <w:name w:val="heading 5"/>
    <w:basedOn w:val="Normal"/>
    <w:next w:val="Normal"/>
    <w:link w:val="Heading5Char"/>
    <w:qFormat/>
    <w:rsid w:val="005267F2"/>
    <w:pPr>
      <w:numPr>
        <w:ilvl w:val="4"/>
        <w:numId w:val="3"/>
      </w:numPr>
      <w:overflowPunct w:val="0"/>
      <w:autoSpaceDE w:val="0"/>
      <w:autoSpaceDN w:val="0"/>
      <w:adjustRightInd w:val="0"/>
      <w:spacing w:before="240" w:after="60" w:line="240" w:lineRule="exact"/>
      <w:jc w:val="both"/>
      <w:textAlignment w:val="baseline"/>
      <w:outlineLvl w:val="4"/>
    </w:pPr>
    <w:rPr>
      <w:rFonts w:ascii="Arial" w:eastAsia="Times New Roman" w:hAnsi="Arial" w:cs="Times New Roman"/>
      <w:szCs w:val="20"/>
    </w:rPr>
  </w:style>
  <w:style w:type="paragraph" w:styleId="Heading6">
    <w:name w:val="heading 6"/>
    <w:basedOn w:val="Normal"/>
    <w:next w:val="Normal"/>
    <w:link w:val="Heading6Char"/>
    <w:qFormat/>
    <w:rsid w:val="005267F2"/>
    <w:pPr>
      <w:numPr>
        <w:ilvl w:val="5"/>
        <w:numId w:val="3"/>
      </w:numPr>
      <w:overflowPunct w:val="0"/>
      <w:autoSpaceDE w:val="0"/>
      <w:autoSpaceDN w:val="0"/>
      <w:adjustRightInd w:val="0"/>
      <w:spacing w:before="240" w:after="60" w:line="240" w:lineRule="exact"/>
      <w:jc w:val="both"/>
      <w:textAlignment w:val="baseline"/>
      <w:outlineLvl w:val="5"/>
    </w:pPr>
    <w:rPr>
      <w:rFonts w:ascii="Arial" w:eastAsia="Times New Roman" w:hAnsi="Arial" w:cs="Times New Roman"/>
      <w:i/>
      <w:szCs w:val="20"/>
    </w:rPr>
  </w:style>
  <w:style w:type="paragraph" w:styleId="Heading7">
    <w:name w:val="heading 7"/>
    <w:basedOn w:val="Normal"/>
    <w:next w:val="Normal"/>
    <w:link w:val="Heading7Char"/>
    <w:qFormat/>
    <w:rsid w:val="005267F2"/>
    <w:pPr>
      <w:numPr>
        <w:ilvl w:val="6"/>
        <w:numId w:val="3"/>
      </w:numPr>
      <w:overflowPunct w:val="0"/>
      <w:autoSpaceDE w:val="0"/>
      <w:autoSpaceDN w:val="0"/>
      <w:adjustRightInd w:val="0"/>
      <w:spacing w:before="240" w:after="60" w:line="240" w:lineRule="exact"/>
      <w:jc w:val="both"/>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267F2"/>
    <w:pPr>
      <w:numPr>
        <w:ilvl w:val="7"/>
        <w:numId w:val="3"/>
      </w:numPr>
      <w:overflowPunct w:val="0"/>
      <w:autoSpaceDE w:val="0"/>
      <w:autoSpaceDN w:val="0"/>
      <w:adjustRightInd w:val="0"/>
      <w:spacing w:before="240" w:after="60" w:line="240" w:lineRule="exact"/>
      <w:jc w:val="both"/>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267F2"/>
    <w:pPr>
      <w:numPr>
        <w:ilvl w:val="8"/>
        <w:numId w:val="3"/>
      </w:numPr>
      <w:overflowPunct w:val="0"/>
      <w:autoSpaceDE w:val="0"/>
      <w:autoSpaceDN w:val="0"/>
      <w:adjustRightInd w:val="0"/>
      <w:spacing w:before="240" w:after="60" w:line="240" w:lineRule="exact"/>
      <w:jc w:val="both"/>
      <w:textAlignment w:val="baseline"/>
      <w:outlineLvl w:val="8"/>
    </w:pPr>
    <w:rPr>
      <w:rFonts w:ascii="Arial" w:eastAsia="Times New Roman" w:hAnsi="Arial" w:cs="Times New Roman"/>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List-Accent2">
    <w:name w:val="Colorful List Accent 2"/>
    <w:basedOn w:val="TableNormal"/>
    <w:uiPriority w:val="72"/>
    <w:rsid w:val="00E56825"/>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BalloonText">
    <w:name w:val="Balloon Text"/>
    <w:basedOn w:val="Normal"/>
    <w:link w:val="BalloonTextChar"/>
    <w:uiPriority w:val="99"/>
    <w:semiHidden/>
    <w:unhideWhenUsed/>
    <w:rsid w:val="005D6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1CB"/>
    <w:rPr>
      <w:rFonts w:ascii="Tahoma" w:hAnsi="Tahoma" w:cs="Tahoma"/>
      <w:sz w:val="16"/>
      <w:szCs w:val="16"/>
    </w:rPr>
  </w:style>
  <w:style w:type="character" w:customStyle="1" w:styleId="Heading1Char">
    <w:name w:val="Heading 1 Char"/>
    <w:aliases w:val="heading 1 Char"/>
    <w:basedOn w:val="DefaultParagraphFont"/>
    <w:link w:val="Heading1"/>
    <w:rsid w:val="005267F2"/>
    <w:rPr>
      <w:rFonts w:ascii="Times New Roman" w:eastAsia="Times New Roman" w:hAnsi="Times New Roman" w:cs="Times New Roman"/>
      <w:caps/>
      <w:szCs w:val="20"/>
    </w:rPr>
  </w:style>
  <w:style w:type="character" w:customStyle="1" w:styleId="Heading2Char">
    <w:name w:val="Heading 2 Char"/>
    <w:aliases w:val="heading 2 Char"/>
    <w:basedOn w:val="DefaultParagraphFont"/>
    <w:link w:val="Heading2"/>
    <w:rsid w:val="005267F2"/>
    <w:rPr>
      <w:rFonts w:ascii="Times New Roman" w:eastAsia="Times New Roman" w:hAnsi="Times New Roman" w:cs="Times New Roman"/>
      <w:i/>
      <w:szCs w:val="20"/>
    </w:rPr>
  </w:style>
  <w:style w:type="character" w:customStyle="1" w:styleId="Heading3Char">
    <w:name w:val="Heading 3 Char"/>
    <w:aliases w:val="heading 3 Char"/>
    <w:basedOn w:val="DefaultParagraphFont"/>
    <w:link w:val="Heading3"/>
    <w:rsid w:val="005267F2"/>
    <w:rPr>
      <w:rFonts w:ascii="Times New Roman" w:eastAsia="Times New Roman" w:hAnsi="Times New Roman" w:cs="Times New Roman"/>
      <w:i/>
      <w:szCs w:val="20"/>
    </w:rPr>
  </w:style>
  <w:style w:type="character" w:customStyle="1" w:styleId="Heading4Char">
    <w:name w:val="Heading 4 Char"/>
    <w:aliases w:val="heading 4 Char"/>
    <w:basedOn w:val="DefaultParagraphFont"/>
    <w:link w:val="Heading4"/>
    <w:rsid w:val="005267F2"/>
    <w:rPr>
      <w:rFonts w:ascii="Times New Roman" w:eastAsia="Times New Roman" w:hAnsi="Times New Roman" w:cs="Times New Roman"/>
      <w:szCs w:val="20"/>
    </w:rPr>
  </w:style>
  <w:style w:type="character" w:customStyle="1" w:styleId="Heading5Char">
    <w:name w:val="Heading 5 Char"/>
    <w:basedOn w:val="DefaultParagraphFont"/>
    <w:link w:val="Heading5"/>
    <w:rsid w:val="005267F2"/>
    <w:rPr>
      <w:rFonts w:ascii="Arial" w:eastAsia="Times New Roman" w:hAnsi="Arial" w:cs="Times New Roman"/>
      <w:szCs w:val="20"/>
    </w:rPr>
  </w:style>
  <w:style w:type="character" w:customStyle="1" w:styleId="Heading6Char">
    <w:name w:val="Heading 6 Char"/>
    <w:basedOn w:val="DefaultParagraphFont"/>
    <w:link w:val="Heading6"/>
    <w:rsid w:val="005267F2"/>
    <w:rPr>
      <w:rFonts w:ascii="Arial" w:eastAsia="Times New Roman" w:hAnsi="Arial" w:cs="Times New Roman"/>
      <w:i/>
      <w:szCs w:val="20"/>
    </w:rPr>
  </w:style>
  <w:style w:type="character" w:customStyle="1" w:styleId="Heading7Char">
    <w:name w:val="Heading 7 Char"/>
    <w:basedOn w:val="DefaultParagraphFont"/>
    <w:link w:val="Heading7"/>
    <w:rsid w:val="005267F2"/>
    <w:rPr>
      <w:rFonts w:ascii="Arial" w:eastAsia="Times New Roman" w:hAnsi="Arial" w:cs="Times New Roman"/>
      <w:sz w:val="20"/>
      <w:szCs w:val="20"/>
    </w:rPr>
  </w:style>
  <w:style w:type="character" w:customStyle="1" w:styleId="Heading8Char">
    <w:name w:val="Heading 8 Char"/>
    <w:basedOn w:val="DefaultParagraphFont"/>
    <w:link w:val="Heading8"/>
    <w:rsid w:val="005267F2"/>
    <w:rPr>
      <w:rFonts w:ascii="Arial" w:eastAsia="Times New Roman" w:hAnsi="Arial" w:cs="Times New Roman"/>
      <w:i/>
      <w:sz w:val="20"/>
      <w:szCs w:val="20"/>
    </w:rPr>
  </w:style>
  <w:style w:type="character" w:customStyle="1" w:styleId="Heading9Char">
    <w:name w:val="Heading 9 Char"/>
    <w:basedOn w:val="DefaultParagraphFont"/>
    <w:link w:val="Heading9"/>
    <w:rsid w:val="005267F2"/>
    <w:rPr>
      <w:rFonts w:ascii="Arial" w:eastAsia="Times New Roman" w:hAnsi="Arial" w:cs="Times New Roman"/>
      <w:i/>
      <w:szCs w:val="20"/>
    </w:rPr>
  </w:style>
  <w:style w:type="paragraph" w:styleId="ListParagraph">
    <w:name w:val="List Paragraph"/>
    <w:basedOn w:val="Normal"/>
    <w:uiPriority w:val="34"/>
    <w:qFormat/>
    <w:rsid w:val="002C021C"/>
    <w:pPr>
      <w:ind w:left="720"/>
      <w:contextualSpacing/>
    </w:pPr>
  </w:style>
  <w:style w:type="paragraph" w:customStyle="1" w:styleId="Default">
    <w:name w:val="Default"/>
    <w:rsid w:val="00365D3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ColorfulList-Accent21">
    <w:name w:val="Colorful List - Accent 21"/>
    <w:basedOn w:val="TableNormal"/>
    <w:next w:val="ColorfulList-Accent2"/>
    <w:uiPriority w:val="72"/>
    <w:rsid w:val="00D97E6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ghtList-Accent1">
    <w:name w:val="Light List Accent 1"/>
    <w:basedOn w:val="TableNormal"/>
    <w:uiPriority w:val="61"/>
    <w:rsid w:val="00D97E6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A75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052"/>
    <w:rPr>
      <w:color w:val="0000FF" w:themeColor="hyperlink"/>
      <w:u w:val="single"/>
    </w:rPr>
  </w:style>
  <w:style w:type="paragraph" w:customStyle="1" w:styleId="References">
    <w:name w:val="References"/>
    <w:basedOn w:val="Normal"/>
    <w:link w:val="ReferencesChar"/>
    <w:qFormat/>
    <w:rsid w:val="008A7BBA"/>
    <w:pPr>
      <w:keepLines/>
      <w:spacing w:after="120" w:line="240" w:lineRule="auto"/>
      <w:ind w:left="720" w:hanging="720"/>
    </w:pPr>
    <w:rPr>
      <w:rFonts w:ascii="Times New Roman" w:eastAsia="Times New Roman" w:hAnsi="Times New Roman" w:cs="Times New Roman"/>
      <w:szCs w:val="20"/>
    </w:rPr>
  </w:style>
  <w:style w:type="character" w:customStyle="1" w:styleId="ReferencesChar">
    <w:name w:val="References Char"/>
    <w:link w:val="References"/>
    <w:rsid w:val="008A7BBA"/>
    <w:rPr>
      <w:rFonts w:ascii="Times New Roman" w:eastAsia="Times New Roman" w:hAnsi="Times New Roman" w:cs="Times New Roman"/>
      <w:szCs w:val="20"/>
    </w:rPr>
  </w:style>
  <w:style w:type="paragraph" w:customStyle="1" w:styleId="Tabletitle">
    <w:name w:val="Table title"/>
    <w:basedOn w:val="Normal"/>
    <w:next w:val="Normal"/>
    <w:qFormat/>
    <w:rsid w:val="00BD2CAF"/>
    <w:pPr>
      <w:spacing w:before="240" w:after="0" w:line="360" w:lineRule="auto"/>
    </w:pPr>
    <w:rPr>
      <w:rFonts w:ascii="Times New Roman" w:eastAsia="Times New Roman" w:hAnsi="Times New Roman" w:cs="Times New Roman"/>
      <w:sz w:val="24"/>
      <w:szCs w:val="24"/>
      <w:lang w:eastAsia="en-GB"/>
    </w:rPr>
  </w:style>
  <w:style w:type="paragraph" w:customStyle="1" w:styleId="Newparagraph">
    <w:name w:val="New paragraph"/>
    <w:basedOn w:val="Normal"/>
    <w:qFormat/>
    <w:rsid w:val="00BD2CAF"/>
    <w:pPr>
      <w:spacing w:after="0" w:line="480" w:lineRule="auto"/>
      <w:ind w:firstLine="72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7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09599910600933889" TargetMode="External"/><Relationship Id="rId3" Type="http://schemas.openxmlformats.org/officeDocument/2006/relationships/styles" Target="styles.xml"/><Relationship Id="rId7" Type="http://schemas.openxmlformats.org/officeDocument/2006/relationships/hyperlink" Target="http://dx.doi.org/10.1680/muen.14.0004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x.doi.org/10.1080/02673030500484885" TargetMode="External"/><Relationship Id="rId4" Type="http://schemas.microsoft.com/office/2007/relationships/stylesWithEffects" Target="stylesWithEffects.xml"/><Relationship Id="rId9" Type="http://schemas.openxmlformats.org/officeDocument/2006/relationships/hyperlink" Target="http://dx.doi.org/10.1080/09613218.2011.589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BDBEB-A79C-494F-ADDB-954750E4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7741</Words>
  <Characters>44128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51766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Alexpoku</cp:lastModifiedBy>
  <cp:revision>3</cp:revision>
  <dcterms:created xsi:type="dcterms:W3CDTF">2018-01-12T10:20:00Z</dcterms:created>
  <dcterms:modified xsi:type="dcterms:W3CDTF">2018-01-12T10:39:00Z</dcterms:modified>
</cp:coreProperties>
</file>