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95AFA" w14:textId="77777777" w:rsidR="006369BF" w:rsidRDefault="006369BF" w:rsidP="006369BF">
      <w:pPr>
        <w:spacing w:line="48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Supplementary data</w:t>
      </w:r>
    </w:p>
    <w:p w14:paraId="1224201C" w14:textId="77777777" w:rsidR="006369BF" w:rsidRDefault="006369BF" w:rsidP="006369BF">
      <w:pPr>
        <w:spacing w:line="480" w:lineRule="auto"/>
        <w:rPr>
          <w:rFonts w:ascii="Times New Roman" w:hAnsi="Times New Roman"/>
          <w:b/>
          <w:szCs w:val="24"/>
        </w:rPr>
      </w:pPr>
    </w:p>
    <w:p w14:paraId="0EF08C3F" w14:textId="77777777" w:rsidR="006369BF" w:rsidRPr="00ED78B0" w:rsidRDefault="006369BF" w:rsidP="006369BF">
      <w:pPr>
        <w:spacing w:line="480" w:lineRule="auto"/>
        <w:rPr>
          <w:rFonts w:ascii="Times New Roman" w:hAnsi="Times New Roman"/>
          <w:b/>
          <w:szCs w:val="24"/>
        </w:rPr>
      </w:pPr>
      <w:r w:rsidRPr="00ED78B0">
        <w:rPr>
          <w:rFonts w:ascii="Times New Roman" w:hAnsi="Times New Roman"/>
          <w:b/>
          <w:szCs w:val="24"/>
        </w:rPr>
        <w:t xml:space="preserve">Table </w:t>
      </w:r>
      <w:r>
        <w:rPr>
          <w:rFonts w:ascii="Times New Roman" w:hAnsi="Times New Roman"/>
          <w:b/>
          <w:szCs w:val="24"/>
        </w:rPr>
        <w:t>S1</w:t>
      </w:r>
      <w:r w:rsidRPr="00ED78B0">
        <w:rPr>
          <w:rFonts w:ascii="Times New Roman" w:hAnsi="Times New Roman"/>
          <w:b/>
          <w:szCs w:val="24"/>
        </w:rPr>
        <w:t xml:space="preserve">. Rates of </w:t>
      </w:r>
      <w:r>
        <w:rPr>
          <w:rFonts w:ascii="Times New Roman" w:hAnsi="Times New Roman"/>
          <w:b/>
          <w:szCs w:val="24"/>
        </w:rPr>
        <w:t xml:space="preserve">all-cause </w:t>
      </w:r>
      <w:r w:rsidRPr="00ED78B0">
        <w:rPr>
          <w:rFonts w:ascii="Times New Roman" w:hAnsi="Times New Roman"/>
          <w:b/>
          <w:szCs w:val="24"/>
        </w:rPr>
        <w:t>mortality, stroke/systemic embolism and major bleeding, assessed at 4-month intervals</w:t>
      </w:r>
      <w:r>
        <w:rPr>
          <w:rFonts w:ascii="Times New Roman" w:hAnsi="Times New Roman"/>
          <w:b/>
          <w:szCs w:val="24"/>
        </w:rPr>
        <w:t>*</w:t>
      </w:r>
      <w:r w:rsidRPr="00ED78B0">
        <w:rPr>
          <w:rFonts w:ascii="Times New Roman" w:hAnsi="Times New Roman"/>
          <w:b/>
          <w:szCs w:val="24"/>
        </w:rPr>
        <w:t xml:space="preserve"> </w:t>
      </w:r>
    </w:p>
    <w:tbl>
      <w:tblPr>
        <w:tblW w:w="9288" w:type="dxa"/>
        <w:jc w:val="center"/>
        <w:tblLook w:val="04A0" w:firstRow="1" w:lastRow="0" w:firstColumn="1" w:lastColumn="0" w:noHBand="0" w:noVBand="1"/>
      </w:tblPr>
      <w:tblGrid>
        <w:gridCol w:w="1084"/>
        <w:gridCol w:w="1009"/>
        <w:gridCol w:w="1459"/>
        <w:gridCol w:w="1602"/>
        <w:gridCol w:w="808"/>
        <w:gridCol w:w="808"/>
        <w:gridCol w:w="902"/>
        <w:gridCol w:w="808"/>
        <w:gridCol w:w="808"/>
      </w:tblGrid>
      <w:tr w:rsidR="006369BF" w:rsidRPr="00262455" w14:paraId="0A80DABF" w14:textId="77777777" w:rsidTr="007E070A">
        <w:trPr>
          <w:trHeight w:val="600"/>
          <w:jc w:val="center"/>
        </w:trPr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0F799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Months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7709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Events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719B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Person-years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br/>
              <w:t xml:space="preserve"> (</w:t>
            </w:r>
            <w:r>
              <w:rPr>
                <w:rFonts w:ascii="Times New Roman" w:hAnsi="Times New Roman"/>
                <w:b/>
                <w:bCs/>
                <w:color w:val="000000"/>
              </w:rPr>
              <w:t>×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t>100)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13DB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Rate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br/>
              <w:t xml:space="preserve"> (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per 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t>100 person-year</w:t>
            </w:r>
            <w:r>
              <w:rPr>
                <w:rFonts w:ascii="Times New Roman" w:hAnsi="Times New Roman"/>
                <w:b/>
                <w:bCs/>
                <w:color w:val="000000"/>
              </w:rPr>
              <w:t>s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8A5D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95% CI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EEA5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SMR or SIR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1FA0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95% CI</w:t>
            </w:r>
          </w:p>
        </w:tc>
      </w:tr>
      <w:tr w:rsidR="006369BF" w:rsidRPr="00262455" w14:paraId="2451233D" w14:textId="77777777" w:rsidTr="007E070A">
        <w:trPr>
          <w:trHeight w:val="300"/>
          <w:jc w:val="center"/>
        </w:trPr>
        <w:tc>
          <w:tcPr>
            <w:tcW w:w="928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97D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All-cause m</w:t>
            </w:r>
            <w:r w:rsidRPr="00262455">
              <w:rPr>
                <w:rFonts w:ascii="Times New Roman" w:hAnsi="Times New Roman"/>
                <w:b/>
                <w:bCs/>
                <w:color w:val="000000"/>
              </w:rPr>
              <w:t>ortality</w:t>
            </w:r>
          </w:p>
        </w:tc>
      </w:tr>
      <w:tr w:rsidR="006369BF" w:rsidRPr="00262455" w14:paraId="5D0BEBBB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ADBB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F3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276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8A7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55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60E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78E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431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5E9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7D6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952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6369BF" w:rsidRPr="00262455" w14:paraId="0274C8F7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5AB9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335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4D8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54</w:t>
            </w:r>
            <w:r>
              <w:rPr>
                <w:rFonts w:ascii="Times New Roman" w:hAnsi="Times New Roman"/>
                <w:color w:val="000000"/>
              </w:rPr>
              <w:t>.5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011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04F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F66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034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41D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8B6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04</w:t>
            </w:r>
          </w:p>
        </w:tc>
      </w:tr>
      <w:tr w:rsidR="006369BF" w:rsidRPr="00262455" w14:paraId="7B609A56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6294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A01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229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3.0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110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340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F61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71A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F99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311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6369BF" w:rsidRPr="00262455" w14:paraId="406E1B80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DFC9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F65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422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1CB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D7E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302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186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88F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C89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6369BF" w:rsidRPr="00262455" w14:paraId="066EC9FF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E4C0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17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7F2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E59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>.8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7C9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B4C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FCF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DB2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6D8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E85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6369BF" w:rsidRPr="00262455" w14:paraId="29924680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F46E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9140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11E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4CD9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EEBA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30D1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9A6F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038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230A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99</w:t>
            </w:r>
          </w:p>
        </w:tc>
      </w:tr>
      <w:tr w:rsidR="006369BF" w:rsidRPr="00262455" w14:paraId="0D6073BC" w14:textId="77777777" w:rsidTr="007E070A">
        <w:trPr>
          <w:trHeight w:val="300"/>
          <w:jc w:val="center"/>
        </w:trPr>
        <w:tc>
          <w:tcPr>
            <w:tcW w:w="928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547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Stroke/SE</w:t>
            </w:r>
          </w:p>
        </w:tc>
      </w:tr>
      <w:tr w:rsidR="006369BF" w:rsidRPr="00262455" w14:paraId="3659625D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BBC1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A76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7DB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55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63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AFA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F01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5CD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183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EE3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65</w:t>
            </w:r>
          </w:p>
        </w:tc>
      </w:tr>
      <w:tr w:rsidR="006369BF" w:rsidRPr="00262455" w14:paraId="2B5A0448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4DF9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082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5B1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54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A32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E2A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282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D63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82C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008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6369BF" w:rsidRPr="00262455" w14:paraId="65073827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F694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5CF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2BD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52</w:t>
            </w:r>
            <w:r>
              <w:rPr>
                <w:rFonts w:ascii="Times New Roman" w:hAnsi="Times New Roman"/>
                <w:color w:val="000000"/>
              </w:rPr>
              <w:t>.5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312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485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DFC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CB4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92A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A9F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6369BF" w:rsidRPr="00262455" w14:paraId="4C9CDADD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1EAF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1CB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0C4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.3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759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7A2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D30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CD1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0C5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7FE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19</w:t>
            </w:r>
          </w:p>
        </w:tc>
      </w:tr>
      <w:tr w:rsidR="006369BF" w:rsidRPr="00262455" w14:paraId="46C541D5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415A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17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F73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7A1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9.0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2D2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3F1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E38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257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BF9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CAC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6369BF" w:rsidRPr="00262455" w14:paraId="4DC29339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B66CB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282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73E2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031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57E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F42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6E93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D982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F534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6369BF" w:rsidRPr="00262455" w14:paraId="7F9890B3" w14:textId="77777777" w:rsidTr="007E070A">
        <w:trPr>
          <w:trHeight w:val="300"/>
          <w:jc w:val="center"/>
        </w:trPr>
        <w:tc>
          <w:tcPr>
            <w:tcW w:w="928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C88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2455">
              <w:rPr>
                <w:rFonts w:ascii="Times New Roman" w:hAnsi="Times New Roman"/>
                <w:b/>
                <w:bCs/>
                <w:color w:val="000000"/>
              </w:rPr>
              <w:t>Major bleeding</w:t>
            </w:r>
          </w:p>
        </w:tc>
      </w:tr>
      <w:tr w:rsidR="006369BF" w:rsidRPr="00262455" w14:paraId="6AC1F390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2E2C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0D4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091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55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2B3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F2F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E65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427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A52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700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6369BF" w:rsidRPr="00262455" w14:paraId="3C3F15A3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B873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E52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C6A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54</w:t>
            </w:r>
            <w:r>
              <w:rPr>
                <w:rFonts w:ascii="Times New Roman" w:hAnsi="Times New Roman"/>
                <w:color w:val="000000"/>
              </w:rPr>
              <w:t>.3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64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E8C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CDF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6FD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CB3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190F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28</w:t>
            </w:r>
          </w:p>
        </w:tc>
      </w:tr>
      <w:tr w:rsidR="006369BF" w:rsidRPr="00262455" w14:paraId="0C70222C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E91A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70F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E05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16B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2B4B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BAA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93C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FD7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1666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44</w:t>
            </w:r>
          </w:p>
        </w:tc>
      </w:tr>
      <w:tr w:rsidR="006369BF" w:rsidRPr="00262455" w14:paraId="3B3B10DE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A0AA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79D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1B8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99ED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066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113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06E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EF0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F09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6369BF" w:rsidRPr="00262455" w14:paraId="040A7A3D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E9D7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17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CB1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70C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1F7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24E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5687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58E1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6F6E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919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03</w:t>
            </w:r>
          </w:p>
        </w:tc>
      </w:tr>
      <w:tr w:rsidR="006369BF" w:rsidRPr="00262455" w14:paraId="74DF7EFE" w14:textId="77777777" w:rsidTr="007E070A">
        <w:trPr>
          <w:trHeight w:val="300"/>
          <w:jc w:val="center"/>
        </w:trPr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034BA" w14:textId="77777777" w:rsidR="006369BF" w:rsidRPr="00262455" w:rsidRDefault="006369BF" w:rsidP="007E070A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21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2624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90C0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CCAC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44</w:t>
            </w:r>
            <w:r>
              <w:rPr>
                <w:rFonts w:ascii="Times New Roman" w:hAnsi="Times New Roman"/>
                <w:color w:val="000000"/>
              </w:rPr>
              <w:t>.1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CC1CA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36462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EE323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C7FE5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4749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2A638" w14:textId="77777777" w:rsidR="006369BF" w:rsidRPr="00262455" w:rsidRDefault="006369BF" w:rsidP="007E070A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2455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262455">
              <w:rPr>
                <w:rFonts w:ascii="Times New Roman" w:hAnsi="Times New Roman"/>
                <w:color w:val="000000"/>
              </w:rPr>
              <w:t>27</w:t>
            </w:r>
          </w:p>
        </w:tc>
      </w:tr>
    </w:tbl>
    <w:p w14:paraId="3D17CF82" w14:textId="77777777" w:rsidR="006369BF" w:rsidRPr="00242225" w:rsidRDefault="006369BF" w:rsidP="006369BF">
      <w:pPr>
        <w:spacing w:line="480" w:lineRule="auto"/>
        <w:rPr>
          <w:rFonts w:ascii="Times New Roman" w:hAnsi="Times New Roman"/>
          <w:b/>
          <w:sz w:val="20"/>
          <w:szCs w:val="24"/>
          <w:highlight w:val="yellow"/>
        </w:rPr>
      </w:pPr>
      <w:r>
        <w:rPr>
          <w:rFonts w:ascii="Times New Roman" w:hAnsi="Times New Roman"/>
          <w:sz w:val="20"/>
        </w:rPr>
        <w:t xml:space="preserve">CI, confidence interval; SE, systemic embolism; </w:t>
      </w:r>
      <w:r w:rsidRPr="002764C6">
        <w:rPr>
          <w:rFonts w:ascii="Times New Roman" w:hAnsi="Times New Roman"/>
          <w:sz w:val="20"/>
        </w:rPr>
        <w:t>SIR</w:t>
      </w:r>
      <w:r>
        <w:rPr>
          <w:rFonts w:ascii="Times New Roman" w:hAnsi="Times New Roman"/>
          <w:sz w:val="20"/>
        </w:rPr>
        <w:t>,</w:t>
      </w:r>
      <w:r w:rsidRPr="002764C6">
        <w:rPr>
          <w:rFonts w:ascii="Times New Roman" w:hAnsi="Times New Roman"/>
          <w:sz w:val="20"/>
        </w:rPr>
        <w:t xml:space="preserve"> standardi</w:t>
      </w:r>
      <w:r>
        <w:rPr>
          <w:rFonts w:ascii="Times New Roman" w:hAnsi="Times New Roman"/>
          <w:sz w:val="20"/>
        </w:rPr>
        <w:t>z</w:t>
      </w:r>
      <w:r w:rsidRPr="002764C6">
        <w:rPr>
          <w:rFonts w:ascii="Times New Roman" w:hAnsi="Times New Roman"/>
          <w:sz w:val="20"/>
        </w:rPr>
        <w:t>ed incidence rates</w:t>
      </w:r>
      <w:r>
        <w:rPr>
          <w:rFonts w:ascii="Times New Roman" w:hAnsi="Times New Roman"/>
          <w:sz w:val="20"/>
        </w:rPr>
        <w:t xml:space="preserve">; </w:t>
      </w:r>
      <w:r w:rsidRPr="005B703B">
        <w:rPr>
          <w:rFonts w:ascii="Times New Roman" w:hAnsi="Times New Roman"/>
          <w:sz w:val="20"/>
        </w:rPr>
        <w:t>SMR</w:t>
      </w:r>
      <w:r>
        <w:rPr>
          <w:rFonts w:ascii="Times New Roman" w:hAnsi="Times New Roman"/>
          <w:sz w:val="20"/>
        </w:rPr>
        <w:t>,</w:t>
      </w:r>
      <w:r w:rsidRPr="005B703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standardized mortality rates</w:t>
      </w:r>
    </w:p>
    <w:p w14:paraId="5580842B" w14:textId="77777777" w:rsidR="006369BF" w:rsidRPr="00274216" w:rsidRDefault="006369BF" w:rsidP="006369BF">
      <w:pPr>
        <w:spacing w:after="160" w:line="259" w:lineRule="auto"/>
        <w:rPr>
          <w:rFonts w:ascii="Times New Roman" w:hAnsi="Times New Roman"/>
          <w:b/>
          <w:sz w:val="20"/>
        </w:rPr>
      </w:pPr>
      <w:r w:rsidRPr="009E3302">
        <w:rPr>
          <w:rFonts w:ascii="Times New Roman" w:hAnsi="Times New Roman"/>
          <w:b/>
          <w:sz w:val="20"/>
        </w:rPr>
        <w:t>*</w:t>
      </w:r>
      <w:r w:rsidRPr="009E3302">
        <w:rPr>
          <w:rFonts w:ascii="Times New Roman" w:hAnsi="Times New Roman"/>
          <w:sz w:val="20"/>
        </w:rPr>
        <w:t>Only the first occurrence of each event was taken into account</w:t>
      </w:r>
      <w:r w:rsidRPr="009E3302">
        <w:rPr>
          <w:rFonts w:ascii="Times New Roman" w:hAnsi="Times New Roman"/>
          <w:b/>
          <w:sz w:val="20"/>
        </w:rPr>
        <w:br w:type="page"/>
      </w:r>
    </w:p>
    <w:p w14:paraId="3E5B4C93" w14:textId="77777777" w:rsidR="006369BF" w:rsidRPr="00613247" w:rsidRDefault="006369BF" w:rsidP="006369BF">
      <w:pPr>
        <w:spacing w:line="480" w:lineRule="auto"/>
        <w:rPr>
          <w:rFonts w:ascii="Times New Roman" w:hAnsi="Times New Roman"/>
          <w:szCs w:val="24"/>
        </w:rPr>
      </w:pPr>
      <w:bookmarkStart w:id="0" w:name="_GoBack"/>
      <w:bookmarkEnd w:id="0"/>
      <w:r w:rsidRPr="00613247">
        <w:rPr>
          <w:rFonts w:ascii="Times New Roman" w:hAnsi="Times New Roman"/>
          <w:szCs w:val="24"/>
        </w:rPr>
        <w:lastRenderedPageBreak/>
        <w:t>Figure S1. Two-year event rates* stratified by CHA</w:t>
      </w:r>
      <w:r w:rsidRPr="00613247">
        <w:rPr>
          <w:rFonts w:ascii="Times New Roman" w:hAnsi="Times New Roman"/>
          <w:szCs w:val="24"/>
          <w:vertAlign w:val="subscript"/>
        </w:rPr>
        <w:t>2</w:t>
      </w:r>
      <w:r w:rsidRPr="00613247">
        <w:rPr>
          <w:rFonts w:ascii="Times New Roman" w:hAnsi="Times New Roman"/>
          <w:szCs w:val="24"/>
        </w:rPr>
        <w:t>DS</w:t>
      </w:r>
      <w:r w:rsidRPr="00613247">
        <w:rPr>
          <w:rFonts w:ascii="Times New Roman" w:hAnsi="Times New Roman"/>
          <w:szCs w:val="24"/>
          <w:vertAlign w:val="subscript"/>
        </w:rPr>
        <w:t>2</w:t>
      </w:r>
      <w:r w:rsidRPr="00613247">
        <w:rPr>
          <w:rFonts w:ascii="Times New Roman" w:hAnsi="Times New Roman"/>
          <w:szCs w:val="24"/>
        </w:rPr>
        <w:t>-VASc (A) and HAS-BLED (B) scores</w:t>
      </w:r>
    </w:p>
    <w:p w14:paraId="308C1A06" w14:textId="77777777" w:rsidR="00215BA6" w:rsidRDefault="006369BF" w:rsidP="006369BF">
      <w:pPr>
        <w:spacing w:line="480" w:lineRule="auto"/>
      </w:pPr>
      <w:r w:rsidRPr="009E3302">
        <w:rPr>
          <w:rFonts w:ascii="Times New Roman" w:hAnsi="Times New Roman"/>
          <w:sz w:val="20"/>
        </w:rPr>
        <w:t>*Only the first occurrence of each event was taken into account</w:t>
      </w:r>
    </w:p>
    <w:sectPr w:rsidR="00215BA6" w:rsidSect="006369B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82BC5" w14:textId="77777777" w:rsidR="00000000" w:rsidRDefault="00613247">
      <w:pPr>
        <w:spacing w:line="240" w:lineRule="auto"/>
      </w:pPr>
      <w:r>
        <w:separator/>
      </w:r>
    </w:p>
  </w:endnote>
  <w:endnote w:type="continuationSeparator" w:id="0">
    <w:p w14:paraId="54B5B37E" w14:textId="77777777" w:rsidR="00000000" w:rsidRDefault="006132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226"/>
      <w:docPartObj>
        <w:docPartGallery w:val="Page Numbers (Bottom of Page)"/>
        <w:docPartUnique/>
      </w:docPartObj>
    </w:sdtPr>
    <w:sdtEndPr/>
    <w:sdtContent>
      <w:p w14:paraId="7F8FA68D" w14:textId="77777777" w:rsidR="006315C8" w:rsidRDefault="006369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2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F578F1" w14:textId="77777777" w:rsidR="006315C8" w:rsidRDefault="006132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567AF" w14:textId="77777777" w:rsidR="00000000" w:rsidRDefault="00613247">
      <w:pPr>
        <w:spacing w:line="240" w:lineRule="auto"/>
      </w:pPr>
      <w:r>
        <w:separator/>
      </w:r>
    </w:p>
  </w:footnote>
  <w:footnote w:type="continuationSeparator" w:id="0">
    <w:p w14:paraId="041A7486" w14:textId="77777777" w:rsidR="00000000" w:rsidRDefault="006132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BF"/>
    <w:rsid w:val="00215BA6"/>
    <w:rsid w:val="00613247"/>
    <w:rsid w:val="0063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42A24"/>
  <w15:chartTrackingRefBased/>
  <w15:docId w15:val="{2A227E8F-8C9F-40BB-9560-ADA1C636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9BF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rsid w:val="006369BF"/>
    <w:rPr>
      <w:lang w:eastAsia="en-US"/>
    </w:rPr>
  </w:style>
  <w:style w:type="character" w:customStyle="1" w:styleId="TextChar">
    <w:name w:val="Text Char"/>
    <w:basedOn w:val="DefaultParagraphFont"/>
    <w:link w:val="Text"/>
    <w:rsid w:val="006369BF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369B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BF"/>
    <w:rPr>
      <w:rFonts w:ascii="Arial" w:eastAsia="Times New Roman" w:hAnsi="Arial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01687F719A5B44919B7F3F28EE4B4E" ma:contentTypeVersion="0" ma:contentTypeDescription="Create a new document." ma:contentTypeScope="" ma:versionID="015a468783cf69bfbd3708e837c1e9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3F655-4C46-4E30-BC55-788CC7C28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C57D6-EB0C-46C0-9B7D-559838CCF885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F679C8-BF6E-4BD8-9ACF-E8D551FE7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Chu</dc:creator>
  <cp:keywords/>
  <dc:description/>
  <cp:lastModifiedBy>Emily Chu</cp:lastModifiedBy>
  <cp:revision>2</cp:revision>
  <dcterms:created xsi:type="dcterms:W3CDTF">2016-02-15T13:06:00Z</dcterms:created>
  <dcterms:modified xsi:type="dcterms:W3CDTF">2016-02-15T13:35:00Z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0x0101006701687F719A5B44919B7F3F28EE4B4E</vt:lpwstr>
  </property>
</Properties>
</file>