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8C9" w:rsidRPr="00D169D5" w:rsidRDefault="008915CC" w:rsidP="00B938C9">
      <w:pPr>
        <w:spacing w:line="480" w:lineRule="auto"/>
        <w:rPr>
          <w:rFonts w:ascii="Calibri" w:hAnsi="Calibri"/>
          <w:b/>
          <w:sz w:val="32"/>
          <w:szCs w:val="32"/>
        </w:rPr>
      </w:pPr>
      <w:r w:rsidRPr="00D169D5">
        <w:rPr>
          <w:rFonts w:ascii="Calibri" w:hAnsi="Calibri"/>
          <w:b/>
          <w:sz w:val="32"/>
          <w:szCs w:val="32"/>
        </w:rPr>
        <w:t xml:space="preserve">S1 </w:t>
      </w:r>
      <w:r w:rsidR="00C72242">
        <w:rPr>
          <w:rFonts w:ascii="Calibri" w:hAnsi="Calibri"/>
          <w:b/>
          <w:sz w:val="32"/>
          <w:szCs w:val="32"/>
        </w:rPr>
        <w:t>F</w:t>
      </w:r>
      <w:r w:rsidRPr="00D169D5">
        <w:rPr>
          <w:rFonts w:ascii="Calibri" w:hAnsi="Calibri"/>
          <w:b/>
          <w:sz w:val="32"/>
          <w:szCs w:val="32"/>
        </w:rPr>
        <w:t>ile</w:t>
      </w:r>
      <w:r w:rsidR="00B938C9" w:rsidRPr="00D169D5">
        <w:rPr>
          <w:rFonts w:ascii="Calibri" w:hAnsi="Calibri"/>
          <w:b/>
          <w:sz w:val="32"/>
          <w:szCs w:val="32"/>
        </w:rPr>
        <w:t>.  Sensitivity study using spiked-in mutation-positive control</w:t>
      </w:r>
      <w:r w:rsidRPr="00D169D5">
        <w:rPr>
          <w:rFonts w:ascii="Calibri" w:hAnsi="Calibri"/>
          <w:b/>
          <w:sz w:val="32"/>
          <w:szCs w:val="32"/>
        </w:rPr>
        <w:t>s</w:t>
      </w:r>
    </w:p>
    <w:p w:rsidR="007F1072" w:rsidRPr="007F1072" w:rsidRDefault="007F1072" w:rsidP="007F1072">
      <w:pPr>
        <w:spacing w:line="480" w:lineRule="auto"/>
        <w:rPr>
          <w:rFonts w:ascii="Calibri" w:hAnsi="Calibri"/>
          <w:sz w:val="24"/>
          <w:szCs w:val="24"/>
        </w:rPr>
      </w:pPr>
      <w:r>
        <w:rPr>
          <w:rFonts w:ascii="Calibri" w:hAnsi="Calibri"/>
          <w:sz w:val="24"/>
          <w:szCs w:val="24"/>
        </w:rPr>
        <w:t>In this supporting study we</w:t>
      </w:r>
      <w:r w:rsidRPr="002A664D">
        <w:rPr>
          <w:rFonts w:ascii="Calibri" w:hAnsi="Calibri"/>
          <w:sz w:val="24"/>
          <w:szCs w:val="24"/>
        </w:rPr>
        <w:t xml:space="preserve"> look</w:t>
      </w:r>
      <w:r>
        <w:rPr>
          <w:rFonts w:ascii="Calibri" w:hAnsi="Calibri"/>
          <w:sz w:val="24"/>
          <w:szCs w:val="24"/>
        </w:rPr>
        <w:t>ed</w:t>
      </w:r>
      <w:r w:rsidRPr="002A664D">
        <w:rPr>
          <w:rFonts w:ascii="Calibri" w:hAnsi="Calibri"/>
          <w:sz w:val="24"/>
          <w:szCs w:val="24"/>
        </w:rPr>
        <w:t xml:space="preserve"> at sensitivity of </w:t>
      </w:r>
      <w:r>
        <w:rPr>
          <w:rFonts w:ascii="Calibri" w:hAnsi="Calibri"/>
          <w:sz w:val="24"/>
          <w:szCs w:val="24"/>
        </w:rPr>
        <w:t>cancer hotspot panel</w:t>
      </w:r>
      <w:r w:rsidRPr="002A664D">
        <w:rPr>
          <w:rFonts w:ascii="Calibri" w:hAnsi="Calibri"/>
          <w:sz w:val="24"/>
          <w:szCs w:val="24"/>
        </w:rPr>
        <w:t xml:space="preserve"> sequencing</w:t>
      </w:r>
      <w:r>
        <w:rPr>
          <w:rFonts w:ascii="Calibri" w:hAnsi="Calibri"/>
          <w:sz w:val="24"/>
          <w:szCs w:val="24"/>
        </w:rPr>
        <w:t xml:space="preserve"> as an aspect of next-generation sequencing in circulating tumour DNA (ctDNA).  We used a dilution series of </w:t>
      </w:r>
      <w:r w:rsidRPr="002A664D">
        <w:rPr>
          <w:rFonts w:ascii="Calibri" w:hAnsi="Calibri"/>
          <w:sz w:val="24"/>
          <w:szCs w:val="24"/>
        </w:rPr>
        <w:t xml:space="preserve">spiked-in </w:t>
      </w:r>
      <w:r>
        <w:rPr>
          <w:rFonts w:ascii="Calibri" w:hAnsi="Calibri"/>
          <w:sz w:val="24"/>
          <w:szCs w:val="24"/>
        </w:rPr>
        <w:t>mutation-positive DNA ranging from 10% to 0.01% concentration</w:t>
      </w:r>
      <w:r w:rsidRPr="002A664D">
        <w:rPr>
          <w:rFonts w:ascii="Calibri" w:hAnsi="Calibri"/>
          <w:sz w:val="24"/>
          <w:szCs w:val="24"/>
        </w:rPr>
        <w:t xml:space="preserve"> </w:t>
      </w:r>
      <w:r>
        <w:rPr>
          <w:rFonts w:ascii="Calibri" w:hAnsi="Calibri"/>
          <w:sz w:val="24"/>
          <w:szCs w:val="24"/>
        </w:rPr>
        <w:t>to simulate</w:t>
      </w:r>
      <w:r w:rsidRPr="002A664D">
        <w:rPr>
          <w:rFonts w:ascii="Calibri" w:hAnsi="Calibri"/>
          <w:sz w:val="24"/>
          <w:szCs w:val="24"/>
        </w:rPr>
        <w:t xml:space="preserve"> the </w:t>
      </w:r>
      <w:r>
        <w:rPr>
          <w:rFonts w:ascii="Calibri" w:hAnsi="Calibri"/>
          <w:sz w:val="24"/>
          <w:szCs w:val="24"/>
        </w:rPr>
        <w:t xml:space="preserve">frequently </w:t>
      </w:r>
      <w:r w:rsidRPr="002A664D">
        <w:rPr>
          <w:rFonts w:ascii="Calibri" w:hAnsi="Calibri"/>
          <w:sz w:val="24"/>
          <w:szCs w:val="24"/>
        </w:rPr>
        <w:t xml:space="preserve">low levels of ctDNA in the blood.  </w:t>
      </w:r>
    </w:p>
    <w:p w:rsidR="008915CC" w:rsidRPr="008915CC" w:rsidRDefault="008915CC" w:rsidP="008915CC">
      <w:pPr>
        <w:pStyle w:val="Heading1"/>
        <w:spacing w:line="480" w:lineRule="auto"/>
        <w:rPr>
          <w:rFonts w:ascii="Calibri" w:hAnsi="Calibri"/>
          <w:color w:val="auto"/>
          <w:sz w:val="32"/>
          <w:szCs w:val="32"/>
        </w:rPr>
      </w:pPr>
      <w:r w:rsidRPr="008915CC">
        <w:rPr>
          <w:rFonts w:ascii="Calibri" w:hAnsi="Calibri"/>
          <w:color w:val="auto"/>
          <w:sz w:val="32"/>
          <w:szCs w:val="32"/>
        </w:rPr>
        <w:t>Method</w:t>
      </w:r>
      <w:r w:rsidR="006D26CF" w:rsidRPr="008915CC">
        <w:rPr>
          <w:rFonts w:ascii="Calibri" w:hAnsi="Calibri"/>
          <w:color w:val="auto"/>
          <w:sz w:val="32"/>
          <w:szCs w:val="32"/>
        </w:rPr>
        <w:t xml:space="preserve">  </w:t>
      </w:r>
    </w:p>
    <w:p w:rsidR="00D169D5" w:rsidRPr="00D169D5" w:rsidRDefault="00D169D5" w:rsidP="00D169D5">
      <w:pPr>
        <w:pStyle w:val="Heading2"/>
        <w:spacing w:line="480" w:lineRule="auto"/>
        <w:rPr>
          <w:rFonts w:ascii="Calibri" w:hAnsi="Calibri"/>
          <w:color w:val="auto"/>
          <w:sz w:val="28"/>
          <w:szCs w:val="28"/>
        </w:rPr>
      </w:pPr>
      <w:r w:rsidRPr="00D169D5">
        <w:rPr>
          <w:rFonts w:ascii="Calibri" w:hAnsi="Calibri"/>
          <w:color w:val="auto"/>
          <w:sz w:val="28"/>
          <w:szCs w:val="28"/>
        </w:rPr>
        <w:t>Spiked-in mutation-positive controls</w:t>
      </w:r>
    </w:p>
    <w:p w:rsidR="00B938C9" w:rsidRDefault="00B938C9" w:rsidP="00B938C9">
      <w:pPr>
        <w:spacing w:before="240" w:line="480" w:lineRule="auto"/>
        <w:rPr>
          <w:rFonts w:ascii="Calibri" w:hAnsi="Calibri"/>
          <w:sz w:val="24"/>
          <w:szCs w:val="24"/>
        </w:rPr>
      </w:pPr>
      <w:r w:rsidRPr="00320AE1">
        <w:rPr>
          <w:rFonts w:ascii="Calibri" w:hAnsi="Calibri"/>
          <w:sz w:val="24"/>
          <w:szCs w:val="24"/>
        </w:rPr>
        <w:t xml:space="preserve">Four positive control kits were prepared using DNA from three sources:  1) Four </w:t>
      </w:r>
      <w:r w:rsidRPr="00D217EC">
        <w:rPr>
          <w:rFonts w:ascii="Calibri" w:hAnsi="Calibri"/>
          <w:i/>
          <w:sz w:val="24"/>
          <w:szCs w:val="24"/>
        </w:rPr>
        <w:t>KRAS</w:t>
      </w:r>
      <w:r w:rsidRPr="00320AE1">
        <w:rPr>
          <w:rFonts w:ascii="Calibri" w:hAnsi="Calibri"/>
          <w:sz w:val="24"/>
          <w:szCs w:val="24"/>
        </w:rPr>
        <w:t xml:space="preserve"> mutant cell lines, 2) One buffy coat from a healthy blood donor and 3) Six different plasmids.  The </w:t>
      </w:r>
      <w:r w:rsidRPr="00D217EC">
        <w:rPr>
          <w:rFonts w:ascii="Calibri" w:hAnsi="Calibri"/>
          <w:i/>
          <w:sz w:val="24"/>
          <w:szCs w:val="24"/>
        </w:rPr>
        <w:t>KRAS</w:t>
      </w:r>
      <w:r w:rsidRPr="00320AE1">
        <w:rPr>
          <w:rFonts w:ascii="Calibri" w:hAnsi="Calibri"/>
          <w:sz w:val="24"/>
          <w:szCs w:val="24"/>
        </w:rPr>
        <w:t xml:space="preserve"> mutant cell lines were sequenced using the Ion AmpliSeq Cancer Hotspot Panel v2.  Genomic DNA (gDNA) from the buffy coat was extracted using </w:t>
      </w:r>
      <w:proofErr w:type="spellStart"/>
      <w:r w:rsidRPr="00320AE1">
        <w:rPr>
          <w:rFonts w:ascii="Calibri" w:hAnsi="Calibri"/>
          <w:sz w:val="24"/>
          <w:szCs w:val="24"/>
        </w:rPr>
        <w:t>iPrep</w:t>
      </w:r>
      <w:proofErr w:type="spellEnd"/>
      <w:r w:rsidRPr="00320AE1">
        <w:rPr>
          <w:rFonts w:ascii="Calibri" w:hAnsi="Calibri"/>
          <w:sz w:val="24"/>
          <w:szCs w:val="24"/>
        </w:rPr>
        <w:t xml:space="preserve"> </w:t>
      </w:r>
      <w:proofErr w:type="spellStart"/>
      <w:r w:rsidRPr="00320AE1">
        <w:rPr>
          <w:rFonts w:ascii="Calibri" w:hAnsi="Calibri"/>
          <w:sz w:val="24"/>
          <w:szCs w:val="24"/>
        </w:rPr>
        <w:t>PureLink</w:t>
      </w:r>
      <w:proofErr w:type="spellEnd"/>
      <w:r w:rsidRPr="00320AE1">
        <w:rPr>
          <w:rFonts w:ascii="Calibri" w:hAnsi="Calibri"/>
          <w:sz w:val="24"/>
          <w:szCs w:val="24"/>
        </w:rPr>
        <w:t xml:space="preserve"> gDNA Blood Kit (Life Technologies).  The buffy coat gDNA tested negative for </w:t>
      </w:r>
      <w:r w:rsidRPr="00D217EC">
        <w:rPr>
          <w:rFonts w:ascii="Calibri" w:hAnsi="Calibri"/>
          <w:i/>
          <w:sz w:val="24"/>
          <w:szCs w:val="24"/>
        </w:rPr>
        <w:t>KRAS</w:t>
      </w:r>
      <w:r w:rsidRPr="00320AE1">
        <w:rPr>
          <w:rFonts w:ascii="Calibri" w:hAnsi="Calibri"/>
          <w:sz w:val="24"/>
          <w:szCs w:val="24"/>
        </w:rPr>
        <w:t xml:space="preserve">, </w:t>
      </w:r>
      <w:r w:rsidRPr="00D217EC">
        <w:rPr>
          <w:rFonts w:ascii="Calibri" w:hAnsi="Calibri"/>
          <w:i/>
          <w:sz w:val="24"/>
          <w:szCs w:val="24"/>
        </w:rPr>
        <w:t>EGFR</w:t>
      </w:r>
      <w:r w:rsidRPr="00320AE1">
        <w:rPr>
          <w:rFonts w:ascii="Calibri" w:hAnsi="Calibri"/>
          <w:sz w:val="24"/>
          <w:szCs w:val="24"/>
        </w:rPr>
        <w:t xml:space="preserve"> and </w:t>
      </w:r>
      <w:r w:rsidRPr="00D217EC">
        <w:rPr>
          <w:rFonts w:ascii="Calibri" w:hAnsi="Calibri"/>
          <w:i/>
          <w:sz w:val="24"/>
          <w:szCs w:val="24"/>
        </w:rPr>
        <w:t>BRAF</w:t>
      </w:r>
      <w:r w:rsidRPr="00320AE1">
        <w:rPr>
          <w:rFonts w:ascii="Calibri" w:hAnsi="Calibri"/>
          <w:sz w:val="24"/>
          <w:szCs w:val="24"/>
        </w:rPr>
        <w:t xml:space="preserve"> mutations.  The cell line and plasmid DNA were used to spike-in mutations to the buffy coat gDNA using equal copies, resulting in a </w:t>
      </w:r>
      <w:r w:rsidRPr="00D36D27">
        <w:rPr>
          <w:rFonts w:ascii="Calibri" w:hAnsi="Calibri"/>
          <w:sz w:val="24"/>
          <w:szCs w:val="24"/>
        </w:rPr>
        <w:t xml:space="preserve">50:50 </w:t>
      </w:r>
      <w:proofErr w:type="spellStart"/>
      <w:r w:rsidRPr="00D36D27">
        <w:rPr>
          <w:rFonts w:ascii="Calibri" w:hAnsi="Calibri"/>
          <w:sz w:val="24"/>
          <w:szCs w:val="24"/>
        </w:rPr>
        <w:t>mutant</w:t>
      </w:r>
      <w:proofErr w:type="gramStart"/>
      <w:r w:rsidRPr="00D36D27">
        <w:rPr>
          <w:rFonts w:ascii="Calibri" w:hAnsi="Calibri"/>
          <w:sz w:val="24"/>
          <w:szCs w:val="24"/>
        </w:rPr>
        <w:t>:wild</w:t>
      </w:r>
      <w:proofErr w:type="gramEnd"/>
      <w:r w:rsidRPr="00D36D27">
        <w:rPr>
          <w:rFonts w:ascii="Calibri" w:hAnsi="Calibri"/>
          <w:sz w:val="24"/>
          <w:szCs w:val="24"/>
        </w:rPr>
        <w:t>-type</w:t>
      </w:r>
      <w:proofErr w:type="spellEnd"/>
      <w:r w:rsidRPr="00D36D27">
        <w:rPr>
          <w:rFonts w:ascii="Calibri" w:hAnsi="Calibri"/>
          <w:sz w:val="24"/>
          <w:szCs w:val="24"/>
        </w:rPr>
        <w:t xml:space="preserve"> ratio</w:t>
      </w:r>
      <w:r w:rsidRPr="00320AE1">
        <w:rPr>
          <w:rFonts w:ascii="Calibri" w:hAnsi="Calibri"/>
          <w:sz w:val="24"/>
          <w:szCs w:val="24"/>
        </w:rPr>
        <w:t xml:space="preserve">.  For example, in Kit A, the </w:t>
      </w:r>
      <w:r w:rsidRPr="00043448">
        <w:rPr>
          <w:rFonts w:ascii="Calibri" w:hAnsi="Calibri"/>
          <w:i/>
          <w:sz w:val="24"/>
          <w:szCs w:val="24"/>
        </w:rPr>
        <w:t>KRAS G12A</w:t>
      </w:r>
      <w:r w:rsidRPr="00320AE1">
        <w:rPr>
          <w:rFonts w:ascii="Calibri" w:hAnsi="Calibri"/>
          <w:sz w:val="24"/>
          <w:szCs w:val="24"/>
        </w:rPr>
        <w:t xml:space="preserve"> mutation and the </w:t>
      </w:r>
      <w:r w:rsidRPr="00043448">
        <w:rPr>
          <w:rFonts w:ascii="Calibri" w:hAnsi="Calibri"/>
          <w:i/>
          <w:sz w:val="24"/>
          <w:szCs w:val="24"/>
        </w:rPr>
        <w:t>EGFR L747_S752</w:t>
      </w:r>
      <w:r w:rsidRPr="00320AE1">
        <w:rPr>
          <w:rFonts w:ascii="Calibri" w:hAnsi="Calibri"/>
          <w:sz w:val="24"/>
          <w:szCs w:val="24"/>
        </w:rPr>
        <w:t xml:space="preserve"> mutation were present in approximately equal amounts as the wild-type alleles.  Four different mixes of mutations were made, and samples serially diluted </w:t>
      </w:r>
      <w:r>
        <w:rPr>
          <w:rFonts w:ascii="Calibri" w:hAnsi="Calibri"/>
          <w:sz w:val="24"/>
          <w:szCs w:val="24"/>
        </w:rPr>
        <w:t xml:space="preserve">with genomic DNA </w:t>
      </w:r>
      <w:r w:rsidRPr="00320AE1">
        <w:rPr>
          <w:rFonts w:ascii="Calibri" w:hAnsi="Calibri"/>
          <w:sz w:val="24"/>
          <w:szCs w:val="24"/>
        </w:rPr>
        <w:t>from 50% stocks to 10%, 1%, 0.5%</w:t>
      </w:r>
      <w:r w:rsidR="00F968F6">
        <w:rPr>
          <w:rFonts w:ascii="Calibri" w:hAnsi="Calibri"/>
          <w:sz w:val="24"/>
          <w:szCs w:val="24"/>
        </w:rPr>
        <w:t>, 0.1%, 0.05% and 0.01% (Table</w:t>
      </w:r>
      <w:r w:rsidRPr="00320AE1">
        <w:rPr>
          <w:rFonts w:ascii="Calibri" w:hAnsi="Calibri"/>
          <w:sz w:val="24"/>
          <w:szCs w:val="24"/>
        </w:rPr>
        <w:t xml:space="preserve">).  </w:t>
      </w:r>
      <w:r>
        <w:rPr>
          <w:rFonts w:ascii="Calibri" w:hAnsi="Calibri"/>
          <w:sz w:val="24"/>
          <w:szCs w:val="24"/>
        </w:rPr>
        <w:t xml:space="preserve">AmpliSeq sequencing was performed with 10ng input DNA for all samples, described below.  </w:t>
      </w:r>
      <w:r w:rsidRPr="00320AE1">
        <w:rPr>
          <w:rFonts w:ascii="Calibri" w:hAnsi="Calibri"/>
          <w:sz w:val="24"/>
          <w:szCs w:val="24"/>
        </w:rPr>
        <w:t xml:space="preserve">In order to determine the background level of variants present in these samples, we further sequenced each individual mutation-positive DNA component (from plasmid or cell line) and blood donor DNA, barcoded separately. </w:t>
      </w:r>
    </w:p>
    <w:p w:rsidR="00B938C9" w:rsidRDefault="00F968F6" w:rsidP="00B938C9">
      <w:pPr>
        <w:spacing w:before="240" w:after="0" w:line="480" w:lineRule="auto"/>
        <w:rPr>
          <w:rFonts w:ascii="Calibri" w:hAnsi="Calibri"/>
          <w:b/>
          <w:sz w:val="24"/>
          <w:szCs w:val="24"/>
        </w:rPr>
      </w:pPr>
      <w:r>
        <w:rPr>
          <w:rFonts w:ascii="Calibri" w:hAnsi="Calibri"/>
          <w:sz w:val="24"/>
          <w:szCs w:val="24"/>
        </w:rPr>
        <w:lastRenderedPageBreak/>
        <w:t>Table</w:t>
      </w:r>
      <w:r w:rsidR="00B938C9" w:rsidRPr="007D6F2A">
        <w:rPr>
          <w:rFonts w:ascii="Calibri" w:hAnsi="Calibri"/>
          <w:sz w:val="24"/>
          <w:szCs w:val="24"/>
        </w:rPr>
        <w:t>.  Spiked mutation-</w:t>
      </w:r>
      <w:r w:rsidR="00B938C9">
        <w:rPr>
          <w:rFonts w:ascii="Calibri" w:hAnsi="Calibri"/>
          <w:sz w:val="24"/>
          <w:szCs w:val="24"/>
        </w:rPr>
        <w:t>positive control kit details</w:t>
      </w:r>
      <w:r w:rsidR="00B938C9" w:rsidRPr="007D6F2A">
        <w:rPr>
          <w:rFonts w:ascii="Calibri" w:hAnsi="Calibri"/>
          <w:sz w:val="24"/>
          <w:szCs w:val="24"/>
        </w:rPr>
        <w:t>.</w:t>
      </w:r>
      <w:r w:rsidR="00B938C9" w:rsidRPr="00320AE1">
        <w:rPr>
          <w:rFonts w:ascii="Calibri" w:hAnsi="Calibri"/>
          <w:b/>
          <w:sz w:val="24"/>
          <w:szCs w:val="24"/>
        </w:rPr>
        <w:t xml:space="preserve"> </w:t>
      </w:r>
    </w:p>
    <w:tbl>
      <w:tblPr>
        <w:tblW w:w="6536" w:type="dxa"/>
        <w:tblInd w:w="93" w:type="dxa"/>
        <w:tblLayout w:type="fixed"/>
        <w:tblLook w:val="04A0" w:firstRow="1" w:lastRow="0" w:firstColumn="1" w:lastColumn="0" w:noHBand="0" w:noVBand="1"/>
      </w:tblPr>
      <w:tblGrid>
        <w:gridCol w:w="1575"/>
        <w:gridCol w:w="1270"/>
        <w:gridCol w:w="1281"/>
        <w:gridCol w:w="1134"/>
        <w:gridCol w:w="1276"/>
      </w:tblGrid>
      <w:tr w:rsidR="00B938C9" w:rsidRPr="002E3F3C" w:rsidTr="00150508">
        <w:trPr>
          <w:trHeight w:val="327"/>
        </w:trPr>
        <w:tc>
          <w:tcPr>
            <w:tcW w:w="2845" w:type="dxa"/>
            <w:gridSpan w:val="2"/>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(A) Spiked-in kit composition</w:t>
            </w:r>
          </w:p>
        </w:tc>
        <w:tc>
          <w:tcPr>
            <w:tcW w:w="1281" w:type="dxa"/>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134" w:type="dxa"/>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6" w:type="dxa"/>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p>
        </w:tc>
      </w:tr>
      <w:tr w:rsidR="00B938C9" w:rsidRPr="002E3F3C" w:rsidTr="00150508">
        <w:trPr>
          <w:trHeight w:val="327"/>
        </w:trPr>
        <w:tc>
          <w:tcPr>
            <w:tcW w:w="1575" w:type="dxa"/>
            <w:tcBorders>
              <w:top w:val="single" w:sz="8" w:space="0" w:color="auto"/>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 </w:t>
            </w:r>
          </w:p>
        </w:tc>
        <w:tc>
          <w:tcPr>
            <w:tcW w:w="1270"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A</w:t>
            </w:r>
          </w:p>
        </w:tc>
        <w:tc>
          <w:tcPr>
            <w:tcW w:w="1281"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B</w:t>
            </w:r>
          </w:p>
        </w:tc>
        <w:tc>
          <w:tcPr>
            <w:tcW w:w="1134"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C</w:t>
            </w:r>
          </w:p>
        </w:tc>
        <w:tc>
          <w:tcPr>
            <w:tcW w:w="1276"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D</w:t>
            </w:r>
          </w:p>
        </w:tc>
      </w:tr>
      <w:tr w:rsidR="00B938C9" w:rsidRPr="002E3F3C" w:rsidTr="00150508">
        <w:trPr>
          <w:trHeight w:val="327"/>
        </w:trPr>
        <w:tc>
          <w:tcPr>
            <w:tcW w:w="1575"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Component</w:t>
            </w:r>
          </w:p>
        </w:tc>
        <w:tc>
          <w:tcPr>
            <w:tcW w:w="1270"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 </w:t>
            </w:r>
          </w:p>
        </w:tc>
        <w:tc>
          <w:tcPr>
            <w:tcW w:w="1281"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 </w:t>
            </w:r>
          </w:p>
        </w:tc>
        <w:tc>
          <w:tcPr>
            <w:tcW w:w="1134"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 </w:t>
            </w:r>
          </w:p>
        </w:tc>
        <w:tc>
          <w:tcPr>
            <w:tcW w:w="1276"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 </w:t>
            </w:r>
          </w:p>
        </w:tc>
      </w:tr>
      <w:tr w:rsidR="00B938C9" w:rsidRPr="002E3F3C" w:rsidTr="00150508">
        <w:trPr>
          <w:trHeight w:val="327"/>
        </w:trPr>
        <w:tc>
          <w:tcPr>
            <w:tcW w:w="1575"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wild-</w:t>
            </w:r>
            <w:r w:rsidRPr="002E3F3C">
              <w:rPr>
                <w:rFonts w:ascii="Calibri" w:eastAsia="Times New Roman" w:hAnsi="Calibri" w:cs="Times New Roman"/>
                <w:color w:val="000000"/>
                <w:lang w:eastAsia="en-GB"/>
              </w:rPr>
              <w:t>type gDNA</w:t>
            </w:r>
          </w:p>
        </w:tc>
        <w:tc>
          <w:tcPr>
            <w:tcW w:w="4961" w:type="dxa"/>
            <w:gridSpan w:val="4"/>
            <w:tcBorders>
              <w:top w:val="single" w:sz="8" w:space="0" w:color="auto"/>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DNA extracted from buffy coat blood donation</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c</w:t>
            </w:r>
            <w:r w:rsidRPr="002E3F3C">
              <w:rPr>
                <w:rFonts w:ascii="Calibri" w:eastAsia="Times New Roman" w:hAnsi="Calibri" w:cs="Times New Roman"/>
                <w:color w:val="000000"/>
                <w:lang w:eastAsia="en-GB"/>
              </w:rPr>
              <w:t>ell line DNA</w:t>
            </w: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KRAS p.G12A</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KRAS p.G12C</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KRAS p.G12V</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KRAS p.G13D</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TP53 p.A159D</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FBXW7 p.R479Q</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PDGFRA p.V824V</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PIK3CA p.E545K</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HRAS p.H27H</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KIT</w:t>
            </w:r>
            <w:r>
              <w:rPr>
                <w:rFonts w:ascii="Calibri" w:eastAsia="Times New Roman" w:hAnsi="Calibri" w:cs="Times New Roman"/>
                <w:color w:val="000000"/>
                <w:lang w:eastAsia="en-GB"/>
              </w:rPr>
              <w:t xml:space="preserve"> </w:t>
            </w:r>
            <w:r w:rsidRPr="002E3F3C">
              <w:rPr>
                <w:rFonts w:ascii="Calibri" w:eastAsia="Times New Roman" w:hAnsi="Calibri" w:cs="Times New Roman"/>
                <w:color w:val="000000"/>
                <w:lang w:eastAsia="en-GB"/>
              </w:rPr>
              <w:t>p.M541L</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SMO p.T640A</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Pr>
                <w:rFonts w:ascii="Calibri" w:eastAsia="Times New Roman" w:hAnsi="Calibri" w:cs="Times New Roman"/>
                <w:color w:val="000000"/>
                <w:lang w:eastAsia="en-GB"/>
              </w:rPr>
              <w:t>TP53 (chr17:7577538 C&gt;T)</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HRAS p.H27H</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HRAS p.H27H</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TP53 p.R273H</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TP53 p.S241F</w:t>
            </w:r>
          </w:p>
        </w:tc>
      </w:tr>
      <w:tr w:rsidR="00B938C9" w:rsidRPr="002E3F3C" w:rsidTr="00150508">
        <w:trPr>
          <w:trHeight w:val="950"/>
        </w:trPr>
        <w:tc>
          <w:tcPr>
            <w:tcW w:w="1575"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 </w:t>
            </w:r>
          </w:p>
        </w:tc>
        <w:tc>
          <w:tcPr>
            <w:tcW w:w="1270"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 </w:t>
            </w:r>
          </w:p>
        </w:tc>
        <w:tc>
          <w:tcPr>
            <w:tcW w:w="1281"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 </w:t>
            </w:r>
          </w:p>
        </w:tc>
        <w:tc>
          <w:tcPr>
            <w:tcW w:w="1134" w:type="dxa"/>
            <w:tcBorders>
              <w:top w:val="nil"/>
              <w:left w:val="nil"/>
              <w:bottom w:val="single" w:sz="8" w:space="0" w:color="auto"/>
              <w:right w:val="nil"/>
            </w:tcBorders>
            <w:shd w:val="clear" w:color="auto" w:fill="auto"/>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SMAD4 c.955+5G&gt;C (intronic)</w:t>
            </w:r>
          </w:p>
        </w:tc>
        <w:tc>
          <w:tcPr>
            <w:tcW w:w="1276" w:type="dxa"/>
            <w:tcBorders>
              <w:top w:val="nil"/>
              <w:left w:val="nil"/>
              <w:bottom w:val="single" w:sz="8" w:space="0" w:color="auto"/>
              <w:right w:val="nil"/>
            </w:tcBorders>
            <w:shd w:val="clear" w:color="auto" w:fill="auto"/>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SMARCB1 c.1119-41G&gt;A (intronic)</w:t>
            </w:r>
          </w:p>
        </w:tc>
      </w:tr>
      <w:tr w:rsidR="00B938C9" w:rsidRPr="002E3F3C" w:rsidTr="00150508">
        <w:trPr>
          <w:trHeight w:val="327"/>
        </w:trPr>
        <w:tc>
          <w:tcPr>
            <w:tcW w:w="1575"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plasmid DNA</w:t>
            </w:r>
          </w:p>
        </w:tc>
        <w:tc>
          <w:tcPr>
            <w:tcW w:w="1270"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EGFR L747_S752</w:t>
            </w:r>
          </w:p>
        </w:tc>
        <w:tc>
          <w:tcPr>
            <w:tcW w:w="1281"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EGFR T790M</w:t>
            </w:r>
          </w:p>
        </w:tc>
        <w:tc>
          <w:tcPr>
            <w:tcW w:w="1134"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EGFR L858R</w:t>
            </w:r>
          </w:p>
        </w:tc>
        <w:tc>
          <w:tcPr>
            <w:tcW w:w="1276"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EGFR L747_E749</w:t>
            </w:r>
          </w:p>
        </w:tc>
      </w:tr>
      <w:tr w:rsidR="00B938C9" w:rsidRPr="002E3F3C" w:rsidTr="00150508">
        <w:trPr>
          <w:trHeight w:val="327"/>
        </w:trPr>
        <w:tc>
          <w:tcPr>
            <w:tcW w:w="1575"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plasmid DNA</w:t>
            </w:r>
          </w:p>
        </w:tc>
        <w:tc>
          <w:tcPr>
            <w:tcW w:w="1270"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 </w:t>
            </w:r>
          </w:p>
        </w:tc>
        <w:tc>
          <w:tcPr>
            <w:tcW w:w="1281"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BRAF V600K</w:t>
            </w:r>
          </w:p>
        </w:tc>
        <w:tc>
          <w:tcPr>
            <w:tcW w:w="1134"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BRAF V600E</w:t>
            </w:r>
          </w:p>
        </w:tc>
        <w:tc>
          <w:tcPr>
            <w:tcW w:w="1276"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 </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p>
        </w:tc>
      </w:tr>
      <w:tr w:rsidR="00B938C9" w:rsidRPr="002E3F3C" w:rsidTr="00150508">
        <w:trPr>
          <w:trHeight w:val="327"/>
        </w:trPr>
        <w:tc>
          <w:tcPr>
            <w:tcW w:w="4126" w:type="dxa"/>
            <w:gridSpan w:val="3"/>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(B) Mutant allele concentration in each tube.</w:t>
            </w:r>
          </w:p>
        </w:tc>
        <w:tc>
          <w:tcPr>
            <w:tcW w:w="1134" w:type="dxa"/>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p>
        </w:tc>
        <w:tc>
          <w:tcPr>
            <w:tcW w:w="1276" w:type="dxa"/>
            <w:tcBorders>
              <w:top w:val="nil"/>
              <w:left w:val="nil"/>
              <w:bottom w:val="nil"/>
              <w:right w:val="nil"/>
            </w:tcBorders>
            <w:shd w:val="clear" w:color="auto" w:fill="auto"/>
            <w:noWrap/>
            <w:vAlign w:val="bottom"/>
            <w:hideMark/>
          </w:tcPr>
          <w:p w:rsidR="00B938C9" w:rsidRPr="002E3F3C" w:rsidRDefault="00B938C9" w:rsidP="00150508">
            <w:pPr>
              <w:spacing w:after="0" w:line="240" w:lineRule="auto"/>
              <w:rPr>
                <w:rFonts w:ascii="Calibri" w:eastAsia="Times New Roman" w:hAnsi="Calibri" w:cs="Times New Roman"/>
                <w:color w:val="000000"/>
                <w:lang w:eastAsia="en-GB"/>
              </w:rPr>
            </w:pPr>
          </w:p>
        </w:tc>
      </w:tr>
      <w:tr w:rsidR="00B938C9" w:rsidRPr="002E3F3C" w:rsidTr="00150508">
        <w:trPr>
          <w:trHeight w:val="311"/>
        </w:trPr>
        <w:tc>
          <w:tcPr>
            <w:tcW w:w="1575"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 </w:t>
            </w:r>
          </w:p>
        </w:tc>
        <w:tc>
          <w:tcPr>
            <w:tcW w:w="1270"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A</w:t>
            </w:r>
          </w:p>
        </w:tc>
        <w:tc>
          <w:tcPr>
            <w:tcW w:w="1281"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B</w:t>
            </w:r>
          </w:p>
        </w:tc>
        <w:tc>
          <w:tcPr>
            <w:tcW w:w="1134"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C</w:t>
            </w:r>
          </w:p>
        </w:tc>
        <w:tc>
          <w:tcPr>
            <w:tcW w:w="1276" w:type="dxa"/>
            <w:tcBorders>
              <w:top w:val="single" w:sz="8" w:space="0" w:color="auto"/>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Kit D</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Tube 1</w:t>
            </w: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0.50%</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0.10%</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0.05%</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0.05%</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Tube 2</w:t>
            </w: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0.05%</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0.50%</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0.01%</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Tube 3</w:t>
            </w: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0.01%</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0.50%</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0.10%</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Tube 4</w:t>
            </w: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0.10%</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0.05%</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0.01%</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w:t>
            </w:r>
          </w:p>
        </w:tc>
      </w:tr>
      <w:tr w:rsidR="00B938C9" w:rsidRPr="002E3F3C" w:rsidTr="00150508">
        <w:trPr>
          <w:trHeight w:val="311"/>
        </w:trPr>
        <w:tc>
          <w:tcPr>
            <w:tcW w:w="1575"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Tube 5</w:t>
            </w:r>
          </w:p>
        </w:tc>
        <w:tc>
          <w:tcPr>
            <w:tcW w:w="1270"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w:t>
            </w:r>
          </w:p>
        </w:tc>
        <w:tc>
          <w:tcPr>
            <w:tcW w:w="1281"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0.01%</w:t>
            </w:r>
          </w:p>
        </w:tc>
        <w:tc>
          <w:tcPr>
            <w:tcW w:w="1134"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0.10%</w:t>
            </w:r>
          </w:p>
        </w:tc>
        <w:tc>
          <w:tcPr>
            <w:tcW w:w="1276" w:type="dxa"/>
            <w:tcBorders>
              <w:top w:val="nil"/>
              <w:left w:val="nil"/>
              <w:bottom w:val="nil"/>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0.50%</w:t>
            </w:r>
          </w:p>
        </w:tc>
      </w:tr>
      <w:tr w:rsidR="00B938C9" w:rsidRPr="002E3F3C" w:rsidTr="00150508">
        <w:trPr>
          <w:trHeight w:val="327"/>
        </w:trPr>
        <w:tc>
          <w:tcPr>
            <w:tcW w:w="1575"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rPr>
                <w:rFonts w:ascii="Calibri" w:eastAsia="Times New Roman" w:hAnsi="Calibri" w:cs="Times New Roman"/>
                <w:b/>
                <w:bCs/>
                <w:color w:val="000000"/>
                <w:lang w:eastAsia="en-GB"/>
              </w:rPr>
            </w:pPr>
            <w:r w:rsidRPr="002E3F3C">
              <w:rPr>
                <w:rFonts w:ascii="Calibri" w:eastAsia="Times New Roman" w:hAnsi="Calibri" w:cs="Times New Roman"/>
                <w:b/>
                <w:bCs/>
                <w:color w:val="000000"/>
                <w:lang w:eastAsia="en-GB"/>
              </w:rPr>
              <w:t>Tube 6</w:t>
            </w:r>
          </w:p>
        </w:tc>
        <w:tc>
          <w:tcPr>
            <w:tcW w:w="1270"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10%</w:t>
            </w:r>
          </w:p>
        </w:tc>
        <w:tc>
          <w:tcPr>
            <w:tcW w:w="1281"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10%</w:t>
            </w:r>
          </w:p>
        </w:tc>
        <w:tc>
          <w:tcPr>
            <w:tcW w:w="1134"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10%</w:t>
            </w:r>
          </w:p>
        </w:tc>
        <w:tc>
          <w:tcPr>
            <w:tcW w:w="1276" w:type="dxa"/>
            <w:tcBorders>
              <w:top w:val="nil"/>
              <w:left w:val="nil"/>
              <w:bottom w:val="single" w:sz="8" w:space="0" w:color="auto"/>
              <w:right w:val="nil"/>
            </w:tcBorders>
            <w:shd w:val="clear" w:color="auto" w:fill="auto"/>
            <w:noWrap/>
            <w:vAlign w:val="center"/>
            <w:hideMark/>
          </w:tcPr>
          <w:p w:rsidR="00B938C9" w:rsidRPr="002E3F3C" w:rsidRDefault="00B938C9" w:rsidP="00150508">
            <w:pPr>
              <w:spacing w:after="0" w:line="240" w:lineRule="auto"/>
              <w:jc w:val="center"/>
              <w:rPr>
                <w:rFonts w:ascii="Calibri" w:eastAsia="Times New Roman" w:hAnsi="Calibri" w:cs="Times New Roman"/>
                <w:color w:val="000000"/>
                <w:lang w:eastAsia="en-GB"/>
              </w:rPr>
            </w:pPr>
            <w:r w:rsidRPr="002E3F3C">
              <w:rPr>
                <w:rFonts w:ascii="Calibri" w:eastAsia="Times New Roman" w:hAnsi="Calibri" w:cs="Times New Roman"/>
                <w:color w:val="000000"/>
                <w:lang w:eastAsia="en-GB"/>
              </w:rPr>
              <w:t>10%</w:t>
            </w:r>
          </w:p>
        </w:tc>
      </w:tr>
    </w:tbl>
    <w:p w:rsidR="00B938C9" w:rsidRPr="00767EF7" w:rsidRDefault="00B938C9" w:rsidP="00B938C9">
      <w:pPr>
        <w:spacing w:after="0" w:line="480" w:lineRule="auto"/>
        <w:rPr>
          <w:rFonts w:ascii="Calibri" w:hAnsi="Calibri"/>
          <w:sz w:val="24"/>
          <w:szCs w:val="24"/>
        </w:rPr>
      </w:pPr>
    </w:p>
    <w:p w:rsidR="00B938C9" w:rsidRPr="00D169D5" w:rsidRDefault="00D169D5" w:rsidP="00D169D5">
      <w:pPr>
        <w:spacing w:line="480" w:lineRule="auto"/>
        <w:rPr>
          <w:rFonts w:ascii="Calibri" w:hAnsi="Calibri"/>
          <w:sz w:val="24"/>
          <w:szCs w:val="24"/>
        </w:rPr>
      </w:pPr>
      <w:r w:rsidRPr="00D169D5">
        <w:rPr>
          <w:rFonts w:ascii="Calibri" w:hAnsi="Calibri"/>
          <w:sz w:val="24"/>
          <w:szCs w:val="24"/>
        </w:rPr>
        <w:t>(A</w:t>
      </w:r>
      <w:r>
        <w:rPr>
          <w:rFonts w:ascii="Calibri" w:hAnsi="Calibri"/>
          <w:sz w:val="24"/>
          <w:szCs w:val="24"/>
        </w:rPr>
        <w:t xml:space="preserve">) </w:t>
      </w:r>
      <w:r w:rsidR="00B938C9" w:rsidRPr="00D169D5">
        <w:rPr>
          <w:rFonts w:ascii="Calibri" w:hAnsi="Calibri"/>
          <w:sz w:val="24"/>
          <w:szCs w:val="24"/>
        </w:rPr>
        <w:t xml:space="preserve">Spiked-in kit composition.  The control kits were prepared by adding equal copies of mutation-positive cell line and plasmid DNA to wild-type genomic DNA (gDNA) from a blood donor, resulting in a 50:50 mixture of </w:t>
      </w:r>
      <w:proofErr w:type="spellStart"/>
      <w:r w:rsidR="00B938C9" w:rsidRPr="00D169D5">
        <w:rPr>
          <w:rFonts w:ascii="Calibri" w:hAnsi="Calibri"/>
          <w:sz w:val="24"/>
          <w:szCs w:val="24"/>
        </w:rPr>
        <w:t>mutant</w:t>
      </w:r>
      <w:proofErr w:type="gramStart"/>
      <w:r w:rsidR="00B938C9" w:rsidRPr="00D169D5">
        <w:rPr>
          <w:rFonts w:ascii="Calibri" w:hAnsi="Calibri"/>
          <w:sz w:val="24"/>
          <w:szCs w:val="24"/>
        </w:rPr>
        <w:t>:wild</w:t>
      </w:r>
      <w:proofErr w:type="gramEnd"/>
      <w:r w:rsidR="00B938C9" w:rsidRPr="00D169D5">
        <w:rPr>
          <w:rFonts w:ascii="Calibri" w:hAnsi="Calibri"/>
          <w:sz w:val="24"/>
          <w:szCs w:val="24"/>
        </w:rPr>
        <w:t>-type</w:t>
      </w:r>
      <w:proofErr w:type="spellEnd"/>
      <w:r w:rsidR="00B938C9" w:rsidRPr="00D169D5">
        <w:rPr>
          <w:rFonts w:ascii="Calibri" w:hAnsi="Calibri"/>
          <w:sz w:val="24"/>
          <w:szCs w:val="24"/>
        </w:rPr>
        <w:t xml:space="preserve"> DNA.  Hotspot mutations are shown in bold-face type.  The TP53 (chr17:7577538</w:t>
      </w:r>
      <w:r w:rsidR="00B938C9" w:rsidRPr="00D169D5">
        <w:rPr>
          <w:rFonts w:ascii="Calibri" w:eastAsia="Times New Roman" w:hAnsi="Calibri" w:cs="Times New Roman"/>
          <w:color w:val="000000"/>
          <w:lang w:eastAsia="en-GB"/>
        </w:rPr>
        <w:t xml:space="preserve"> </w:t>
      </w:r>
      <w:r w:rsidR="00B938C9" w:rsidRPr="00D169D5">
        <w:rPr>
          <w:rFonts w:ascii="Calibri" w:eastAsia="Times New Roman" w:hAnsi="Calibri" w:cs="Times New Roman"/>
          <w:color w:val="000000"/>
          <w:sz w:val="24"/>
          <w:szCs w:val="24"/>
          <w:lang w:eastAsia="en-GB"/>
        </w:rPr>
        <w:t>C&gt;T</w:t>
      </w:r>
      <w:r w:rsidR="00B938C9" w:rsidRPr="00D169D5">
        <w:rPr>
          <w:rFonts w:ascii="Calibri" w:hAnsi="Calibri"/>
          <w:sz w:val="24"/>
          <w:szCs w:val="24"/>
        </w:rPr>
        <w:t xml:space="preserve">) mutation has multiple coding sequence and amino acid nomenclature.  Four kits with different mixes of mutations were made, as </w:t>
      </w:r>
      <w:r w:rsidR="00B938C9" w:rsidRPr="00D169D5">
        <w:rPr>
          <w:rFonts w:ascii="Calibri" w:hAnsi="Calibri"/>
          <w:sz w:val="24"/>
          <w:szCs w:val="24"/>
        </w:rPr>
        <w:lastRenderedPageBreak/>
        <w:t>listed.  (B) Mutant allele concentration in each tube.  The samples were serially diluted from the 50% stocks with wild-type DNA to 10%, 1%, 0.5%, 0.1%, 0.05% and 0.01%, and arranged in random order for testing (tube 6 is always 10%).</w:t>
      </w:r>
    </w:p>
    <w:p w:rsidR="00D169D5" w:rsidRPr="00D169D5" w:rsidRDefault="00D169D5" w:rsidP="00D169D5">
      <w:pPr>
        <w:pStyle w:val="Heading2"/>
        <w:spacing w:line="480" w:lineRule="auto"/>
        <w:rPr>
          <w:rFonts w:ascii="Calibri" w:hAnsi="Calibri"/>
          <w:color w:val="auto"/>
          <w:sz w:val="28"/>
          <w:szCs w:val="28"/>
        </w:rPr>
      </w:pPr>
      <w:r w:rsidRPr="00D169D5">
        <w:rPr>
          <w:rFonts w:ascii="Calibri" w:hAnsi="Calibri"/>
          <w:color w:val="auto"/>
          <w:sz w:val="28"/>
          <w:szCs w:val="28"/>
        </w:rPr>
        <w:t>Sequence analysis</w:t>
      </w:r>
    </w:p>
    <w:p w:rsidR="00D169D5" w:rsidRPr="00D169D5" w:rsidRDefault="00D169D5" w:rsidP="00D169D5">
      <w:pPr>
        <w:spacing w:line="480" w:lineRule="auto"/>
        <w:rPr>
          <w:sz w:val="24"/>
          <w:szCs w:val="24"/>
        </w:rPr>
      </w:pPr>
      <w:r w:rsidRPr="00D169D5">
        <w:rPr>
          <w:sz w:val="24"/>
          <w:szCs w:val="24"/>
        </w:rPr>
        <w:t>Because the Torrent Variant Caller (TVC) prior to version v4.4 was not optimised to detect variants below 1%, allelic frequencies were inferred from counts of reads containing the spiked-in mutations. Deletions were estimated by counting the reads carrying a deletion at the genomic midpoint of the given deletion.  Reads were not filtered to avoid considerably distorting the allele frequencies of the highly diluted samples. This estimation of allelic frequency did not benefit from the statistical model or raw signal processing algorithm that was present in TVC, but it provided a reasonable estimate in the absence of a more sophisticated tool.</w:t>
      </w:r>
    </w:p>
    <w:p w:rsidR="006D26CF" w:rsidRPr="008915CC" w:rsidRDefault="008915CC" w:rsidP="008915CC">
      <w:pPr>
        <w:pStyle w:val="Heading1"/>
        <w:spacing w:line="480" w:lineRule="auto"/>
        <w:rPr>
          <w:rFonts w:ascii="Calibri" w:eastAsiaTheme="minorEastAsia" w:hAnsi="Calibri"/>
          <w:color w:val="auto"/>
          <w:kern w:val="24"/>
          <w:sz w:val="32"/>
          <w:szCs w:val="32"/>
          <w:lang w:eastAsia="en-GB"/>
        </w:rPr>
      </w:pPr>
      <w:r w:rsidRPr="008915CC">
        <w:rPr>
          <w:rFonts w:ascii="Calibri" w:hAnsi="Calibri"/>
          <w:color w:val="auto"/>
          <w:sz w:val="32"/>
          <w:szCs w:val="32"/>
        </w:rPr>
        <w:t>Results</w:t>
      </w:r>
      <w:r w:rsidR="006D26CF" w:rsidRPr="008915CC">
        <w:rPr>
          <w:rFonts w:ascii="Calibri" w:hAnsi="Calibri"/>
          <w:color w:val="auto"/>
          <w:sz w:val="32"/>
          <w:szCs w:val="32"/>
        </w:rPr>
        <w:t xml:space="preserve">  </w:t>
      </w:r>
    </w:p>
    <w:p w:rsidR="006D26CF" w:rsidRPr="00320AE1" w:rsidRDefault="006D26CF" w:rsidP="006D26CF">
      <w:pPr>
        <w:spacing w:after="0" w:line="480" w:lineRule="auto"/>
        <w:rPr>
          <w:rFonts w:ascii="Calibri" w:hAnsi="Calibri"/>
          <w:b/>
          <w:sz w:val="24"/>
          <w:szCs w:val="24"/>
        </w:rPr>
      </w:pPr>
      <w:r w:rsidRPr="00320AE1">
        <w:rPr>
          <w:rFonts w:ascii="Calibri" w:hAnsi="Calibri"/>
          <w:b/>
          <w:sz w:val="24"/>
          <w:szCs w:val="24"/>
        </w:rPr>
        <w:t>Detection of known mutations in spiked-in mutation-positive control kits</w:t>
      </w:r>
    </w:p>
    <w:p w:rsidR="006D26CF" w:rsidRDefault="006D26CF" w:rsidP="006D26CF">
      <w:pPr>
        <w:spacing w:after="0" w:line="480" w:lineRule="auto"/>
        <w:rPr>
          <w:rFonts w:ascii="Calibri" w:hAnsi="Calibri"/>
          <w:sz w:val="24"/>
          <w:szCs w:val="24"/>
        </w:rPr>
      </w:pPr>
      <w:r w:rsidRPr="00827BE3">
        <w:rPr>
          <w:rFonts w:ascii="Calibri" w:hAnsi="Calibri"/>
          <w:sz w:val="24"/>
          <w:szCs w:val="24"/>
        </w:rPr>
        <w:t>DNA carrying known mutations was spiked into control blood donor DNA, serially diluted and subsequently sequenced on the PGM™ using Cancer Hotspot Panel v.2 (CHPv2).  By tallying the counts of reads containing the spiked-in mutations from the BAM files, we generated an initial result for all mutation-positive samples (S</w:t>
      </w:r>
      <w:r>
        <w:rPr>
          <w:rFonts w:ascii="Calibri" w:hAnsi="Calibri"/>
          <w:sz w:val="24"/>
          <w:szCs w:val="24"/>
        </w:rPr>
        <w:t>1</w:t>
      </w:r>
      <w:r w:rsidRPr="00827BE3">
        <w:rPr>
          <w:rFonts w:ascii="Calibri" w:hAnsi="Calibri"/>
          <w:sz w:val="24"/>
          <w:szCs w:val="24"/>
        </w:rPr>
        <w:t xml:space="preserve"> Table).   </w:t>
      </w:r>
      <w:r>
        <w:rPr>
          <w:rFonts w:ascii="Calibri" w:hAnsi="Calibri"/>
          <w:sz w:val="24"/>
          <w:szCs w:val="24"/>
        </w:rPr>
        <w:t>We confirmed that the blood donor genomic DNA did not carry any hotspot or pathogenic mutations covered by the panel (S1 Table).  We plotted the fraction of spiked-in alleles and other alternative alleles (“noise”) that we observed at each dilution, and used this to infer t</w:t>
      </w:r>
      <w:r w:rsidRPr="00827BE3">
        <w:rPr>
          <w:rFonts w:ascii="Calibri" w:hAnsi="Calibri"/>
          <w:sz w:val="24"/>
          <w:szCs w:val="24"/>
        </w:rPr>
        <w:t>he sensitivity of this analysis (</w:t>
      </w:r>
      <w:r w:rsidR="00D169D5">
        <w:rPr>
          <w:rFonts w:ascii="Calibri" w:hAnsi="Calibri"/>
          <w:sz w:val="24"/>
          <w:szCs w:val="24"/>
        </w:rPr>
        <w:t>S1 Fig</w:t>
      </w:r>
      <w:r w:rsidRPr="00827BE3">
        <w:rPr>
          <w:rFonts w:ascii="Calibri" w:hAnsi="Calibri"/>
          <w:sz w:val="24"/>
          <w:szCs w:val="24"/>
        </w:rPr>
        <w:t xml:space="preserve">).  </w:t>
      </w:r>
      <w:r>
        <w:rPr>
          <w:rFonts w:ascii="Calibri" w:hAnsi="Calibri"/>
          <w:sz w:val="24"/>
          <w:szCs w:val="24"/>
        </w:rPr>
        <w:t xml:space="preserve">Because the serial dilutions were made from the 10% tube, when this </w:t>
      </w:r>
      <w:r>
        <w:rPr>
          <w:rFonts w:ascii="Calibri" w:hAnsi="Calibri"/>
          <w:sz w:val="24"/>
          <w:szCs w:val="24"/>
        </w:rPr>
        <w:lastRenderedPageBreak/>
        <w:t xml:space="preserve">tube was imprecise the rest of the dilution series was shifted, resulting in observed allele frequencies that are different to the intended spiked-in concentration (O = observed in </w:t>
      </w:r>
      <w:r w:rsidR="00D169D5">
        <w:rPr>
          <w:rFonts w:ascii="Calibri" w:hAnsi="Calibri"/>
          <w:sz w:val="24"/>
          <w:szCs w:val="24"/>
        </w:rPr>
        <w:t>S1 Fig</w:t>
      </w:r>
      <w:r>
        <w:rPr>
          <w:rFonts w:ascii="Calibri" w:hAnsi="Calibri"/>
          <w:sz w:val="24"/>
          <w:szCs w:val="24"/>
        </w:rPr>
        <w:t>).</w:t>
      </w:r>
    </w:p>
    <w:p w:rsidR="006D26CF" w:rsidRDefault="006D26CF" w:rsidP="006D26CF">
      <w:pPr>
        <w:spacing w:after="0" w:line="480" w:lineRule="auto"/>
        <w:rPr>
          <w:rFonts w:ascii="Calibri" w:hAnsi="Calibri"/>
          <w:sz w:val="24"/>
          <w:szCs w:val="24"/>
        </w:rPr>
      </w:pPr>
    </w:p>
    <w:p w:rsidR="006D26CF" w:rsidRPr="00827BE3" w:rsidRDefault="006D26CF" w:rsidP="006D26CF">
      <w:pPr>
        <w:spacing w:after="0" w:line="480" w:lineRule="auto"/>
        <w:rPr>
          <w:rFonts w:ascii="Calibri" w:hAnsi="Calibri"/>
          <w:sz w:val="24"/>
          <w:szCs w:val="24"/>
        </w:rPr>
      </w:pPr>
      <w:r>
        <w:rPr>
          <w:rFonts w:ascii="Calibri" w:hAnsi="Calibri"/>
          <w:sz w:val="24"/>
          <w:szCs w:val="24"/>
        </w:rPr>
        <w:t>For all of the different hotspot mutations, the spiked-in alternative allele represents the vast majority of the alternative alleles detected in the 10% and 1% dilution tubes (</w:t>
      </w:r>
      <w:r w:rsidR="00CF1649">
        <w:rPr>
          <w:rFonts w:ascii="Calibri" w:hAnsi="Calibri"/>
          <w:sz w:val="24"/>
          <w:szCs w:val="24"/>
        </w:rPr>
        <w:t>S1 Fig</w:t>
      </w:r>
      <w:r>
        <w:rPr>
          <w:rFonts w:ascii="Calibri" w:hAnsi="Calibri"/>
          <w:sz w:val="24"/>
          <w:szCs w:val="24"/>
        </w:rPr>
        <w:t xml:space="preserve">).  For </w:t>
      </w:r>
      <w:r w:rsidR="00654A20">
        <w:rPr>
          <w:rFonts w:ascii="Calibri" w:hAnsi="Calibri"/>
          <w:sz w:val="24"/>
          <w:szCs w:val="24"/>
        </w:rPr>
        <w:t>five</w:t>
      </w:r>
      <w:r w:rsidRPr="008206D9">
        <w:rPr>
          <w:rFonts w:ascii="Calibri" w:hAnsi="Calibri"/>
          <w:sz w:val="24"/>
          <w:szCs w:val="24"/>
        </w:rPr>
        <w:t xml:space="preserve"> of </w:t>
      </w:r>
      <w:r>
        <w:rPr>
          <w:rFonts w:ascii="Calibri" w:hAnsi="Calibri"/>
          <w:sz w:val="24"/>
          <w:szCs w:val="24"/>
        </w:rPr>
        <w:t xml:space="preserve">the </w:t>
      </w:r>
      <w:r w:rsidRPr="008206D9">
        <w:rPr>
          <w:rFonts w:ascii="Calibri" w:hAnsi="Calibri"/>
          <w:sz w:val="24"/>
          <w:szCs w:val="24"/>
        </w:rPr>
        <w:t>mutations</w:t>
      </w:r>
      <w:r>
        <w:rPr>
          <w:rFonts w:ascii="Calibri" w:hAnsi="Calibri"/>
          <w:sz w:val="24"/>
          <w:szCs w:val="24"/>
        </w:rPr>
        <w:t xml:space="preserve"> </w:t>
      </w:r>
      <w:r w:rsidRPr="008206D9">
        <w:rPr>
          <w:rFonts w:ascii="Calibri" w:hAnsi="Calibri"/>
          <w:sz w:val="24"/>
          <w:szCs w:val="24"/>
        </w:rPr>
        <w:t>(</w:t>
      </w:r>
      <w:r w:rsidRPr="00043448">
        <w:rPr>
          <w:rFonts w:ascii="Calibri" w:hAnsi="Calibri"/>
          <w:i/>
          <w:sz w:val="24"/>
          <w:szCs w:val="24"/>
        </w:rPr>
        <w:t>PIK3CA E545K, EGFR T790M, BRAF V600K, KRAS G12V</w:t>
      </w:r>
      <w:r w:rsidRPr="008206D9">
        <w:rPr>
          <w:rFonts w:ascii="Calibri" w:hAnsi="Calibri"/>
          <w:sz w:val="24"/>
          <w:szCs w:val="24"/>
        </w:rPr>
        <w:t xml:space="preserve">, and </w:t>
      </w:r>
      <w:r w:rsidRPr="00043448">
        <w:rPr>
          <w:rFonts w:ascii="Calibri" w:hAnsi="Calibri"/>
          <w:i/>
          <w:sz w:val="24"/>
          <w:szCs w:val="24"/>
        </w:rPr>
        <w:t>KRAS G13D</w:t>
      </w:r>
      <w:r>
        <w:rPr>
          <w:rFonts w:ascii="Calibri" w:hAnsi="Calibri"/>
          <w:i/>
          <w:sz w:val="24"/>
          <w:szCs w:val="24"/>
        </w:rPr>
        <w:t>)</w:t>
      </w:r>
      <w:r>
        <w:rPr>
          <w:rFonts w:ascii="Calibri" w:hAnsi="Calibri"/>
          <w:sz w:val="24"/>
          <w:szCs w:val="24"/>
        </w:rPr>
        <w:t>,</w:t>
      </w:r>
      <w:r w:rsidRPr="008206D9">
        <w:rPr>
          <w:rFonts w:ascii="Calibri" w:hAnsi="Calibri"/>
          <w:sz w:val="24"/>
          <w:szCs w:val="24"/>
        </w:rPr>
        <w:t xml:space="preserve"> </w:t>
      </w:r>
      <w:r>
        <w:rPr>
          <w:rFonts w:ascii="Calibri" w:hAnsi="Calibri"/>
          <w:sz w:val="24"/>
          <w:szCs w:val="24"/>
        </w:rPr>
        <w:t>the spiked-in allele was</w:t>
      </w:r>
      <w:r w:rsidRPr="008206D9">
        <w:rPr>
          <w:rFonts w:ascii="Calibri" w:hAnsi="Calibri"/>
          <w:sz w:val="24"/>
          <w:szCs w:val="24"/>
        </w:rPr>
        <w:t xml:space="preserve"> </w:t>
      </w:r>
      <w:r>
        <w:rPr>
          <w:rFonts w:ascii="Calibri" w:hAnsi="Calibri"/>
          <w:sz w:val="24"/>
          <w:szCs w:val="24"/>
        </w:rPr>
        <w:t>the main alternative allele</w:t>
      </w:r>
      <w:r w:rsidRPr="008206D9">
        <w:rPr>
          <w:rFonts w:ascii="Calibri" w:hAnsi="Calibri"/>
          <w:sz w:val="24"/>
          <w:szCs w:val="24"/>
        </w:rPr>
        <w:t xml:space="preserve"> </w:t>
      </w:r>
      <w:r>
        <w:rPr>
          <w:rFonts w:ascii="Calibri" w:hAnsi="Calibri"/>
          <w:sz w:val="24"/>
          <w:szCs w:val="24"/>
        </w:rPr>
        <w:t>down to the 0.1% dilution (</w:t>
      </w:r>
      <w:r w:rsidR="00654A20">
        <w:rPr>
          <w:rFonts w:ascii="Calibri" w:hAnsi="Calibri"/>
          <w:sz w:val="24"/>
          <w:szCs w:val="24"/>
        </w:rPr>
        <w:t>S1 Fig</w:t>
      </w:r>
      <w:r>
        <w:rPr>
          <w:rFonts w:ascii="Calibri" w:hAnsi="Calibri"/>
          <w:sz w:val="24"/>
          <w:szCs w:val="24"/>
        </w:rPr>
        <w:t xml:space="preserve"> and S1 Table</w:t>
      </w:r>
      <w:r w:rsidRPr="008206D9">
        <w:rPr>
          <w:rFonts w:ascii="Calibri" w:hAnsi="Calibri"/>
          <w:sz w:val="24"/>
          <w:szCs w:val="24"/>
        </w:rPr>
        <w:t xml:space="preserve">). </w:t>
      </w:r>
      <w:r>
        <w:rPr>
          <w:rFonts w:ascii="Calibri" w:hAnsi="Calibri"/>
          <w:sz w:val="24"/>
          <w:szCs w:val="24"/>
        </w:rPr>
        <w:t>The additional</w:t>
      </w:r>
      <w:r w:rsidRPr="00320AE1">
        <w:rPr>
          <w:rFonts w:ascii="Calibri" w:hAnsi="Calibri"/>
          <w:sz w:val="24"/>
          <w:szCs w:val="24"/>
        </w:rPr>
        <w:t xml:space="preserve"> alternat</w:t>
      </w:r>
      <w:r>
        <w:rPr>
          <w:rFonts w:ascii="Calibri" w:hAnsi="Calibri"/>
          <w:sz w:val="24"/>
          <w:szCs w:val="24"/>
        </w:rPr>
        <w:t>iv</w:t>
      </w:r>
      <w:r w:rsidRPr="00320AE1">
        <w:rPr>
          <w:rFonts w:ascii="Calibri" w:hAnsi="Calibri"/>
          <w:sz w:val="24"/>
          <w:szCs w:val="24"/>
        </w:rPr>
        <w:t>e alleles</w:t>
      </w:r>
      <w:r>
        <w:rPr>
          <w:rFonts w:ascii="Calibri" w:hAnsi="Calibri"/>
          <w:sz w:val="24"/>
          <w:szCs w:val="24"/>
        </w:rPr>
        <w:t xml:space="preserve"> </w:t>
      </w:r>
      <w:r w:rsidRPr="00320AE1">
        <w:rPr>
          <w:rFonts w:ascii="Calibri" w:hAnsi="Calibri"/>
          <w:sz w:val="24"/>
          <w:szCs w:val="24"/>
        </w:rPr>
        <w:t xml:space="preserve">may have arisen due to inaccuracy at the dilution or library preparation stage or due to sequencing error. </w:t>
      </w:r>
      <w:r>
        <w:rPr>
          <w:rFonts w:ascii="Calibri" w:hAnsi="Calibri"/>
          <w:sz w:val="24"/>
          <w:szCs w:val="24"/>
        </w:rPr>
        <w:t xml:space="preserve">  In some cases we observed the other alternative alleles at frequencies between 0.1 and 0.5%, which suggested that use of the Ion Torrent Variant Caller, which has a detection limit of 0.5%, would be suitable for routine analysis.  </w:t>
      </w:r>
      <w:r w:rsidR="005017CE">
        <w:rPr>
          <w:rFonts w:ascii="Calibri" w:hAnsi="Calibri"/>
          <w:sz w:val="24"/>
          <w:szCs w:val="24"/>
        </w:rPr>
        <w:t>Further sensitivity experiments could be performed using fragmented DNA to better simulate plasma DNA.</w:t>
      </w:r>
    </w:p>
    <w:p w:rsidR="006131C3" w:rsidRDefault="006131C3" w:rsidP="008915CC">
      <w:pPr>
        <w:spacing w:after="0" w:line="480" w:lineRule="auto"/>
        <w:rPr>
          <w:rFonts w:ascii="Calibri" w:hAnsi="Calibri"/>
          <w:sz w:val="24"/>
          <w:szCs w:val="24"/>
        </w:rPr>
      </w:pPr>
    </w:p>
    <w:p w:rsidR="00CF1649" w:rsidRDefault="006131C3" w:rsidP="008915CC">
      <w:pPr>
        <w:spacing w:after="0" w:line="480" w:lineRule="auto"/>
        <w:rPr>
          <w:rFonts w:ascii="Calibri" w:hAnsi="Calibri"/>
          <w:sz w:val="24"/>
          <w:szCs w:val="24"/>
        </w:rPr>
      </w:pPr>
      <w:r w:rsidRPr="006131C3">
        <w:rPr>
          <w:rFonts w:ascii="Calibri" w:hAnsi="Calibri"/>
          <w:sz w:val="24"/>
          <w:szCs w:val="24"/>
        </w:rPr>
        <w:t>S1 Table</w:t>
      </w:r>
      <w:r>
        <w:rPr>
          <w:rFonts w:ascii="Calibri" w:hAnsi="Calibri"/>
          <w:sz w:val="24"/>
          <w:szCs w:val="24"/>
        </w:rPr>
        <w:t xml:space="preserve"> caption</w:t>
      </w:r>
      <w:r w:rsidRPr="006131C3">
        <w:rPr>
          <w:rFonts w:ascii="Calibri" w:hAnsi="Calibri"/>
          <w:sz w:val="24"/>
          <w:szCs w:val="24"/>
        </w:rPr>
        <w:t xml:space="preserve">.  Merged allele counts for spiked-in control kits for S1 </w:t>
      </w:r>
      <w:r w:rsidR="00E7305A">
        <w:rPr>
          <w:rFonts w:ascii="Calibri" w:hAnsi="Calibri"/>
          <w:sz w:val="24"/>
          <w:szCs w:val="24"/>
        </w:rPr>
        <w:t>F</w:t>
      </w:r>
      <w:r w:rsidRPr="006131C3">
        <w:rPr>
          <w:rFonts w:ascii="Calibri" w:hAnsi="Calibri"/>
          <w:sz w:val="24"/>
          <w:szCs w:val="24"/>
        </w:rPr>
        <w:t>ile sensitivity study.  Raw allele counts of hotspot mutations sequenced with Ampliseq Cancer Hotspot Panel v2 are given for the different concentration tubes in each control kit (A1-A6, B1-B6, etc., composition described in Table 1), as well as for the individual components of the kits (Indiv-</w:t>
      </w:r>
      <w:proofErr w:type="spellStart"/>
      <w:r w:rsidRPr="006131C3">
        <w:rPr>
          <w:rFonts w:ascii="Calibri" w:hAnsi="Calibri"/>
          <w:sz w:val="24"/>
          <w:szCs w:val="24"/>
        </w:rPr>
        <w:t>comp_wt</w:t>
      </w:r>
      <w:proofErr w:type="spellEnd"/>
      <w:r w:rsidRPr="006131C3">
        <w:rPr>
          <w:rFonts w:ascii="Calibri" w:hAnsi="Calibri"/>
          <w:sz w:val="24"/>
          <w:szCs w:val="24"/>
        </w:rPr>
        <w:t xml:space="preserve">-blood-gDNA, Indiv-comp-cell line, or Indiv-comp-plasmid).  Blue shaded data indicate hotspot mutations that were spiked into a given kit.  ‘Spiked-in AF [%]’ is the mutant allele frequency that was spiked into the tube; ‘Corrected AF [%]’ is the corrected concentration, calculated as a dilution of the measured mutant allele frequency in tube 6 </w:t>
      </w:r>
      <w:r w:rsidRPr="006131C3">
        <w:rPr>
          <w:rFonts w:ascii="Calibri" w:hAnsi="Calibri"/>
          <w:sz w:val="24"/>
          <w:szCs w:val="24"/>
        </w:rPr>
        <w:lastRenderedPageBreak/>
        <w:t xml:space="preserve">(10%).  The “diff to expected” column W is the difference between the corrected concentration (column C) and the measured mutant allele frequency (alternate allele %). </w:t>
      </w:r>
    </w:p>
    <w:p w:rsidR="00CF1649" w:rsidRDefault="00CF1649" w:rsidP="00CF1649">
      <w:pPr>
        <w:spacing w:after="0" w:line="480" w:lineRule="auto"/>
        <w:rPr>
          <w:rFonts w:ascii="Calibri" w:hAnsi="Calibri"/>
          <w:sz w:val="24"/>
          <w:szCs w:val="24"/>
        </w:rPr>
      </w:pPr>
    </w:p>
    <w:p w:rsidR="00CF1649" w:rsidRPr="00320AE1" w:rsidRDefault="00CF1649" w:rsidP="00CF1649">
      <w:pPr>
        <w:spacing w:after="0" w:line="480" w:lineRule="auto"/>
        <w:rPr>
          <w:rFonts w:ascii="Calibri" w:hAnsi="Calibri"/>
          <w:sz w:val="24"/>
          <w:szCs w:val="24"/>
        </w:rPr>
      </w:pPr>
      <w:r>
        <w:rPr>
          <w:rFonts w:ascii="Calibri" w:hAnsi="Calibri"/>
          <w:sz w:val="24"/>
          <w:szCs w:val="24"/>
        </w:rPr>
        <w:t>S1 Fig caption</w:t>
      </w:r>
      <w:r w:rsidRPr="00634719">
        <w:rPr>
          <w:rFonts w:ascii="Calibri" w:hAnsi="Calibri"/>
          <w:sz w:val="24"/>
          <w:szCs w:val="24"/>
        </w:rPr>
        <w:t>.  Spiked-in</w:t>
      </w:r>
      <w:r>
        <w:rPr>
          <w:rFonts w:ascii="Calibri" w:hAnsi="Calibri"/>
          <w:sz w:val="24"/>
          <w:szCs w:val="24"/>
        </w:rPr>
        <w:t xml:space="preserve"> </w:t>
      </w:r>
      <w:r w:rsidRPr="00634719">
        <w:rPr>
          <w:rFonts w:ascii="Calibri" w:hAnsi="Calibri"/>
          <w:sz w:val="24"/>
          <w:szCs w:val="24"/>
        </w:rPr>
        <w:t>mutation positive control results showing the true spiked-in allele vs. false positives (noise)</w:t>
      </w:r>
      <w:r w:rsidR="00E7305A">
        <w:rPr>
          <w:rFonts w:ascii="Calibri" w:hAnsi="Calibri"/>
          <w:sz w:val="24"/>
          <w:szCs w:val="24"/>
        </w:rPr>
        <w:t xml:space="preserve"> </w:t>
      </w:r>
      <w:r w:rsidR="00E7305A" w:rsidRPr="006131C3">
        <w:rPr>
          <w:rFonts w:ascii="Calibri" w:hAnsi="Calibri"/>
          <w:sz w:val="24"/>
          <w:szCs w:val="24"/>
        </w:rPr>
        <w:t xml:space="preserve">for S1 </w:t>
      </w:r>
      <w:r w:rsidR="00E7305A">
        <w:rPr>
          <w:rFonts w:ascii="Calibri" w:hAnsi="Calibri"/>
          <w:sz w:val="24"/>
          <w:szCs w:val="24"/>
        </w:rPr>
        <w:t>F</w:t>
      </w:r>
      <w:r w:rsidR="00E7305A" w:rsidRPr="006131C3">
        <w:rPr>
          <w:rFonts w:ascii="Calibri" w:hAnsi="Calibri"/>
          <w:sz w:val="24"/>
          <w:szCs w:val="24"/>
        </w:rPr>
        <w:t>ile sensitivity study</w:t>
      </w:r>
      <w:r w:rsidRPr="00634719">
        <w:rPr>
          <w:rFonts w:ascii="Calibri" w:hAnsi="Calibri"/>
          <w:sz w:val="24"/>
          <w:szCs w:val="24"/>
        </w:rPr>
        <w:t>.</w:t>
      </w:r>
      <w:r w:rsidRPr="00320AE1">
        <w:rPr>
          <w:rFonts w:ascii="Calibri" w:hAnsi="Calibri"/>
          <w:sz w:val="24"/>
          <w:szCs w:val="24"/>
        </w:rPr>
        <w:t xml:space="preserve"> </w:t>
      </w:r>
      <w:r>
        <w:rPr>
          <w:rFonts w:ascii="Calibri" w:hAnsi="Calibri"/>
          <w:sz w:val="24"/>
          <w:szCs w:val="24"/>
        </w:rPr>
        <w:t xml:space="preserve"> For each hotspot mutation</w:t>
      </w:r>
      <w:r w:rsidRPr="00617C65">
        <w:rPr>
          <w:rFonts w:ascii="Calibri" w:hAnsi="Calibri"/>
          <w:sz w:val="24"/>
          <w:szCs w:val="24"/>
        </w:rPr>
        <w:t xml:space="preserve"> </w:t>
      </w:r>
      <w:r>
        <w:rPr>
          <w:rFonts w:ascii="Calibri" w:hAnsi="Calibri"/>
          <w:sz w:val="24"/>
          <w:szCs w:val="24"/>
        </w:rPr>
        <w:t xml:space="preserve">dilution </w:t>
      </w:r>
      <w:bookmarkStart w:id="0" w:name="_GoBack"/>
      <w:bookmarkEnd w:id="0"/>
      <w:r>
        <w:rPr>
          <w:rFonts w:ascii="Calibri" w:hAnsi="Calibri"/>
          <w:sz w:val="24"/>
          <w:szCs w:val="24"/>
        </w:rPr>
        <w:t>series, the observed fraction of the spiked-in allele is plotted as a red solid line, and the fraction of other alleles (“noise”) is a blue dotted line (alternative alleles are in brackets; D = deletion).</w:t>
      </w:r>
      <w:r w:rsidRPr="00320AE1">
        <w:rPr>
          <w:rFonts w:ascii="Calibri" w:hAnsi="Calibri"/>
          <w:sz w:val="24"/>
          <w:szCs w:val="24"/>
        </w:rPr>
        <w:t xml:space="preserve"> </w:t>
      </w:r>
      <w:r>
        <w:rPr>
          <w:rFonts w:ascii="Calibri" w:hAnsi="Calibri"/>
          <w:sz w:val="24"/>
          <w:szCs w:val="24"/>
        </w:rPr>
        <w:t xml:space="preserve"> The x-axis is</w:t>
      </w:r>
      <w:r w:rsidRPr="00320AE1">
        <w:rPr>
          <w:rFonts w:ascii="Calibri" w:hAnsi="Calibri"/>
          <w:sz w:val="24"/>
          <w:szCs w:val="24"/>
        </w:rPr>
        <w:t xml:space="preserve"> </w:t>
      </w:r>
      <w:r>
        <w:rPr>
          <w:rFonts w:ascii="Calibri" w:hAnsi="Calibri"/>
          <w:sz w:val="24"/>
          <w:szCs w:val="24"/>
        </w:rPr>
        <w:t>the</w:t>
      </w:r>
      <w:r w:rsidRPr="00320AE1">
        <w:rPr>
          <w:rFonts w:ascii="Calibri" w:hAnsi="Calibri"/>
          <w:sz w:val="24"/>
          <w:szCs w:val="24"/>
        </w:rPr>
        <w:t xml:space="preserve"> </w:t>
      </w:r>
      <w:r>
        <w:rPr>
          <w:rFonts w:ascii="Calibri" w:hAnsi="Calibri"/>
          <w:sz w:val="24"/>
          <w:szCs w:val="24"/>
        </w:rPr>
        <w:t>spiked-in</w:t>
      </w:r>
      <w:r w:rsidRPr="00320AE1">
        <w:rPr>
          <w:rFonts w:ascii="Calibri" w:hAnsi="Calibri"/>
          <w:sz w:val="24"/>
          <w:szCs w:val="24"/>
        </w:rPr>
        <w:t xml:space="preserve"> allele frequency</w:t>
      </w:r>
      <w:r>
        <w:rPr>
          <w:rFonts w:ascii="Calibri" w:hAnsi="Calibri"/>
          <w:sz w:val="24"/>
          <w:szCs w:val="24"/>
        </w:rPr>
        <w:t xml:space="preserve"> concentration</w:t>
      </w:r>
      <w:r w:rsidRPr="00320AE1">
        <w:rPr>
          <w:rFonts w:ascii="Calibri" w:hAnsi="Calibri"/>
          <w:sz w:val="24"/>
          <w:szCs w:val="24"/>
        </w:rPr>
        <w:t xml:space="preserve"> of the dilution </w:t>
      </w:r>
      <w:r>
        <w:rPr>
          <w:rFonts w:ascii="Calibri" w:hAnsi="Calibri"/>
          <w:sz w:val="24"/>
          <w:szCs w:val="24"/>
        </w:rPr>
        <w:t>series, from 10% down to 0.01% (T = theoretical spiked-in tube concentration), and below this are t</w:t>
      </w:r>
      <w:r w:rsidRPr="00320AE1">
        <w:rPr>
          <w:rFonts w:ascii="Calibri" w:hAnsi="Calibri"/>
          <w:sz w:val="24"/>
          <w:szCs w:val="24"/>
        </w:rPr>
        <w:t>he actual allele frequenc</w:t>
      </w:r>
      <w:r>
        <w:rPr>
          <w:rFonts w:ascii="Calibri" w:hAnsi="Calibri"/>
          <w:sz w:val="24"/>
          <w:szCs w:val="24"/>
        </w:rPr>
        <w:t>ies</w:t>
      </w:r>
      <w:r w:rsidRPr="00320AE1">
        <w:rPr>
          <w:rFonts w:ascii="Calibri" w:hAnsi="Calibri"/>
          <w:sz w:val="24"/>
          <w:szCs w:val="24"/>
        </w:rPr>
        <w:t xml:space="preserve"> </w:t>
      </w:r>
      <w:r>
        <w:rPr>
          <w:rFonts w:ascii="Calibri" w:hAnsi="Calibri"/>
          <w:sz w:val="24"/>
          <w:szCs w:val="24"/>
        </w:rPr>
        <w:t>observed</w:t>
      </w:r>
      <w:r w:rsidRPr="00320AE1">
        <w:rPr>
          <w:rFonts w:ascii="Calibri" w:hAnsi="Calibri"/>
          <w:sz w:val="24"/>
          <w:szCs w:val="24"/>
        </w:rPr>
        <w:t xml:space="preserve"> by sequencing</w:t>
      </w:r>
      <w:r>
        <w:rPr>
          <w:rFonts w:ascii="Calibri" w:hAnsi="Calibri"/>
          <w:sz w:val="24"/>
          <w:szCs w:val="24"/>
        </w:rPr>
        <w:t xml:space="preserve"> (O = observed)</w:t>
      </w:r>
      <w:r w:rsidRPr="00320AE1">
        <w:rPr>
          <w:rFonts w:ascii="Calibri" w:hAnsi="Calibri"/>
          <w:sz w:val="24"/>
          <w:szCs w:val="24"/>
        </w:rPr>
        <w:t xml:space="preserve">. </w:t>
      </w:r>
      <w:r>
        <w:rPr>
          <w:rFonts w:ascii="Calibri" w:hAnsi="Calibri"/>
          <w:sz w:val="24"/>
          <w:szCs w:val="24"/>
        </w:rPr>
        <w:t xml:space="preserve"> Because the serial dilutions were made from the 10% tube, when this tube was imprecise the rest of the dilution series was shifted. The y-axis shows the fraction of the alternative allele (spiked-in or noise), normalised to 100%.  In other words the y-axis shows </w:t>
      </w:r>
      <w:r w:rsidRPr="003B460B">
        <w:rPr>
          <w:rFonts w:ascii="Calibri" w:hAnsi="Calibri"/>
          <w:sz w:val="24"/>
          <w:szCs w:val="24"/>
        </w:rPr>
        <w:t>for each tube</w:t>
      </w:r>
      <w:r>
        <w:rPr>
          <w:rFonts w:ascii="Calibri" w:hAnsi="Calibri"/>
          <w:sz w:val="24"/>
          <w:szCs w:val="24"/>
        </w:rPr>
        <w:t>,</w:t>
      </w:r>
      <w:r w:rsidRPr="003B460B">
        <w:rPr>
          <w:rFonts w:ascii="Calibri" w:hAnsi="Calibri"/>
          <w:sz w:val="24"/>
          <w:szCs w:val="24"/>
        </w:rPr>
        <w:t xml:space="preserve"> </w:t>
      </w:r>
      <w:r>
        <w:rPr>
          <w:rFonts w:ascii="Calibri" w:hAnsi="Calibri"/>
          <w:sz w:val="24"/>
          <w:szCs w:val="24"/>
        </w:rPr>
        <w:t>what percentage of the alternative allele pool was the allele we spiked-in, and what percentage were noise alleles.</w:t>
      </w:r>
    </w:p>
    <w:p w:rsidR="007F23F9" w:rsidRPr="008915CC" w:rsidRDefault="006131C3" w:rsidP="008915CC">
      <w:pPr>
        <w:spacing w:after="0" w:line="480" w:lineRule="auto"/>
        <w:rPr>
          <w:rFonts w:ascii="Calibri" w:hAnsi="Calibri"/>
          <w:sz w:val="24"/>
          <w:szCs w:val="24"/>
        </w:rPr>
      </w:pPr>
      <w:r w:rsidRPr="006131C3">
        <w:rPr>
          <w:rFonts w:ascii="Calibri" w:hAnsi="Calibri"/>
          <w:sz w:val="24"/>
          <w:szCs w:val="24"/>
        </w:rPr>
        <w:t xml:space="preserve">  </w:t>
      </w:r>
    </w:p>
    <w:sectPr w:rsidR="007F23F9" w:rsidRPr="008915C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6EA" w:rsidRDefault="000506EA" w:rsidP="000506EA">
      <w:pPr>
        <w:spacing w:after="0" w:line="240" w:lineRule="auto"/>
      </w:pPr>
      <w:r>
        <w:separator/>
      </w:r>
    </w:p>
  </w:endnote>
  <w:endnote w:type="continuationSeparator" w:id="0">
    <w:p w:rsidR="000506EA" w:rsidRDefault="000506EA" w:rsidP="0005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EA" w:rsidRDefault="000506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2810534"/>
      <w:docPartObj>
        <w:docPartGallery w:val="Page Numbers (Bottom of Page)"/>
        <w:docPartUnique/>
      </w:docPartObj>
    </w:sdtPr>
    <w:sdtEndPr>
      <w:rPr>
        <w:noProof/>
      </w:rPr>
    </w:sdtEndPr>
    <w:sdtContent>
      <w:p w:rsidR="000506EA" w:rsidRDefault="000506EA">
        <w:pPr>
          <w:pStyle w:val="Footer"/>
          <w:jc w:val="center"/>
        </w:pPr>
        <w:r>
          <w:fldChar w:fldCharType="begin"/>
        </w:r>
        <w:r>
          <w:instrText xml:space="preserve"> PAGE   \* MERGEFORMAT </w:instrText>
        </w:r>
        <w:r>
          <w:fldChar w:fldCharType="separate"/>
        </w:r>
        <w:r w:rsidR="00E7305A">
          <w:rPr>
            <w:noProof/>
          </w:rPr>
          <w:t>1</w:t>
        </w:r>
        <w:r>
          <w:rPr>
            <w:noProof/>
          </w:rPr>
          <w:fldChar w:fldCharType="end"/>
        </w:r>
      </w:p>
    </w:sdtContent>
  </w:sdt>
  <w:p w:rsidR="000506EA" w:rsidRDefault="000506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EA" w:rsidRDefault="00050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6EA" w:rsidRDefault="000506EA" w:rsidP="000506EA">
      <w:pPr>
        <w:spacing w:after="0" w:line="240" w:lineRule="auto"/>
      </w:pPr>
      <w:r>
        <w:separator/>
      </w:r>
    </w:p>
  </w:footnote>
  <w:footnote w:type="continuationSeparator" w:id="0">
    <w:p w:rsidR="000506EA" w:rsidRDefault="000506EA" w:rsidP="00050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EA" w:rsidRDefault="000506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EA" w:rsidRDefault="000506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EA" w:rsidRDefault="000506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813AA"/>
    <w:multiLevelType w:val="hybridMultilevel"/>
    <w:tmpl w:val="E450855E"/>
    <w:lvl w:ilvl="0" w:tplc="699A91C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E96ED1"/>
    <w:multiLevelType w:val="hybridMultilevel"/>
    <w:tmpl w:val="2D2A0248"/>
    <w:lvl w:ilvl="0" w:tplc="9E443CD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8C9"/>
    <w:rsid w:val="000506EA"/>
    <w:rsid w:val="005017CE"/>
    <w:rsid w:val="006131C3"/>
    <w:rsid w:val="00654A20"/>
    <w:rsid w:val="006D26CF"/>
    <w:rsid w:val="007F1072"/>
    <w:rsid w:val="007F23F9"/>
    <w:rsid w:val="008915CC"/>
    <w:rsid w:val="00B938C9"/>
    <w:rsid w:val="00C72242"/>
    <w:rsid w:val="00CF1649"/>
    <w:rsid w:val="00D169D5"/>
    <w:rsid w:val="00E7305A"/>
    <w:rsid w:val="00F96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D42D4-2B12-4216-843A-CE2543B1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8C9"/>
  </w:style>
  <w:style w:type="paragraph" w:styleId="Heading1">
    <w:name w:val="heading 1"/>
    <w:basedOn w:val="Normal"/>
    <w:next w:val="Normal"/>
    <w:link w:val="Heading1Char"/>
    <w:uiPriority w:val="9"/>
    <w:qFormat/>
    <w:rsid w:val="008915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169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8C9"/>
    <w:pPr>
      <w:ind w:left="720"/>
      <w:contextualSpacing/>
    </w:pPr>
  </w:style>
  <w:style w:type="character" w:customStyle="1" w:styleId="Heading1Char">
    <w:name w:val="Heading 1 Char"/>
    <w:basedOn w:val="DefaultParagraphFont"/>
    <w:link w:val="Heading1"/>
    <w:uiPriority w:val="9"/>
    <w:rsid w:val="008915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169D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0506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06EA"/>
  </w:style>
  <w:style w:type="paragraph" w:styleId="Footer">
    <w:name w:val="footer"/>
    <w:basedOn w:val="Normal"/>
    <w:link w:val="FooterChar"/>
    <w:uiPriority w:val="99"/>
    <w:unhideWhenUsed/>
    <w:rsid w:val="000506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0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1143</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pkaisaki</dc:creator>
  <cp:lastModifiedBy>Pamela Kaisaki</cp:lastModifiedBy>
  <cp:revision>12</cp:revision>
  <dcterms:created xsi:type="dcterms:W3CDTF">2016-06-23T14:23:00Z</dcterms:created>
  <dcterms:modified xsi:type="dcterms:W3CDTF">2016-08-03T13:37:00Z</dcterms:modified>
</cp:coreProperties>
</file>