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B7" w:rsidRPr="00EA486B" w:rsidRDefault="00991DB7" w:rsidP="00991DB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>S5 Table: Variant found heterozygous in the affected boy, CIC01293.</w:t>
      </w:r>
      <w:r w:rsidRPr="00EA486B">
        <w:rPr>
          <w:rFonts w:ascii="Times New Roman" w:hAnsi="Times New Roman" w:cs="Times New Roman"/>
          <w:sz w:val="24"/>
          <w:szCs w:val="24"/>
        </w:rPr>
        <w:t xml:space="preserve">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A486B">
        <w:rPr>
          <w:rFonts w:ascii="Times New Roman" w:hAnsi="Times New Roman" w:cs="Times New Roman"/>
          <w:sz w:val="24"/>
          <w:szCs w:val="24"/>
        </w:rPr>
        <w:t xml:space="preserve">Variant nomenclature was determined with </w:t>
      </w:r>
      <w:proofErr w:type="gramStart"/>
      <w:r w:rsidRPr="00EA486B">
        <w:rPr>
          <w:rFonts w:ascii="Times New Roman" w:hAnsi="Times New Roman" w:cs="Times New Roman"/>
          <w:sz w:val="24"/>
          <w:szCs w:val="24"/>
        </w:rPr>
        <w:t>a software</w:t>
      </w:r>
      <w:proofErr w:type="gramEnd"/>
      <w:r w:rsidRPr="00EA48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Alamut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v2.4, Interactive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Biosoftware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, Rouen, France).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A486B">
        <w:rPr>
          <w:rFonts w:ascii="Times New Roman" w:hAnsi="Times New Roman" w:cs="Times New Roman"/>
          <w:sz w:val="24"/>
          <w:szCs w:val="24"/>
        </w:rPr>
        <w:t xml:space="preserve">Conservation: “Highly” means that the same amino acid is conserved in 100 species; “Moderately” means that the amino acid residue varies less than 5 times among species at this position but is conserved in primates; “Weakly” means the amino acid residue varies between 5 to 7 times; if the amino acid residue varies more than 7 times it is qualified as “Not conserved”.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Pr="00EA486B">
        <w:rPr>
          <w:rFonts w:ascii="Times New Roman" w:hAnsi="Times New Roman" w:cs="Times New Roman"/>
          <w:sz w:val="24"/>
          <w:szCs w:val="24"/>
        </w:rPr>
        <w:t xml:space="preserve"> means that the amino acid residue at the same position changes among primates, but not necessarily with the same amino acid change as the one found in the patient.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A486B">
        <w:rPr>
          <w:rFonts w:ascii="Times New Roman" w:hAnsi="Times New Roman" w:cs="Times New Roman"/>
          <w:sz w:val="24"/>
          <w:szCs w:val="24"/>
        </w:rPr>
        <w:t xml:space="preserve">ExAC gives the minor allele frequency in a large population from various ethnicities. “Unknown” means that the given change has not been reported in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ExAC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database.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A486B">
        <w:rPr>
          <w:rFonts w:ascii="Times New Roman" w:hAnsi="Times New Roman" w:cs="Times New Roman"/>
          <w:sz w:val="24"/>
          <w:szCs w:val="24"/>
        </w:rPr>
        <w:t xml:space="preserve">Retinal expression is determined using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UniGene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results (</w:t>
      </w:r>
      <w:hyperlink r:id="rId4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http://www.ncbi.nlm.nih.gov/unigene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).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A486B">
        <w:rPr>
          <w:rFonts w:ascii="Times New Roman" w:hAnsi="Times New Roman" w:cs="Times New Roman"/>
          <w:sz w:val="24"/>
          <w:szCs w:val="24"/>
        </w:rPr>
        <w:t>Protein domains and splice effect predictions (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Alamut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v2.4, Interactive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Biosoftware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MaxEntScan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http://genes.mit.edu/burgelab/maxent/Xmaxentscan_scoreseq.html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&lt;EndNote&gt;&lt;Cite&gt;&lt;Author&gt;Yeo&lt;/Author&gt;&lt;Year&gt;2004&lt;/Year&gt;&lt;RecNum&gt;1382&lt;/RecNum&gt;&lt;DisplayText&gt;[1]&lt;/DisplayText&gt;&lt;record&gt;&lt;rec-number&gt;1382&lt;/rec-number&gt;&lt;foreign-keys&gt;&lt;key app="EN" db-id="p5asdvvtd5pas5e5pa4xfw5appaw5wdw0vt2" timestamp="1468856360"&gt;1382&lt;/key&gt;&lt;/foreign-keys&gt;&lt;ref-type name="Journal Article"&gt;17&lt;/ref-type&gt;&lt;contributors&gt;&lt;authors&gt;&lt;author&gt;Yeo, G.&lt;/author&gt;&lt;author&gt;Burge, C. B.&lt;/author&gt;&lt;/authors&gt;&lt;/contributors&gt;&lt;auth-address&gt;Department of Biology, Massachusetts Institute of Technology, 77 Massachusetts Avenue Building 68-223, Cambridge, MA 02319, USA.&lt;/auth-address&gt;&lt;titles&gt;&lt;title&gt;Maximum entropy modeling of short sequence motifs with applications to RNA splicing signals&lt;/title&gt;&lt;secondary-title&gt;J Comput Biol&lt;/secondary-title&gt;&lt;/titles&gt;&lt;periodical&gt;&lt;full-title&gt;J Comput Biol&lt;/full-title&gt;&lt;/periodical&gt;&lt;pages&gt;377-94&lt;/pages&gt;&lt;volume&gt;11&lt;/volume&gt;&lt;number&gt;2-3&lt;/number&gt;&lt;keywords&gt;&lt;keyword&gt;Base Sequence&lt;/keyword&gt;&lt;keyword&gt;*Computational Biology&lt;/keyword&gt;&lt;keyword&gt;Consensus Sequence&lt;/keyword&gt;&lt;keyword&gt;Introns&lt;/keyword&gt;&lt;keyword&gt;Markov Chains&lt;/keyword&gt;&lt;keyword&gt;Models, Genetic&lt;/keyword&gt;&lt;keyword&gt;Phylogeny&lt;/keyword&gt;&lt;keyword&gt;*RNA Splice Sites&lt;/keyword&gt;&lt;keyword&gt;ROC Curve&lt;/keyword&gt;&lt;/keywords&gt;&lt;dates&gt;&lt;year&gt;2004&lt;/year&gt;&lt;/dates&gt;&lt;isbn&gt;1066-5277 (Print)&amp;#xD;1066-5277 (Linking)&lt;/isbn&gt;&lt;accession-num&gt;15285897&lt;/accession-num&gt;&lt;urls&gt;&lt;related-urls&gt;&lt;url&gt;http://www.ncbi.nlm.nih.gov/pubmed/15285897&lt;/url&gt;&lt;/related-urls&gt;&lt;/urls&gt;&lt;electronic-resource-num&gt;10.1089/1066527041410418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1" w:tooltip="Yeo, 2004 #1382" w:history="1"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 xml:space="preserve">; Splice Site Prediction by Neural Network, NNSPLICE, </w:t>
      </w:r>
      <w:hyperlink r:id="rId6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http://www.fruitfly.org/seq_tools/splice.html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&lt;EndNote&gt;&lt;Cite&gt;&lt;Author&gt;Reese&lt;/Author&gt;&lt;Year&gt;1997&lt;/Year&gt;&lt;RecNum&gt;1392&lt;/RecNum&gt;&lt;DisplayText&gt;[2]&lt;/DisplayText&gt;&lt;record&gt;&lt;rec-number&gt;1392&lt;/rec-number&gt;&lt;foreign-keys&gt;&lt;key app="EN" db-id="p5asdvvtd5pas5e5pa4xfw5appaw5wdw0vt2" timestamp="1468856543"&gt;1392&lt;/key&gt;&lt;/foreign-keys&gt;&lt;ref-type name="Journal Article"&gt;17&lt;/ref-type&gt;&lt;contributors&gt;&lt;authors&gt;&lt;author&gt;Reese, M. G.&lt;/author&gt;&lt;author&gt;Eeckman, F. H.&lt;/author&gt;&lt;author&gt;Kulp, D.&lt;/author&gt;&lt;author&gt;Haussler, D.&lt;/author&gt;&lt;/authors&gt;&lt;/contributors&gt;&lt;auth-address&gt;Human Genome Informatics Group, Lawrence Berkeley National Laboratory, Berkeley, California 94720, USA. mgreese@lbl.gov&lt;/auth-address&gt;&lt;titles&gt;&lt;title&gt;Improved splice site detection in Genie&lt;/title&gt;&lt;secondary-title&gt;J Comput Biol&lt;/secondary-title&gt;&lt;/titles&gt;&lt;periodical&gt;&lt;full-title&gt;J Comput Biol&lt;/full-title&gt;&lt;/periodical&gt;&lt;pages&gt;311-23&lt;/pages&gt;&lt;volume&gt;4&lt;/volume&gt;&lt;number&gt;3&lt;/number&gt;&lt;keywords&gt;&lt;keyword&gt;Animals&lt;/keyword&gt;&lt;keyword&gt;Databases, Factual&lt;/keyword&gt;&lt;keyword&gt;Drosophila melanogaster&lt;/keyword&gt;&lt;keyword&gt;Markov Chains&lt;/keyword&gt;&lt;keyword&gt;*Models, Genetic&lt;/keyword&gt;&lt;keyword&gt;Nucleic Acid Conformation&lt;/keyword&gt;&lt;keyword&gt;*RNA Splicing&lt;/keyword&gt;&lt;keyword&gt;*Software&lt;/keyword&gt;&lt;/keywords&gt;&lt;dates&gt;&lt;year&gt;1997&lt;/year&gt;&lt;pub-dates&gt;&lt;date&gt;Fall&lt;/date&gt;&lt;/pub-dates&gt;&lt;/dates&gt;&lt;isbn&gt;1066-5277 (Print)&amp;#xD;1066-5277 (Linking)&lt;/isbn&gt;&lt;accession-num&gt;9278062&lt;/accession-num&gt;&lt;urls&gt;&lt;related-urls&gt;&lt;url&gt;http://www.ncbi.nlm.nih.gov/pubmed/9278062&lt;/url&gt;&lt;/related-urls&gt;&lt;/urls&gt;&lt;electronic-resource-num&gt;10.1089/cmb.1997.4.311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2" w:tooltip="Reese, 1997 #1392" w:history="1"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 xml:space="preserve">; Human Splicing Finder v.2.4.1, HSF, </w:t>
      </w:r>
      <w:hyperlink r:id="rId7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http://www.umd.be/HSF/#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&lt;EndNote&gt;&lt;Cite&gt;&lt;Author&gt;Desmet&lt;/Author&gt;&lt;Year&gt;2009&lt;/Year&gt;&lt;RecNum&gt;1402&lt;/RecNum&gt;&lt;DisplayText&gt;[3]&lt;/DisplayText&gt;&lt;record&gt;&lt;rec-number&gt;1402&lt;/rec-number&gt;&lt;foreign-keys&gt;&lt;key app="EN" db-id="p5asdvvtd5pas5e5pa4xfw5appaw5wdw0vt2" timestamp="1468856729"&gt;1402&lt;/key&gt;&lt;/foreign-keys&gt;&lt;ref-type name="Journal Article"&gt;17&lt;/ref-type&gt;&lt;contributors&gt;&lt;authors&gt;&lt;author&gt;Desmet, F. O.&lt;/author&gt;&lt;author&gt;Hamroun, D.&lt;/author&gt;&lt;author&gt;Lalande, M.&lt;/author&gt;&lt;author&gt;Collod-Beroud, G.&lt;/author&gt;&lt;author&gt;Claustres, M.&lt;/author&gt;&lt;author&gt;Beroud, C.&lt;/author&gt;&lt;/authors&gt;&lt;/contributors&gt;&lt;auth-address&gt;INSERM, U827, Montpellier, France.&lt;/auth-address&gt;&lt;titles&gt;&lt;title&gt;Human Splicing Finder: an online bioinformatics tool to predict splicing signals&lt;/title&gt;&lt;secondary-title&gt;Nucleic Acids Res&lt;/secondary-title&gt;&lt;/titles&gt;&lt;periodical&gt;&lt;full-title&gt;Nucleic Acids Res&lt;/full-title&gt;&lt;/periodical&gt;&lt;pages&gt;e67&lt;/pages&gt;&lt;volume&gt;37&lt;/volume&gt;&lt;number&gt;9&lt;/number&gt;&lt;keywords&gt;&lt;keyword&gt;Computational Biology&lt;/keyword&gt;&lt;keyword&gt;Databases, Nucleic Acid&lt;/keyword&gt;&lt;keyword&gt;Enhancer Elements, Genetic&lt;/keyword&gt;&lt;keyword&gt;Humans&lt;/keyword&gt;&lt;keyword&gt;Internet&lt;/keyword&gt;&lt;keyword&gt;*Mutation&lt;/keyword&gt;&lt;keyword&gt;*RNA Splice Sites&lt;/keyword&gt;&lt;keyword&gt;Sequence Analysis, RNA&lt;/keyword&gt;&lt;keyword&gt;Silencer Elements, Transcriptional&lt;/keyword&gt;&lt;keyword&gt;*Software&lt;/keyword&gt;&lt;keyword&gt;User-Computer Interface&lt;/keyword&gt;&lt;/keywords&gt;&lt;dates&gt;&lt;year&gt;2009&lt;/year&gt;&lt;pub-dates&gt;&lt;date&gt;May&lt;/date&gt;&lt;/pub-dates&gt;&lt;/dates&gt;&lt;isbn&gt;1362-4962 (Electronic)&amp;#xD;0305-1048 (Linking)&lt;/isbn&gt;&lt;accession-num&gt;19339519&lt;/accession-num&gt;&lt;urls&gt;&lt;related-urls&gt;&lt;url&gt;http://www.ncbi.nlm.nih.gov/pubmed/19339519&lt;/url&gt;&lt;/related-urls&gt;&lt;/urls&gt;&lt;custom2&gt;2685110&lt;/custom2&gt;&lt;electronic-resource-num&gt;10.1093/nar/gkp215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3" w:tooltip="Desmet, 2009 #1402" w:history="1"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Grilledutableau"/>
        <w:tblW w:w="14459" w:type="dxa"/>
        <w:tblInd w:w="-459" w:type="dxa"/>
        <w:tblLayout w:type="fixed"/>
        <w:tblLook w:val="04A0"/>
      </w:tblPr>
      <w:tblGrid>
        <w:gridCol w:w="539"/>
        <w:gridCol w:w="1264"/>
        <w:gridCol w:w="1689"/>
        <w:gridCol w:w="1531"/>
        <w:gridCol w:w="1357"/>
        <w:gridCol w:w="1168"/>
        <w:gridCol w:w="1083"/>
        <w:gridCol w:w="1140"/>
        <w:gridCol w:w="1395"/>
        <w:gridCol w:w="1140"/>
        <w:gridCol w:w="2153"/>
      </w:tblGrid>
      <w:tr w:rsidR="00991DB7" w:rsidRPr="003359A7" w:rsidTr="002B0C01">
        <w:trPr>
          <w:trHeight w:val="20"/>
        </w:trPr>
        <w:tc>
          <w:tcPr>
            <w:tcW w:w="539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Chr</w:t>
            </w:r>
            <w:proofErr w:type="spellEnd"/>
          </w:p>
        </w:tc>
        <w:tc>
          <w:tcPr>
            <w:tcW w:w="1264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Gene name</w:t>
            </w:r>
          </w:p>
        </w:tc>
        <w:tc>
          <w:tcPr>
            <w:tcW w:w="1689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Refseq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and MIM#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Variant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Conservation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Minor allele frequency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PolyPhen2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SIFT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Mutation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br/>
              <w:t>Taster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Retinal expression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Comments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PLEC</w:t>
            </w:r>
          </w:p>
        </w:tc>
        <w:tc>
          <w:tcPr>
            <w:tcW w:w="168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NM_201380.2</w:t>
            </w:r>
          </w:p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*601282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c.9445G&gt;A  rs200898220 p.(Glu3149Lys)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0,0010226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This variation is in protein domain: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Plectin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repeat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c.2800C&gt;T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Arg934Cys)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Moderately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0,0000306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This variation is in protein domain: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Spectrin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/alpha-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actinin</w:t>
            </w:r>
            <w:proofErr w:type="spellEnd"/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4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SLC25A29</w:t>
            </w:r>
          </w:p>
        </w:tc>
        <w:tc>
          <w:tcPr>
            <w:tcW w:w="168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NM_001039355.2</w:t>
            </w:r>
          </w:p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*615064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c.442C&gt;T rs148590600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Arg148Cys)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0,0026618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spacing w:before="120" w:after="48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This variation is in protein domain: Mitochondrial 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substrate/solute carrier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c.213T&gt;G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Phe71Cys)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Highly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spacing w:before="120" w:after="48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This variation is in protein domain: Mitochondrial substrate/solute carrier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4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VPS33B</w:t>
            </w:r>
          </w:p>
        </w:tc>
        <w:tc>
          <w:tcPr>
            <w:tcW w:w="168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NM_018668.3</w:t>
            </w:r>
          </w:p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*608552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c.1236del p.(Lys413Argfs*6)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Highly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shd w:val="clear" w:color="auto" w:fill="FFFFFF"/>
              <w:spacing w:line="3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spacing w:before="120" w:after="48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Deletion (1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bp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) in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exon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17.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This deletion creates a frame shift starting at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codon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Lys413. The new reading frame ends in a stop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codon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5 positions downstream.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br/>
              <w:t>The mRNA produced might be targeted for nonsense mediated decay (NMD).</w:t>
            </w:r>
          </w:p>
        </w:tc>
      </w:tr>
      <w:tr w:rsidR="00991DB7" w:rsidRPr="003359A7" w:rsidTr="002B0C01">
        <w:trPr>
          <w:trHeight w:val="525"/>
        </w:trPr>
        <w:tc>
          <w:tcPr>
            <w:tcW w:w="53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c.1235C&gt;G p.(Pro412Arg)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0,0000495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4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WSCD1</w:t>
            </w:r>
          </w:p>
        </w:tc>
        <w:tc>
          <w:tcPr>
            <w:tcW w:w="168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NM_015253.1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c.329G&gt;A p.(Arg110His)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Moderately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0,0000000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c.1609G&gt;A rs138045353  p.(Asp537Asn)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0,0008468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Merge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4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FOXS1</w:t>
            </w:r>
          </w:p>
        </w:tc>
        <w:tc>
          <w:tcPr>
            <w:tcW w:w="1689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NM_004118.3</w:t>
            </w:r>
          </w:p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*602939</w:t>
            </w: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c.559C&gt;T rs149428291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Arg187Trp)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0,0010377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Merge w:val="restart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5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991DB7" w:rsidRPr="003359A7" w:rsidTr="002B0C01">
        <w:trPr>
          <w:trHeight w:val="20"/>
        </w:trPr>
        <w:tc>
          <w:tcPr>
            <w:tcW w:w="539" w:type="dxa"/>
            <w:vMerge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vMerge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c.220G&gt;A rs45499294 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br/>
              <w:t>p.(Glu74Lys)</w:t>
            </w:r>
          </w:p>
        </w:tc>
        <w:tc>
          <w:tcPr>
            <w:tcW w:w="1357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Weakly</w:t>
            </w:r>
          </w:p>
        </w:tc>
        <w:tc>
          <w:tcPr>
            <w:tcW w:w="1168" w:type="dxa"/>
            <w:vAlign w:val="center"/>
          </w:tcPr>
          <w:p w:rsidR="00991DB7" w:rsidRPr="003359A7" w:rsidRDefault="00991DB7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0,0024722</w:t>
            </w:r>
          </w:p>
        </w:tc>
        <w:tc>
          <w:tcPr>
            <w:tcW w:w="1083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Merge/>
          </w:tcPr>
          <w:p w:rsidR="00991DB7" w:rsidRPr="003359A7" w:rsidRDefault="00991DB7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3" w:type="dxa"/>
          </w:tcPr>
          <w:p w:rsidR="00991DB7" w:rsidRPr="003359A7" w:rsidRDefault="00991DB7" w:rsidP="002B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This variation is in protein domain: Transcription factor, fork head</w:t>
            </w:r>
          </w:p>
        </w:tc>
      </w:tr>
    </w:tbl>
    <w:p w:rsidR="00991DB7" w:rsidRPr="00EA486B" w:rsidRDefault="00991DB7" w:rsidP="00991DB7">
      <w:pPr>
        <w:rPr>
          <w:rFonts w:ascii="Times New Roman" w:hAnsi="Times New Roman" w:cs="Times New Roman"/>
          <w:sz w:val="24"/>
          <w:szCs w:val="24"/>
        </w:rPr>
        <w:sectPr w:rsidR="00991DB7" w:rsidRPr="00EA486B" w:rsidSect="0088273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EA486B">
        <w:rPr>
          <w:rFonts w:ascii="Times New Roman" w:hAnsi="Times New Roman" w:cs="Times New Roman"/>
          <w:sz w:val="24"/>
          <w:szCs w:val="24"/>
        </w:rPr>
        <w:br w:type="page"/>
      </w:r>
    </w:p>
    <w:p w:rsidR="00991DB7" w:rsidRDefault="00991DB7" w:rsidP="00991DB7">
      <w:pPr>
        <w:spacing w:line="480" w:lineRule="auto"/>
      </w:pPr>
    </w:p>
    <w:p w:rsidR="00991DB7" w:rsidRPr="00991DB7" w:rsidRDefault="00991DB7" w:rsidP="00991DB7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0" w:name="_ENREF_1"/>
      <w:r w:rsidRPr="00991DB7">
        <w:t>1. Yeo G, Burge CB (2004) Maximum entropy modeling of short sequence motifs with applications to RNA splicing signals. J Comput Biol 11: 377-394.</w:t>
      </w:r>
      <w:bookmarkEnd w:id="0"/>
    </w:p>
    <w:p w:rsidR="00991DB7" w:rsidRPr="00991DB7" w:rsidRDefault="00991DB7" w:rsidP="00991DB7">
      <w:pPr>
        <w:pStyle w:val="EndNoteBibliography"/>
        <w:spacing w:after="0"/>
        <w:ind w:left="720" w:hanging="720"/>
      </w:pPr>
      <w:bookmarkStart w:id="1" w:name="_ENREF_2"/>
      <w:r w:rsidRPr="00991DB7">
        <w:t>2. Reese MG, Eeckman FH, Kulp D, Haussler D (1997) Improved splice site detection in Genie. J Comput Biol 4: 311-323.</w:t>
      </w:r>
      <w:bookmarkEnd w:id="1"/>
    </w:p>
    <w:p w:rsidR="00991DB7" w:rsidRPr="00991DB7" w:rsidRDefault="00991DB7" w:rsidP="00991DB7">
      <w:pPr>
        <w:pStyle w:val="EndNoteBibliography"/>
        <w:ind w:left="720" w:hanging="720"/>
      </w:pPr>
      <w:bookmarkStart w:id="2" w:name="_ENREF_3"/>
      <w:r w:rsidRPr="00991DB7">
        <w:t>3. Desmet FO, Hamroun D, Lalande M, Collod-Beroud G, Claustres M, et al. (2009) Human Splicing Finder: an online bioinformatics tool to predict splicing signals. Nucleic Acids Res 37: e67.</w:t>
      </w:r>
      <w:bookmarkEnd w:id="2"/>
    </w:p>
    <w:p w:rsidR="002F3417" w:rsidRDefault="00991DB7" w:rsidP="00991DB7">
      <w:pPr>
        <w:spacing w:line="480" w:lineRule="auto"/>
      </w:pPr>
      <w:r>
        <w:fldChar w:fldCharType="end"/>
      </w:r>
    </w:p>
    <w:sectPr w:rsidR="002F3417" w:rsidSect="0088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p5asdvvtd5pas5e5pa4xfw5appaw5wdw0vt2&quot;&gt;Cecile Library&lt;record-ids&gt;&lt;item&gt;1382&lt;/item&gt;&lt;item&gt;1392&lt;/item&gt;&lt;item&gt;1402&lt;/item&gt;&lt;/record-ids&gt;&lt;/item&gt;&lt;/Libraries&gt;"/>
  </w:docVars>
  <w:rsids>
    <w:rsidRoot w:val="00991DB7"/>
    <w:rsid w:val="002F3417"/>
    <w:rsid w:val="00991DB7"/>
    <w:rsid w:val="00B24F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7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91DB7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91DB7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link w:val="EndNoteBibliographyCar"/>
    <w:rsid w:val="00991DB7"/>
    <w:rPr>
      <w:rFonts w:ascii="Calibri" w:hAnsi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991DB7"/>
    <w:rPr>
      <w:rFonts w:ascii="Calibri" w:hAnsi="Calibri"/>
      <w:noProof/>
    </w:rPr>
  </w:style>
  <w:style w:type="paragraph" w:customStyle="1" w:styleId="EndNoteBibliographyTitle">
    <w:name w:val="EndNote Bibliography Title"/>
    <w:basedOn w:val="Normal"/>
    <w:link w:val="EndNoteBibliographyTitleCar"/>
    <w:rsid w:val="00991DB7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991DB7"/>
    <w:rPr>
      <w:rFonts w:ascii="Calibri" w:hAnsi="Calibri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md.be/HS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uitfly.org/seq_tools/splice.html" TargetMode="External"/><Relationship Id="rId5" Type="http://schemas.openxmlformats.org/officeDocument/2006/relationships/hyperlink" Target="http://genes.mit.edu/burgelab/maxent/Xmaxentscan_scoreseq.html" TargetMode="External"/><Relationship Id="rId4" Type="http://schemas.openxmlformats.org/officeDocument/2006/relationships/hyperlink" Target="http://www.ncbi.nlm.nih.gov/unige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1340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1</cp:revision>
  <dcterms:created xsi:type="dcterms:W3CDTF">2016-12-06T09:22:00Z</dcterms:created>
  <dcterms:modified xsi:type="dcterms:W3CDTF">2016-12-06T09:24:00Z</dcterms:modified>
</cp:coreProperties>
</file>