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10" w:rsidRPr="0017569B" w:rsidRDefault="000D44C9" w:rsidP="001756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  <w:lang w:val="en-US" w:eastAsia="en-GB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en-US" w:eastAsia="en-GB"/>
        </w:rPr>
        <w:t xml:space="preserve">A Common Precursor Approach to </w:t>
      </w:r>
      <w:r w:rsidR="00235938">
        <w:rPr>
          <w:rFonts w:ascii="Arial" w:hAnsi="Arial" w:cs="Arial"/>
          <w:b/>
          <w:sz w:val="32"/>
          <w:szCs w:val="32"/>
          <w:lang w:val="en-US" w:eastAsia="en-GB"/>
        </w:rPr>
        <w:t xml:space="preserve">Structurally </w:t>
      </w:r>
      <w:r>
        <w:rPr>
          <w:rFonts w:ascii="Arial" w:hAnsi="Arial" w:cs="Arial"/>
          <w:b/>
          <w:sz w:val="32"/>
          <w:szCs w:val="32"/>
          <w:lang w:val="en-US" w:eastAsia="en-GB"/>
        </w:rPr>
        <w:t xml:space="preserve">Diverse Natural Products: The Synthesis of the Core </w:t>
      </w:r>
      <w:r w:rsidR="00235938">
        <w:rPr>
          <w:rFonts w:ascii="Arial" w:hAnsi="Arial" w:cs="Arial"/>
          <w:b/>
          <w:sz w:val="32"/>
          <w:szCs w:val="32"/>
          <w:lang w:val="en-US" w:eastAsia="en-GB"/>
        </w:rPr>
        <w:t xml:space="preserve">Structure </w:t>
      </w:r>
      <w:r>
        <w:rPr>
          <w:rFonts w:ascii="Arial" w:hAnsi="Arial" w:cs="Arial"/>
          <w:b/>
          <w:sz w:val="32"/>
          <w:szCs w:val="32"/>
          <w:lang w:val="en-US" w:eastAsia="en-GB"/>
        </w:rPr>
        <w:t xml:space="preserve">of </w:t>
      </w:r>
      <w:r w:rsidR="004818D8">
        <w:rPr>
          <w:rFonts w:ascii="Arial" w:hAnsi="Arial" w:cs="Arial"/>
          <w:b/>
          <w:sz w:val="32"/>
          <w:szCs w:val="32"/>
          <w:lang w:val="en-US" w:eastAsia="en-GB"/>
        </w:rPr>
        <w:t>(±)-</w:t>
      </w:r>
      <w:r>
        <w:rPr>
          <w:rFonts w:ascii="Arial" w:hAnsi="Arial" w:cs="Arial"/>
          <w:b/>
          <w:sz w:val="32"/>
          <w:szCs w:val="32"/>
          <w:lang w:val="en-US" w:eastAsia="en-GB"/>
        </w:rPr>
        <w:t>Clausenamide and the Total Synthesis of (±)</w:t>
      </w:r>
      <w:r w:rsidR="004818D8">
        <w:rPr>
          <w:rFonts w:ascii="Arial" w:hAnsi="Arial" w:cs="Arial"/>
          <w:b/>
          <w:sz w:val="32"/>
          <w:szCs w:val="32"/>
          <w:lang w:val="en-US" w:eastAsia="en-GB"/>
        </w:rPr>
        <w:t>-</w:t>
      </w:r>
      <w:r>
        <w:rPr>
          <w:rFonts w:ascii="Arial" w:hAnsi="Arial" w:cs="Arial"/>
          <w:b/>
          <w:sz w:val="32"/>
          <w:szCs w:val="32"/>
          <w:lang w:val="en-US" w:eastAsia="en-GB"/>
        </w:rPr>
        <w:t>Hyalodendrin</w:t>
      </w:r>
    </w:p>
    <w:p w:rsidR="00F007F5" w:rsidRPr="00560F1B" w:rsidRDefault="0024471B" w:rsidP="00F007F5">
      <w:pPr>
        <w:pStyle w:val="Authors"/>
        <w:rPr>
          <w:i/>
        </w:rPr>
      </w:pPr>
      <w:r>
        <w:rPr>
          <w:i/>
          <w:noProof/>
          <w:lang w:eastAsia="en-GB"/>
        </w:rPr>
        <mc:AlternateContent>
          <mc:Choice Requires="wps">
            <w:drawing>
              <wp:anchor distT="180340" distB="0" distL="114300" distR="180340" simplePos="0" relativeHeight="251656704" behindDoc="0" locked="1" layoutInCell="1" allowOverlap="1">
                <wp:simplePos x="0" y="0"/>
                <wp:positionH relativeFrom="column">
                  <wp:posOffset>-53975</wp:posOffset>
                </wp:positionH>
                <wp:positionV relativeFrom="page">
                  <wp:posOffset>8686165</wp:posOffset>
                </wp:positionV>
                <wp:extent cx="687070" cy="1377315"/>
                <wp:effectExtent l="0" t="0" r="0" b="0"/>
                <wp:wrapSquare wrapText="right"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1377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376" w:rsidRDefault="00BB0376" w:rsidP="00BF14BC">
                            <w:pPr>
                              <w:pStyle w:val="Adress"/>
                              <w:pBdr>
                                <w:top w:val="single" w:sz="4" w:space="1" w:color="000000"/>
                              </w:pBdr>
                              <w:rPr>
                                <w:lang w:val="en-GB"/>
                              </w:rPr>
                            </w:pPr>
                            <w:r w:rsidRPr="000D37AC"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>Dr B. R. Szulc, Dr B. C. Sil, Dr A. Ruiz and Dr S.T. Hilton</w:t>
                            </w:r>
                            <w:r>
                              <w:rPr>
                                <w:lang w:val="en-GB"/>
                              </w:rPr>
                              <w:br/>
                              <w:t xml:space="preserve">UCL </w:t>
                            </w:r>
                            <w:r w:rsidRPr="00E74ADC">
                              <w:rPr>
                                <w:lang w:val="en-GB"/>
                              </w:rPr>
                              <w:t>School of Pharmacy</w:t>
                            </w:r>
                            <w:r>
                              <w:rPr>
                                <w:lang w:val="en-GB"/>
                              </w:rPr>
                              <w:br/>
                              <w:t>University College London</w:t>
                            </w:r>
                            <w:r>
                              <w:rPr>
                                <w:lang w:val="en-GB"/>
                              </w:rPr>
                              <w:br/>
                              <w:t>29-39 Brunswick Square, London, WC1N 1AX, United Kingdom</w:t>
                            </w:r>
                            <w:r w:rsidRPr="007E3A49">
                              <w:rPr>
                                <w:lang w:val="en-GB"/>
                              </w:rPr>
                              <w:br/>
                              <w:t xml:space="preserve">E-mail: </w:t>
                            </w:r>
                            <w:hyperlink r:id="rId7" w:history="1">
                              <w:r w:rsidR="001379F3" w:rsidRPr="00D32DFA">
                                <w:rPr>
                                  <w:rStyle w:val="Hyperlink"/>
                                  <w:lang w:val="en-GB"/>
                                </w:rPr>
                                <w:t>s.hilton@ucl.ac.uk</w:t>
                              </w:r>
                            </w:hyperlink>
                          </w:p>
                          <w:p w:rsidR="001379F3" w:rsidRPr="007E3A49" w:rsidRDefault="001379F3" w:rsidP="00BF14BC">
                            <w:pPr>
                              <w:pStyle w:val="Adress"/>
                              <w:pBdr>
                                <w:top w:val="single" w:sz="4" w:space="1" w:color="000000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http://www.stephen-hilton.com</w:t>
                            </w:r>
                          </w:p>
                          <w:p w:rsidR="00BB0376" w:rsidRDefault="00BB0376" w:rsidP="00BF14BC">
                            <w:pPr>
                              <w:pStyle w:val="Footnote"/>
                            </w:pPr>
                          </w:p>
                          <w:p w:rsidR="00BB0376" w:rsidRPr="007E3A49" w:rsidRDefault="00BB0376" w:rsidP="00BF14BC">
                            <w:pPr>
                              <w:pStyle w:val="Footnote"/>
                            </w:pPr>
                            <w:r w:rsidRPr="007E3A49">
                              <w:tab/>
                            </w:r>
                            <w:r w:rsidRPr="004532F9">
                              <w:t xml:space="preserve">Supporting information for this article is </w:t>
                            </w:r>
                            <w:r>
                              <w:t>given via a link at the end of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4.25pt;margin-top:683.95pt;width:54.1pt;height:108.45pt;z-index:251656704;visibility:visible;mso-wrap-style:square;mso-width-percent:0;mso-height-percent:0;mso-wrap-distance-left:9pt;mso-wrap-distance-top:14.2pt;mso-wrap-distance-right:14.2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" stroked="f">
                <v:fill opacity="0"/>
                <v:textbox style="mso-fit-shape-to-text:t">
                  <w:txbxContent>
                    <w:p w:rsidR="00BB0376" w:rsidRDefault="00BB0376" w:rsidP="00BF14BC">
                      <w:pPr>
                        <w:pStyle w:val="Adress"/>
                        <w:pBdr>
                          <w:top w:val="single" w:sz="4" w:space="1" w:color="000000"/>
                        </w:pBdr>
                        <w:rPr>
                          <w:lang w:val="en-GB"/>
                        </w:rPr>
                      </w:pPr>
                      <w:r w:rsidRPr="000D37AC"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>Dr B. R. Szulc, Dr B. C. Sil, Dr A. Ruiz and Dr S.T. Hilton</w:t>
                      </w:r>
                      <w:r>
                        <w:rPr>
                          <w:lang w:val="en-GB"/>
                        </w:rPr>
                        <w:br/>
                        <w:t xml:space="preserve">UCL </w:t>
                      </w:r>
                      <w:r w:rsidRPr="00E74ADC">
                        <w:rPr>
                          <w:lang w:val="en-GB"/>
                        </w:rPr>
                        <w:t>School of Pharmacy</w:t>
                      </w:r>
                      <w:r>
                        <w:rPr>
                          <w:lang w:val="en-GB"/>
                        </w:rPr>
                        <w:br/>
                        <w:t>University College London</w:t>
                      </w:r>
                      <w:r>
                        <w:rPr>
                          <w:lang w:val="en-GB"/>
                        </w:rPr>
                        <w:br/>
                        <w:t>29-39 Brunswick Square, London, WC1N 1AX, United Kingdom</w:t>
                      </w:r>
                      <w:r w:rsidRPr="007E3A49">
                        <w:rPr>
                          <w:lang w:val="en-GB"/>
                        </w:rPr>
                        <w:br/>
                        <w:t xml:space="preserve">E-mail: </w:t>
                      </w:r>
                      <w:hyperlink r:id="rId8" w:history="1">
                        <w:r w:rsidR="001379F3" w:rsidRPr="00D32DFA">
                          <w:rPr>
                            <w:rStyle w:val="Hyperlink"/>
                            <w:lang w:val="en-GB"/>
                          </w:rPr>
                          <w:t>s.hilton@ucl.ac.uk</w:t>
                        </w:r>
                      </w:hyperlink>
                    </w:p>
                    <w:p w:rsidR="001379F3" w:rsidRPr="007E3A49" w:rsidRDefault="001379F3" w:rsidP="00BF14BC">
                      <w:pPr>
                        <w:pStyle w:val="Adress"/>
                        <w:pBdr>
                          <w:top w:val="single" w:sz="4" w:space="1" w:color="000000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 http://www.stephen-hilton.com</w:t>
                      </w:r>
                    </w:p>
                    <w:p w:rsidR="00BB0376" w:rsidRDefault="00BB0376" w:rsidP="00BF14BC">
                      <w:pPr>
                        <w:pStyle w:val="Footnote"/>
                      </w:pPr>
                    </w:p>
                    <w:p w:rsidR="00BB0376" w:rsidRPr="007E3A49" w:rsidRDefault="00BB0376" w:rsidP="00BF14BC">
                      <w:pPr>
                        <w:pStyle w:val="Footnote"/>
                      </w:pPr>
                      <w:r w:rsidRPr="007E3A49">
                        <w:tab/>
                      </w:r>
                      <w:r w:rsidRPr="004532F9">
                        <w:t xml:space="preserve">Supporting information for this article is </w:t>
                      </w:r>
                      <w:r>
                        <w:t>given via a link at the end of the document.</w:t>
                      </w:r>
                    </w:p>
                  </w:txbxContent>
                </v:textbox>
                <w10:wrap type="square" side="right" anchory="page"/>
                <w10:anchorlock/>
              </v:shape>
            </w:pict>
          </mc:Fallback>
        </mc:AlternateContent>
      </w:r>
      <w:r w:rsidR="000D44C9">
        <w:rPr>
          <w:i/>
        </w:rPr>
        <w:t>Blanka R. Szulc, B. C. Sil, A. Ruiz</w:t>
      </w:r>
      <w:r w:rsidR="00E74ADC" w:rsidRPr="00560F1B">
        <w:rPr>
          <w:i/>
        </w:rPr>
        <w:t xml:space="preserve"> </w:t>
      </w:r>
      <w:r w:rsidR="00F007F5" w:rsidRPr="00560F1B">
        <w:rPr>
          <w:i/>
        </w:rPr>
        <w:t xml:space="preserve">and </w:t>
      </w:r>
      <w:r w:rsidR="00E74ADC" w:rsidRPr="00560F1B">
        <w:rPr>
          <w:i/>
        </w:rPr>
        <w:t>Stephen T. Hilton</w:t>
      </w:r>
      <w:r w:rsidR="00F007F5" w:rsidRPr="00560F1B">
        <w:rPr>
          <w:i/>
        </w:rPr>
        <w:t>*</w:t>
      </w:r>
    </w:p>
    <w:p w:rsidR="00F007F5" w:rsidRPr="005D1EBB" w:rsidRDefault="00F007F5" w:rsidP="00B55FAF">
      <w:pPr>
        <w:pStyle w:val="Dedication"/>
        <w:rPr>
          <w:lang w:val="en-US"/>
        </w:rPr>
      </w:pPr>
    </w:p>
    <w:p w:rsidR="006D4F77" w:rsidRPr="005D1EBB" w:rsidRDefault="006D4F77" w:rsidP="006D4F77">
      <w:pPr>
        <w:pStyle w:val="Dedication"/>
        <w:rPr>
          <w:lang w:val="en-US"/>
        </w:rPr>
        <w:sectPr w:rsidR="006D4F77" w:rsidRPr="005D1EBB" w:rsidSect="00205632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1134" w:right="936" w:bottom="1134" w:left="936" w:header="1021" w:footer="0" w:gutter="0"/>
          <w:cols w:space="425"/>
          <w:docGrid w:linePitch="360"/>
        </w:sectPr>
      </w:pPr>
    </w:p>
    <w:p w:rsidR="00CD583D" w:rsidRPr="009308C0" w:rsidRDefault="002D5B99" w:rsidP="009308C0">
      <w:pPr>
        <w:pStyle w:val="Abstract"/>
      </w:pPr>
      <w:r w:rsidRPr="002D5B99">
        <w:rPr>
          <w:b/>
          <w:lang w:val="en-US"/>
        </w:rPr>
        <w:t>Abstract:</w:t>
      </w:r>
      <w:r>
        <w:rPr>
          <w:lang w:val="en-US"/>
        </w:rPr>
        <w:t xml:space="preserve"> </w:t>
      </w:r>
      <w:r w:rsidR="000D44C9">
        <w:rPr>
          <w:lang w:val="en-US"/>
        </w:rPr>
        <w:t xml:space="preserve">Structurally diverse </w:t>
      </w:r>
      <w:r w:rsidR="00D86C09">
        <w:rPr>
          <w:lang w:val="en-US"/>
        </w:rPr>
        <w:t>n</w:t>
      </w:r>
      <w:r w:rsidR="000D44C9">
        <w:rPr>
          <w:lang w:val="en-US"/>
        </w:rPr>
        <w:t>atural products from unrelated sources typically require the development of individual synthetic routes. In a novel approach, we have shown that the epi</w:t>
      </w:r>
      <w:r w:rsidR="00BB0376">
        <w:rPr>
          <w:lang w:val="en-US"/>
        </w:rPr>
        <w:t>dithiodiketopiperazine derived n</w:t>
      </w:r>
      <w:r w:rsidR="000D44C9">
        <w:rPr>
          <w:lang w:val="en-US"/>
        </w:rPr>
        <w:t>atural product (</w:t>
      </w:r>
      <w:r w:rsidR="000D44C9">
        <w:rPr>
          <w:rFonts w:cs="Arial"/>
          <w:lang w:val="en-US"/>
        </w:rPr>
        <w:t>±</w:t>
      </w:r>
      <w:r w:rsidR="000D44C9">
        <w:rPr>
          <w:lang w:val="en-US"/>
        </w:rPr>
        <w:t xml:space="preserve">)-hyalodendrin and the core structure of </w:t>
      </w:r>
      <w:r w:rsidR="00BB0376">
        <w:rPr>
          <w:lang w:val="en-US"/>
        </w:rPr>
        <w:t xml:space="preserve">the unrelated pyrrolidine </w:t>
      </w:r>
      <w:r w:rsidR="008F5A3D">
        <w:rPr>
          <w:lang w:val="en-US"/>
        </w:rPr>
        <w:t xml:space="preserve">derived </w:t>
      </w:r>
      <w:r w:rsidR="00BB0376">
        <w:rPr>
          <w:lang w:val="en-US"/>
        </w:rPr>
        <w:t xml:space="preserve">natural product </w:t>
      </w:r>
      <w:r w:rsidR="000D44C9">
        <w:rPr>
          <w:lang w:val="en-US"/>
        </w:rPr>
        <w:t>clausenamide can be synthesised from a common synthetic precursor</w:t>
      </w:r>
      <w:r w:rsidR="00BB0376">
        <w:rPr>
          <w:lang w:val="en-US"/>
        </w:rPr>
        <w:t xml:space="preserve"> in good yield</w:t>
      </w:r>
      <w:r w:rsidR="000D44C9">
        <w:rPr>
          <w:lang w:val="en-US"/>
        </w:rPr>
        <w:t xml:space="preserve"> by simple variation of the reaction conditions. </w:t>
      </w:r>
    </w:p>
    <w:p w:rsidR="009308C0" w:rsidRDefault="006770CB" w:rsidP="009122C8">
      <w:pPr>
        <w:spacing w:line="276" w:lineRule="auto"/>
        <w:ind w:firstLine="425"/>
        <w:jc w:val="both"/>
        <w:rPr>
          <w:rFonts w:ascii="Arial" w:hAnsi="Arial" w:cs="Arial"/>
          <w:sz w:val="17"/>
          <w:szCs w:val="17"/>
          <w:lang w:val="en-GB"/>
        </w:rPr>
      </w:pPr>
      <w:r>
        <w:rPr>
          <w:rFonts w:ascii="Arial" w:hAnsi="Arial" w:cs="Arial"/>
          <w:sz w:val="17"/>
          <w:szCs w:val="17"/>
          <w:lang w:val="en-GB"/>
        </w:rPr>
        <w:t xml:space="preserve">Structurally unrelated </w:t>
      </w:r>
      <w:r w:rsidR="00C43CE4">
        <w:rPr>
          <w:rFonts w:ascii="Arial" w:hAnsi="Arial" w:cs="Arial"/>
          <w:sz w:val="17"/>
          <w:szCs w:val="17"/>
          <w:lang w:val="en-GB"/>
        </w:rPr>
        <w:t>n</w:t>
      </w:r>
      <w:r w:rsidR="00F43D61">
        <w:rPr>
          <w:rFonts w:ascii="Arial" w:hAnsi="Arial" w:cs="Arial"/>
          <w:sz w:val="17"/>
          <w:szCs w:val="17"/>
          <w:lang w:val="en-GB"/>
        </w:rPr>
        <w:t xml:space="preserve">atural products </w:t>
      </w:r>
      <w:r>
        <w:rPr>
          <w:rFonts w:ascii="Arial" w:hAnsi="Arial" w:cs="Arial"/>
          <w:sz w:val="17"/>
          <w:szCs w:val="17"/>
          <w:lang w:val="en-GB"/>
        </w:rPr>
        <w:t>typically</w:t>
      </w:r>
      <w:r w:rsidR="00F43D61">
        <w:rPr>
          <w:rFonts w:ascii="Arial" w:hAnsi="Arial" w:cs="Arial"/>
          <w:sz w:val="17"/>
          <w:szCs w:val="17"/>
          <w:lang w:val="en-GB"/>
        </w:rPr>
        <w:t xml:space="preserve"> require the development of individual synthetic routes </w:t>
      </w:r>
      <w:r w:rsidR="004064F1">
        <w:rPr>
          <w:rFonts w:ascii="Arial" w:hAnsi="Arial" w:cs="Arial"/>
          <w:sz w:val="17"/>
          <w:szCs w:val="17"/>
          <w:lang w:val="en-GB"/>
        </w:rPr>
        <w:t xml:space="preserve">to access their core structures </w:t>
      </w:r>
      <w:r>
        <w:rPr>
          <w:rFonts w:ascii="Arial" w:hAnsi="Arial" w:cs="Arial"/>
          <w:sz w:val="17"/>
          <w:szCs w:val="17"/>
          <w:lang w:val="en-GB"/>
        </w:rPr>
        <w:t>due</w:t>
      </w:r>
      <w:r w:rsidR="00F43D61">
        <w:rPr>
          <w:rFonts w:ascii="Arial" w:hAnsi="Arial" w:cs="Arial"/>
          <w:sz w:val="17"/>
          <w:szCs w:val="17"/>
          <w:lang w:val="en-GB"/>
        </w:rPr>
        <w:t xml:space="preserve"> </w:t>
      </w:r>
      <w:r>
        <w:rPr>
          <w:rFonts w:ascii="Arial" w:hAnsi="Arial" w:cs="Arial"/>
          <w:sz w:val="17"/>
          <w:szCs w:val="17"/>
          <w:lang w:val="en-GB"/>
        </w:rPr>
        <w:t>to their lack of chemical</w:t>
      </w:r>
      <w:r w:rsidR="00F43D61">
        <w:rPr>
          <w:rFonts w:ascii="Arial" w:hAnsi="Arial" w:cs="Arial"/>
          <w:sz w:val="17"/>
          <w:szCs w:val="17"/>
          <w:lang w:val="en-GB"/>
        </w:rPr>
        <w:t xml:space="preserve"> </w:t>
      </w:r>
      <w:r>
        <w:rPr>
          <w:rFonts w:ascii="Arial" w:hAnsi="Arial" w:cs="Arial"/>
          <w:sz w:val="17"/>
          <w:szCs w:val="17"/>
          <w:lang w:val="en-GB"/>
        </w:rPr>
        <w:t>similarity</w:t>
      </w:r>
      <w:r w:rsidR="00F43D61">
        <w:rPr>
          <w:rFonts w:ascii="Arial" w:hAnsi="Arial" w:cs="Arial"/>
          <w:sz w:val="17"/>
          <w:szCs w:val="17"/>
          <w:lang w:val="en-GB"/>
        </w:rPr>
        <w:t>. The epidithiodiketopiperazines</w:t>
      </w:r>
      <w:r w:rsidR="00B823DD">
        <w:rPr>
          <w:rFonts w:ascii="Arial" w:hAnsi="Arial" w:cs="Arial"/>
          <w:sz w:val="17"/>
          <w:szCs w:val="17"/>
          <w:lang w:val="en-GB"/>
        </w:rPr>
        <w:t xml:space="preserve"> (ETPs)</w:t>
      </w:r>
      <w:r w:rsidR="00F43D61">
        <w:rPr>
          <w:rFonts w:ascii="Arial" w:hAnsi="Arial" w:cs="Arial"/>
          <w:sz w:val="17"/>
          <w:szCs w:val="17"/>
          <w:lang w:val="en-GB"/>
        </w:rPr>
        <w:t xml:space="preserve"> as exemplified by </w:t>
      </w:r>
      <w:r w:rsidR="00A54E25">
        <w:rPr>
          <w:rFonts w:ascii="Arial" w:hAnsi="Arial" w:cs="Arial"/>
          <w:sz w:val="17"/>
          <w:szCs w:val="17"/>
          <w:lang w:val="en-GB"/>
        </w:rPr>
        <w:t xml:space="preserve">chetomin </w:t>
      </w:r>
      <w:r w:rsidR="00A54E25" w:rsidRPr="00A54E25">
        <w:rPr>
          <w:rFonts w:ascii="Arial" w:hAnsi="Arial" w:cs="Arial"/>
          <w:b/>
          <w:sz w:val="17"/>
          <w:szCs w:val="17"/>
          <w:lang w:val="en-GB"/>
        </w:rPr>
        <w:t>1</w:t>
      </w:r>
      <w:r w:rsidR="00A54E25">
        <w:rPr>
          <w:rFonts w:ascii="Arial" w:hAnsi="Arial" w:cs="Arial"/>
          <w:sz w:val="17"/>
          <w:szCs w:val="17"/>
          <w:lang w:val="en-GB"/>
        </w:rPr>
        <w:t xml:space="preserve">, gliotoxin </w:t>
      </w:r>
      <w:r w:rsidR="00A54E25" w:rsidRPr="00A54E25">
        <w:rPr>
          <w:rFonts w:ascii="Arial" w:hAnsi="Arial" w:cs="Arial"/>
          <w:b/>
          <w:sz w:val="17"/>
          <w:szCs w:val="17"/>
          <w:lang w:val="en-GB"/>
        </w:rPr>
        <w:t>2</w:t>
      </w:r>
      <w:r w:rsidR="00A54E25">
        <w:rPr>
          <w:rFonts w:ascii="Arial" w:hAnsi="Arial" w:cs="Arial"/>
          <w:sz w:val="17"/>
          <w:szCs w:val="17"/>
          <w:lang w:val="en-GB"/>
        </w:rPr>
        <w:t xml:space="preserve">, </w:t>
      </w:r>
      <w:r w:rsidR="00592BFE">
        <w:rPr>
          <w:rFonts w:ascii="Arial" w:hAnsi="Arial" w:cs="Arial"/>
          <w:sz w:val="17"/>
          <w:szCs w:val="17"/>
          <w:lang w:val="en-GB"/>
        </w:rPr>
        <w:t>hyalodendrin</w:t>
      </w:r>
      <w:r w:rsidR="00F43D61">
        <w:rPr>
          <w:rFonts w:ascii="Arial" w:hAnsi="Arial" w:cs="Arial"/>
          <w:sz w:val="17"/>
          <w:szCs w:val="17"/>
          <w:lang w:val="en-GB"/>
        </w:rPr>
        <w:t xml:space="preserve"> </w:t>
      </w:r>
      <w:r w:rsidR="00A54E25">
        <w:rPr>
          <w:rFonts w:ascii="Arial" w:hAnsi="Arial" w:cs="Arial"/>
          <w:b/>
          <w:sz w:val="17"/>
          <w:szCs w:val="17"/>
          <w:lang w:val="en-GB"/>
        </w:rPr>
        <w:t>3</w:t>
      </w:r>
      <w:r w:rsidR="009122C8">
        <w:rPr>
          <w:rFonts w:ascii="Arial" w:hAnsi="Arial" w:cs="Arial"/>
          <w:sz w:val="17"/>
          <w:szCs w:val="17"/>
          <w:lang w:val="en-GB"/>
        </w:rPr>
        <w:t xml:space="preserve"> </w:t>
      </w:r>
      <w:r w:rsidR="009308C0">
        <w:rPr>
          <w:rFonts w:ascii="Arial" w:hAnsi="Arial" w:cs="Arial"/>
          <w:sz w:val="17"/>
          <w:szCs w:val="17"/>
          <w:lang w:val="en-GB"/>
        </w:rPr>
        <w:t xml:space="preserve">and </w:t>
      </w:r>
      <w:r w:rsidR="009122C8">
        <w:rPr>
          <w:rFonts w:ascii="Arial" w:hAnsi="Arial" w:cs="Arial"/>
          <w:sz w:val="17"/>
          <w:szCs w:val="17"/>
          <w:lang w:val="en-GB"/>
        </w:rPr>
        <w:t xml:space="preserve">pyrrolidine-based alkaloids such as </w:t>
      </w:r>
      <w:r w:rsidR="00A54E25">
        <w:rPr>
          <w:rFonts w:ascii="Arial" w:hAnsi="Arial" w:cs="Arial"/>
          <w:sz w:val="17"/>
          <w:szCs w:val="17"/>
          <w:lang w:val="en-GB"/>
        </w:rPr>
        <w:t xml:space="preserve">erythratin </w:t>
      </w:r>
      <w:r w:rsidR="00A54E25">
        <w:rPr>
          <w:rFonts w:ascii="Arial" w:hAnsi="Arial" w:cs="Arial"/>
          <w:b/>
          <w:sz w:val="17"/>
          <w:szCs w:val="17"/>
          <w:lang w:val="en-GB"/>
        </w:rPr>
        <w:t xml:space="preserve">4 </w:t>
      </w:r>
      <w:r w:rsidR="00A54E25">
        <w:rPr>
          <w:rFonts w:ascii="Arial" w:hAnsi="Arial" w:cs="Arial"/>
          <w:sz w:val="17"/>
          <w:szCs w:val="17"/>
          <w:lang w:val="en-GB"/>
        </w:rPr>
        <w:t xml:space="preserve">and </w:t>
      </w:r>
      <w:r w:rsidR="009122C8">
        <w:rPr>
          <w:rFonts w:ascii="Arial" w:hAnsi="Arial" w:cs="Arial"/>
          <w:sz w:val="17"/>
          <w:szCs w:val="17"/>
          <w:lang w:val="en-GB"/>
        </w:rPr>
        <w:t xml:space="preserve">clausenamide </w:t>
      </w:r>
      <w:r w:rsidR="009122C8" w:rsidRPr="009122C8">
        <w:rPr>
          <w:rFonts w:ascii="Arial" w:hAnsi="Arial" w:cs="Arial"/>
          <w:b/>
          <w:sz w:val="17"/>
          <w:szCs w:val="17"/>
          <w:lang w:val="en-GB"/>
        </w:rPr>
        <w:t>5</w:t>
      </w:r>
      <w:r w:rsidR="009122C8">
        <w:rPr>
          <w:rFonts w:ascii="Arial" w:hAnsi="Arial" w:cs="Arial"/>
          <w:sz w:val="17"/>
          <w:szCs w:val="17"/>
          <w:lang w:val="en-GB"/>
        </w:rPr>
        <w:t xml:space="preserve"> are such a case in point</w:t>
      </w:r>
      <w:r w:rsidR="00B823DD">
        <w:rPr>
          <w:rFonts w:ascii="Arial" w:hAnsi="Arial" w:cs="Arial"/>
          <w:sz w:val="17"/>
          <w:szCs w:val="17"/>
          <w:lang w:val="en-GB"/>
        </w:rPr>
        <w:t>,</w:t>
      </w:r>
      <w:r w:rsidR="009122C8">
        <w:rPr>
          <w:rFonts w:ascii="Arial" w:hAnsi="Arial" w:cs="Arial"/>
          <w:sz w:val="17"/>
          <w:szCs w:val="17"/>
          <w:lang w:val="en-GB"/>
        </w:rPr>
        <w:t xml:space="preserve"> due to their </w:t>
      </w:r>
      <w:r w:rsidR="004064F1">
        <w:rPr>
          <w:rFonts w:ascii="Arial" w:hAnsi="Arial" w:cs="Arial"/>
          <w:sz w:val="17"/>
          <w:szCs w:val="17"/>
          <w:lang w:val="en-GB"/>
        </w:rPr>
        <w:t xml:space="preserve">clear and </w:t>
      </w:r>
      <w:r w:rsidR="009122C8">
        <w:rPr>
          <w:rFonts w:ascii="Arial" w:hAnsi="Arial" w:cs="Arial"/>
          <w:sz w:val="17"/>
          <w:szCs w:val="17"/>
          <w:lang w:val="en-GB"/>
        </w:rPr>
        <w:t>obvious structural differences.</w:t>
      </w:r>
      <w:r w:rsidR="00034689" w:rsidRPr="00034689">
        <w:rPr>
          <w:rFonts w:ascii="Arial" w:hAnsi="Arial" w:cs="Arial"/>
          <w:sz w:val="17"/>
          <w:szCs w:val="17"/>
          <w:vertAlign w:val="superscript"/>
          <w:lang w:val="en-GB"/>
        </w:rPr>
        <w:t>[</w:t>
      </w:r>
      <w:r w:rsidR="00034689">
        <w:rPr>
          <w:rFonts w:ascii="Arial" w:hAnsi="Arial" w:cs="Arial"/>
          <w:sz w:val="17"/>
          <w:szCs w:val="17"/>
          <w:vertAlign w:val="superscript"/>
          <w:lang w:val="en-GB"/>
        </w:rPr>
        <w:t>1-4]</w:t>
      </w:r>
      <w:r w:rsidR="009122C8">
        <w:rPr>
          <w:rFonts w:ascii="Arial" w:hAnsi="Arial" w:cs="Arial"/>
          <w:sz w:val="17"/>
          <w:szCs w:val="17"/>
          <w:lang w:val="en-GB"/>
        </w:rPr>
        <w:t xml:space="preserve"> The </w:t>
      </w:r>
      <w:r w:rsidR="00B823DD">
        <w:rPr>
          <w:rFonts w:ascii="Arial" w:hAnsi="Arial" w:cs="Arial"/>
          <w:sz w:val="17"/>
          <w:szCs w:val="17"/>
          <w:lang w:val="en-GB"/>
        </w:rPr>
        <w:t>ETPs</w:t>
      </w:r>
      <w:r w:rsidR="009122C8">
        <w:rPr>
          <w:rFonts w:ascii="Arial" w:hAnsi="Arial" w:cs="Arial"/>
          <w:sz w:val="17"/>
          <w:szCs w:val="17"/>
          <w:lang w:val="en-GB"/>
        </w:rPr>
        <w:t xml:space="preserve"> as a family of compound </w:t>
      </w:r>
      <w:r w:rsidR="00ED51B6">
        <w:rPr>
          <w:rFonts w:ascii="Arial" w:hAnsi="Arial" w:cs="Arial"/>
          <w:sz w:val="17"/>
          <w:szCs w:val="17"/>
          <w:lang w:val="en-GB"/>
        </w:rPr>
        <w:t xml:space="preserve">are distinguished by the fact that they </w:t>
      </w:r>
      <w:r w:rsidR="009122C8">
        <w:rPr>
          <w:rFonts w:ascii="Arial" w:hAnsi="Arial" w:cs="Arial"/>
          <w:sz w:val="17"/>
          <w:szCs w:val="17"/>
          <w:lang w:val="en-GB"/>
        </w:rPr>
        <w:t>all contain a diketopiperazine c</w:t>
      </w:r>
      <w:r w:rsidR="0086718D">
        <w:rPr>
          <w:rFonts w:ascii="Arial" w:hAnsi="Arial" w:cs="Arial"/>
          <w:sz w:val="17"/>
          <w:szCs w:val="17"/>
          <w:lang w:val="en-GB"/>
        </w:rPr>
        <w:t>ore bridged by two or more sulf</w:t>
      </w:r>
      <w:r w:rsidR="009122C8">
        <w:rPr>
          <w:rFonts w:ascii="Arial" w:hAnsi="Arial" w:cs="Arial"/>
          <w:sz w:val="17"/>
          <w:szCs w:val="17"/>
          <w:lang w:val="en-GB"/>
        </w:rPr>
        <w:t>ur atoms.</w:t>
      </w:r>
      <w:r w:rsidR="006C2702">
        <w:rPr>
          <w:rFonts w:ascii="Arial" w:hAnsi="Arial" w:cs="Arial"/>
          <w:sz w:val="17"/>
          <w:szCs w:val="17"/>
          <w:vertAlign w:val="superscript"/>
          <w:lang w:val="en-GB"/>
        </w:rPr>
        <w:t>[1-2]</w:t>
      </w:r>
      <w:r w:rsidR="009122C8">
        <w:rPr>
          <w:rFonts w:ascii="Arial" w:hAnsi="Arial" w:cs="Arial"/>
          <w:sz w:val="17"/>
          <w:szCs w:val="17"/>
          <w:lang w:val="en-GB"/>
        </w:rPr>
        <w:t xml:space="preserve"> This family of secondary fungal metabolites displays potent biological activity ranging from the nanomolar anticancer activity associated with chetomin </w:t>
      </w:r>
      <w:r w:rsidR="009122C8" w:rsidRPr="009122C8">
        <w:rPr>
          <w:rFonts w:ascii="Arial" w:hAnsi="Arial" w:cs="Arial"/>
          <w:b/>
          <w:sz w:val="17"/>
          <w:szCs w:val="17"/>
          <w:lang w:val="en-GB"/>
        </w:rPr>
        <w:t>1</w:t>
      </w:r>
      <w:r w:rsidR="009122C8">
        <w:rPr>
          <w:rFonts w:ascii="Arial" w:hAnsi="Arial" w:cs="Arial"/>
          <w:sz w:val="17"/>
          <w:szCs w:val="17"/>
          <w:lang w:val="en-GB"/>
        </w:rPr>
        <w:t>,</w:t>
      </w:r>
      <w:r w:rsidR="006C2702">
        <w:rPr>
          <w:rFonts w:ascii="Arial" w:hAnsi="Arial" w:cs="Arial"/>
          <w:sz w:val="17"/>
          <w:szCs w:val="17"/>
          <w:vertAlign w:val="superscript"/>
          <w:lang w:val="en-GB"/>
        </w:rPr>
        <w:t>[1-4]</w:t>
      </w:r>
      <w:r w:rsidR="009122C8">
        <w:rPr>
          <w:rFonts w:ascii="Arial" w:hAnsi="Arial" w:cs="Arial"/>
          <w:sz w:val="17"/>
          <w:szCs w:val="17"/>
          <w:lang w:val="en-GB"/>
        </w:rPr>
        <w:t xml:space="preserve"> </w:t>
      </w:r>
      <w:r w:rsidR="00ED51B6">
        <w:rPr>
          <w:rFonts w:ascii="Arial" w:hAnsi="Arial" w:cs="Arial"/>
          <w:sz w:val="17"/>
          <w:szCs w:val="17"/>
          <w:lang w:val="en-GB"/>
        </w:rPr>
        <w:t xml:space="preserve">through to </w:t>
      </w:r>
      <w:r w:rsidR="009122C8">
        <w:rPr>
          <w:rFonts w:ascii="Arial" w:hAnsi="Arial" w:cs="Arial"/>
          <w:sz w:val="17"/>
          <w:szCs w:val="17"/>
          <w:lang w:val="en-GB"/>
        </w:rPr>
        <w:t xml:space="preserve">the antibacterial and antiviral activity of gliotoxin </w:t>
      </w:r>
      <w:r w:rsidR="009122C8" w:rsidRPr="009122C8">
        <w:rPr>
          <w:rFonts w:ascii="Arial" w:hAnsi="Arial" w:cs="Arial"/>
          <w:b/>
          <w:sz w:val="17"/>
          <w:szCs w:val="17"/>
          <w:lang w:val="en-GB"/>
        </w:rPr>
        <w:t>2</w:t>
      </w:r>
      <w:r w:rsidR="00ED51B6">
        <w:rPr>
          <w:rFonts w:ascii="Arial" w:hAnsi="Arial" w:cs="Arial"/>
          <w:sz w:val="17"/>
          <w:szCs w:val="17"/>
          <w:lang w:val="en-GB"/>
        </w:rPr>
        <w:t>.</w:t>
      </w:r>
      <w:r w:rsidR="006C2702">
        <w:rPr>
          <w:rFonts w:ascii="Arial" w:hAnsi="Arial" w:cs="Arial"/>
          <w:sz w:val="17"/>
          <w:szCs w:val="17"/>
          <w:vertAlign w:val="superscript"/>
          <w:lang w:val="en-GB"/>
        </w:rPr>
        <w:t>[1]</w:t>
      </w:r>
      <w:r w:rsidR="00ED51B6">
        <w:rPr>
          <w:rFonts w:ascii="Arial" w:hAnsi="Arial" w:cs="Arial"/>
          <w:sz w:val="17"/>
          <w:szCs w:val="17"/>
          <w:lang w:val="en-GB"/>
        </w:rPr>
        <w:t xml:space="preserve"> The fact that they are able to inhibit protein/ protein interactions has made the ETPs attractive targets</w:t>
      </w:r>
      <w:r w:rsidR="000740BE" w:rsidRPr="000740BE">
        <w:rPr>
          <w:rFonts w:ascii="Arial" w:hAnsi="Arial" w:cs="Arial"/>
          <w:sz w:val="17"/>
          <w:szCs w:val="17"/>
          <w:lang w:val="en-GB"/>
        </w:rPr>
        <w:t xml:space="preserve"> as well as </w:t>
      </w:r>
      <w:r w:rsidR="00ED51B6">
        <w:rPr>
          <w:rFonts w:ascii="Arial" w:hAnsi="Arial" w:cs="Arial"/>
          <w:sz w:val="17"/>
          <w:szCs w:val="17"/>
          <w:lang w:val="en-GB"/>
        </w:rPr>
        <w:t>the</w:t>
      </w:r>
      <w:r w:rsidR="000740BE" w:rsidRPr="000740BE">
        <w:rPr>
          <w:rFonts w:ascii="Arial" w:hAnsi="Arial" w:cs="Arial"/>
          <w:sz w:val="17"/>
          <w:szCs w:val="17"/>
          <w:lang w:val="en-GB"/>
        </w:rPr>
        <w:t xml:space="preserve"> ability </w:t>
      </w:r>
      <w:r w:rsidR="00ED51B6">
        <w:rPr>
          <w:rFonts w:ascii="Arial" w:hAnsi="Arial" w:cs="Arial"/>
          <w:sz w:val="17"/>
          <w:szCs w:val="17"/>
          <w:lang w:val="en-GB"/>
        </w:rPr>
        <w:t xml:space="preserve">of gliotoxin </w:t>
      </w:r>
      <w:r w:rsidR="00ED51B6" w:rsidRPr="00ED51B6">
        <w:rPr>
          <w:rFonts w:ascii="Arial" w:hAnsi="Arial" w:cs="Arial"/>
          <w:b/>
          <w:sz w:val="17"/>
          <w:szCs w:val="17"/>
          <w:lang w:val="en-GB"/>
        </w:rPr>
        <w:t>2</w:t>
      </w:r>
      <w:r w:rsidR="00ED51B6">
        <w:rPr>
          <w:rFonts w:ascii="Arial" w:hAnsi="Arial" w:cs="Arial"/>
          <w:sz w:val="17"/>
          <w:szCs w:val="17"/>
          <w:lang w:val="en-GB"/>
        </w:rPr>
        <w:t xml:space="preserve"> </w:t>
      </w:r>
      <w:r w:rsidR="000740BE" w:rsidRPr="000740BE">
        <w:rPr>
          <w:rFonts w:ascii="Arial" w:hAnsi="Arial" w:cs="Arial"/>
          <w:sz w:val="17"/>
          <w:szCs w:val="17"/>
          <w:lang w:val="en-GB"/>
        </w:rPr>
        <w:t xml:space="preserve">to inhibit farnesyl </w:t>
      </w:r>
      <w:r w:rsidR="000740BE">
        <w:rPr>
          <w:rFonts w:ascii="Arial" w:hAnsi="Arial" w:cs="Arial"/>
          <w:sz w:val="17"/>
          <w:szCs w:val="17"/>
          <w:lang w:val="en-GB"/>
        </w:rPr>
        <w:t>transferase</w:t>
      </w:r>
      <w:r w:rsidR="009122C8" w:rsidRPr="000740BE">
        <w:rPr>
          <w:rFonts w:ascii="Arial" w:hAnsi="Arial" w:cs="Arial"/>
          <w:sz w:val="17"/>
          <w:szCs w:val="17"/>
          <w:lang w:val="en-GB"/>
        </w:rPr>
        <w:t xml:space="preserve"> </w:t>
      </w:r>
      <w:r w:rsidR="009122C8">
        <w:rPr>
          <w:rFonts w:ascii="Arial" w:hAnsi="Arial" w:cs="Arial"/>
          <w:sz w:val="17"/>
          <w:szCs w:val="17"/>
          <w:lang w:val="en-GB"/>
        </w:rPr>
        <w:t xml:space="preserve">and the antifungal activity of hyalodendrin </w:t>
      </w:r>
      <w:r w:rsidR="00A54E25">
        <w:rPr>
          <w:rFonts w:ascii="Arial" w:hAnsi="Arial" w:cs="Arial"/>
          <w:b/>
          <w:sz w:val="17"/>
          <w:szCs w:val="17"/>
          <w:lang w:val="en-GB"/>
        </w:rPr>
        <w:t>3</w:t>
      </w:r>
      <w:r w:rsidR="009122C8">
        <w:rPr>
          <w:rFonts w:ascii="Arial" w:hAnsi="Arial" w:cs="Arial"/>
          <w:sz w:val="17"/>
          <w:szCs w:val="17"/>
          <w:lang w:val="en-GB"/>
        </w:rPr>
        <w:t>.</w:t>
      </w:r>
      <w:r w:rsidR="006C2702">
        <w:rPr>
          <w:rFonts w:ascii="Arial" w:hAnsi="Arial" w:cs="Arial"/>
          <w:sz w:val="17"/>
          <w:szCs w:val="17"/>
          <w:vertAlign w:val="superscript"/>
          <w:lang w:val="en-GB"/>
        </w:rPr>
        <w:t>[1-7]</w:t>
      </w:r>
      <w:r w:rsidR="009122C8">
        <w:rPr>
          <w:rFonts w:ascii="Arial" w:hAnsi="Arial" w:cs="Arial"/>
          <w:sz w:val="17"/>
          <w:szCs w:val="17"/>
          <w:lang w:val="en-GB"/>
        </w:rPr>
        <w:t xml:space="preserve"> All members of this class of compound </w:t>
      </w:r>
      <w:r w:rsidR="000740BE">
        <w:rPr>
          <w:rFonts w:ascii="Arial" w:hAnsi="Arial" w:cs="Arial"/>
          <w:sz w:val="17"/>
          <w:szCs w:val="17"/>
          <w:lang w:val="en-GB"/>
        </w:rPr>
        <w:t xml:space="preserve">exhibit potent and differing biological </w:t>
      </w:r>
      <w:r w:rsidR="004064F1">
        <w:rPr>
          <w:rFonts w:ascii="Arial" w:hAnsi="Arial" w:cs="Arial"/>
          <w:sz w:val="17"/>
          <w:szCs w:val="17"/>
          <w:lang w:val="en-GB"/>
        </w:rPr>
        <w:t xml:space="preserve">activity, which is related to the structural </w:t>
      </w:r>
      <w:r w:rsidR="00ED51B6">
        <w:rPr>
          <w:rFonts w:ascii="Arial" w:hAnsi="Arial" w:cs="Arial"/>
          <w:sz w:val="17"/>
          <w:szCs w:val="17"/>
          <w:lang w:val="en-GB"/>
        </w:rPr>
        <w:t>features</w:t>
      </w:r>
      <w:r w:rsidR="004064F1">
        <w:rPr>
          <w:rFonts w:ascii="Arial" w:hAnsi="Arial" w:cs="Arial"/>
          <w:sz w:val="17"/>
          <w:szCs w:val="17"/>
          <w:lang w:val="en-GB"/>
        </w:rPr>
        <w:t xml:space="preserve"> around the central disulfide bridged core.</w:t>
      </w:r>
      <w:r w:rsidR="006C2702">
        <w:rPr>
          <w:rFonts w:ascii="Arial" w:hAnsi="Arial" w:cs="Arial"/>
          <w:sz w:val="17"/>
          <w:szCs w:val="17"/>
          <w:vertAlign w:val="superscript"/>
          <w:lang w:val="en-GB"/>
        </w:rPr>
        <w:t>[1]</w:t>
      </w:r>
      <w:r w:rsidR="004064F1">
        <w:rPr>
          <w:rFonts w:ascii="Arial" w:hAnsi="Arial" w:cs="Arial"/>
          <w:sz w:val="17"/>
          <w:szCs w:val="17"/>
          <w:lang w:val="en-GB"/>
        </w:rPr>
        <w:t xml:space="preserve"> </w:t>
      </w:r>
      <w:r w:rsidR="00B823DD">
        <w:rPr>
          <w:rFonts w:ascii="Arial" w:hAnsi="Arial" w:cs="Arial"/>
          <w:sz w:val="17"/>
          <w:szCs w:val="17"/>
          <w:lang w:val="en-GB"/>
        </w:rPr>
        <w:t xml:space="preserve">Clausenamide </w:t>
      </w:r>
      <w:r w:rsidR="00B823DD" w:rsidRPr="00ED51B6">
        <w:rPr>
          <w:rFonts w:ascii="Arial" w:hAnsi="Arial" w:cs="Arial"/>
          <w:b/>
          <w:sz w:val="17"/>
          <w:szCs w:val="17"/>
          <w:lang w:val="en-GB"/>
        </w:rPr>
        <w:t>5</w:t>
      </w:r>
      <w:r w:rsidR="00B823DD">
        <w:rPr>
          <w:rFonts w:ascii="Arial" w:hAnsi="Arial" w:cs="Arial"/>
          <w:sz w:val="17"/>
          <w:szCs w:val="17"/>
          <w:lang w:val="en-GB"/>
        </w:rPr>
        <w:t>, is</w:t>
      </w:r>
      <w:r w:rsidR="00ED51B6">
        <w:rPr>
          <w:rFonts w:ascii="Arial" w:hAnsi="Arial" w:cs="Arial"/>
          <w:sz w:val="17"/>
          <w:szCs w:val="17"/>
          <w:lang w:val="en-GB"/>
        </w:rPr>
        <w:t xml:space="preserve"> a </w:t>
      </w:r>
      <w:r w:rsidR="008D775F">
        <w:rPr>
          <w:rFonts w:ascii="Arial" w:hAnsi="Arial" w:cs="Arial"/>
          <w:sz w:val="17"/>
          <w:szCs w:val="17"/>
          <w:lang w:val="en-GB"/>
        </w:rPr>
        <w:t>small five-membered heterocycle</w:t>
      </w:r>
      <w:r w:rsidR="00ED51B6">
        <w:rPr>
          <w:rFonts w:ascii="Arial" w:hAnsi="Arial" w:cs="Arial"/>
          <w:sz w:val="17"/>
          <w:szCs w:val="17"/>
          <w:lang w:val="en-GB"/>
        </w:rPr>
        <w:t xml:space="preserve"> containing four contiguous stereocentres</w:t>
      </w:r>
      <w:r w:rsidR="008D775F">
        <w:rPr>
          <w:rFonts w:ascii="Arial" w:hAnsi="Arial" w:cs="Arial"/>
          <w:sz w:val="17"/>
          <w:szCs w:val="17"/>
          <w:lang w:val="en-GB"/>
        </w:rPr>
        <w:t>,</w:t>
      </w:r>
      <w:r w:rsidR="00ED51B6">
        <w:rPr>
          <w:rFonts w:ascii="Arial" w:hAnsi="Arial" w:cs="Arial"/>
          <w:sz w:val="17"/>
          <w:szCs w:val="17"/>
          <w:lang w:val="en-GB"/>
        </w:rPr>
        <w:t xml:space="preserve"> which </w:t>
      </w:r>
      <w:r w:rsidR="008D775F">
        <w:rPr>
          <w:rFonts w:ascii="Arial" w:hAnsi="Arial" w:cs="Arial"/>
          <w:sz w:val="17"/>
          <w:szCs w:val="17"/>
          <w:lang w:val="en-GB"/>
        </w:rPr>
        <w:t>was</w:t>
      </w:r>
      <w:r w:rsidR="00B823DD">
        <w:rPr>
          <w:rFonts w:ascii="Arial" w:hAnsi="Arial" w:cs="Arial"/>
          <w:sz w:val="17"/>
          <w:szCs w:val="17"/>
          <w:lang w:val="en-GB"/>
        </w:rPr>
        <w:t xml:space="preserve"> isolated from </w:t>
      </w:r>
      <w:r w:rsidR="00B823DD" w:rsidRPr="00B823DD">
        <w:rPr>
          <w:rFonts w:ascii="Arial" w:hAnsi="Arial" w:cs="Arial"/>
          <w:i/>
          <w:sz w:val="17"/>
          <w:szCs w:val="17"/>
          <w:lang w:val="en-GB"/>
        </w:rPr>
        <w:t>cl</w:t>
      </w:r>
      <w:r w:rsidR="00305CB7">
        <w:rPr>
          <w:rFonts w:ascii="Arial" w:hAnsi="Arial" w:cs="Arial"/>
          <w:i/>
          <w:sz w:val="17"/>
          <w:szCs w:val="17"/>
          <w:lang w:val="en-GB"/>
        </w:rPr>
        <w:t>a</w:t>
      </w:r>
      <w:r w:rsidR="00B823DD" w:rsidRPr="00B823DD">
        <w:rPr>
          <w:rFonts w:ascii="Arial" w:hAnsi="Arial" w:cs="Arial"/>
          <w:i/>
          <w:sz w:val="17"/>
          <w:szCs w:val="17"/>
          <w:lang w:val="en-GB"/>
        </w:rPr>
        <w:t>usenia lanseum</w:t>
      </w:r>
      <w:r w:rsidR="00B823DD">
        <w:rPr>
          <w:rFonts w:ascii="Arial" w:hAnsi="Arial" w:cs="Arial"/>
          <w:sz w:val="17"/>
          <w:szCs w:val="17"/>
          <w:lang w:val="en-GB"/>
        </w:rPr>
        <w:t xml:space="preserve"> as a racemic mixture o</w:t>
      </w:r>
      <w:r w:rsidR="008D775F">
        <w:rPr>
          <w:rFonts w:ascii="Arial" w:hAnsi="Arial" w:cs="Arial"/>
          <w:sz w:val="17"/>
          <w:szCs w:val="17"/>
          <w:lang w:val="en-GB"/>
        </w:rPr>
        <w:t>f the (+)- and (-)- enantiomers. T</w:t>
      </w:r>
      <w:r w:rsidR="00B823DD">
        <w:rPr>
          <w:rFonts w:ascii="Arial" w:hAnsi="Arial" w:cs="Arial"/>
          <w:sz w:val="17"/>
          <w:szCs w:val="17"/>
          <w:lang w:val="en-GB"/>
        </w:rPr>
        <w:t xml:space="preserve">he (-)- enantiomer </w:t>
      </w:r>
      <w:r w:rsidR="008D775F">
        <w:rPr>
          <w:rFonts w:ascii="Arial" w:hAnsi="Arial" w:cs="Arial"/>
          <w:sz w:val="17"/>
          <w:szCs w:val="17"/>
          <w:lang w:val="en-GB"/>
        </w:rPr>
        <w:t>is responsible for the</w:t>
      </w:r>
      <w:r w:rsidR="00B823DD">
        <w:rPr>
          <w:rFonts w:ascii="Arial" w:hAnsi="Arial" w:cs="Arial"/>
          <w:sz w:val="17"/>
          <w:szCs w:val="17"/>
          <w:lang w:val="en-GB"/>
        </w:rPr>
        <w:t xml:space="preserve"> powerful nootropic effects and is currently undergoing clinical trials for the treatment of Alzheimer’s disease.</w:t>
      </w:r>
      <w:r w:rsidR="006C2702">
        <w:rPr>
          <w:rFonts w:ascii="Arial" w:hAnsi="Arial" w:cs="Arial"/>
          <w:sz w:val="17"/>
          <w:szCs w:val="17"/>
          <w:vertAlign w:val="superscript"/>
          <w:lang w:val="en-GB"/>
        </w:rPr>
        <w:t>[8]</w:t>
      </w:r>
      <w:r w:rsidR="00B823DD">
        <w:rPr>
          <w:rFonts w:ascii="Arial" w:hAnsi="Arial" w:cs="Arial"/>
          <w:sz w:val="17"/>
          <w:szCs w:val="17"/>
          <w:lang w:val="en-GB"/>
        </w:rPr>
        <w:t xml:space="preserve"> </w:t>
      </w:r>
      <w:r w:rsidR="00ED51B6">
        <w:rPr>
          <w:rFonts w:ascii="Arial" w:hAnsi="Arial" w:cs="Arial"/>
          <w:sz w:val="17"/>
          <w:szCs w:val="17"/>
          <w:lang w:val="en-GB"/>
        </w:rPr>
        <w:t xml:space="preserve">A number of the stereoisomers of clausenamide exhibit </w:t>
      </w:r>
      <w:r w:rsidR="008D775F">
        <w:rPr>
          <w:rFonts w:ascii="Arial" w:hAnsi="Arial" w:cs="Arial"/>
          <w:sz w:val="17"/>
          <w:szCs w:val="17"/>
          <w:lang w:val="en-GB"/>
        </w:rPr>
        <w:t xml:space="preserve">differing </w:t>
      </w:r>
      <w:r w:rsidR="00ED51B6">
        <w:rPr>
          <w:rFonts w:ascii="Arial" w:hAnsi="Arial" w:cs="Arial"/>
          <w:sz w:val="17"/>
          <w:szCs w:val="17"/>
          <w:lang w:val="en-GB"/>
        </w:rPr>
        <w:t>nootropic effects to a greater or lesser degree depending on their discreet stereo-arrangement.</w:t>
      </w:r>
      <w:r w:rsidR="006C2702">
        <w:rPr>
          <w:rFonts w:ascii="Arial" w:hAnsi="Arial" w:cs="Arial"/>
          <w:sz w:val="17"/>
          <w:szCs w:val="17"/>
          <w:vertAlign w:val="superscript"/>
          <w:lang w:val="en-GB"/>
        </w:rPr>
        <w:t>[8]</w:t>
      </w:r>
    </w:p>
    <w:p w:rsidR="00416F79" w:rsidRDefault="00416F79" w:rsidP="009122C8">
      <w:pPr>
        <w:spacing w:line="276" w:lineRule="auto"/>
        <w:ind w:firstLine="425"/>
        <w:jc w:val="both"/>
        <w:rPr>
          <w:rFonts w:ascii="Arial" w:hAnsi="Arial" w:cs="Arial"/>
          <w:sz w:val="17"/>
          <w:szCs w:val="17"/>
          <w:lang w:val="en-GB"/>
        </w:rPr>
      </w:pPr>
      <w:r>
        <w:rPr>
          <w:rFonts w:ascii="Arial" w:hAnsi="Arial" w:cs="Arial"/>
          <w:sz w:val="17"/>
          <w:szCs w:val="17"/>
          <w:lang w:val="en-GB"/>
        </w:rPr>
        <w:t xml:space="preserve">There have been a number of methods </w:t>
      </w:r>
      <w:r w:rsidR="00ED51B6">
        <w:rPr>
          <w:rFonts w:ascii="Arial" w:hAnsi="Arial" w:cs="Arial"/>
          <w:sz w:val="17"/>
          <w:szCs w:val="17"/>
          <w:lang w:val="en-GB"/>
        </w:rPr>
        <w:t xml:space="preserve">reported in the literature </w:t>
      </w:r>
      <w:r>
        <w:rPr>
          <w:rFonts w:ascii="Arial" w:hAnsi="Arial" w:cs="Arial"/>
          <w:sz w:val="17"/>
          <w:szCs w:val="17"/>
          <w:lang w:val="en-GB"/>
        </w:rPr>
        <w:t xml:space="preserve">to access the core structure of hyalodendrin </w:t>
      </w:r>
      <w:r w:rsidR="00A54E25">
        <w:rPr>
          <w:rFonts w:ascii="Arial" w:hAnsi="Arial" w:cs="Arial"/>
          <w:b/>
          <w:sz w:val="17"/>
          <w:szCs w:val="17"/>
          <w:lang w:val="en-GB"/>
        </w:rPr>
        <w:t>3</w:t>
      </w:r>
      <w:r w:rsidR="00ED51B6">
        <w:rPr>
          <w:rFonts w:ascii="Arial" w:hAnsi="Arial" w:cs="Arial"/>
          <w:sz w:val="17"/>
          <w:szCs w:val="17"/>
          <w:lang w:val="en-GB"/>
        </w:rPr>
        <w:t xml:space="preserve"> </w:t>
      </w:r>
      <w:r>
        <w:rPr>
          <w:rFonts w:ascii="Arial" w:hAnsi="Arial" w:cs="Arial"/>
          <w:sz w:val="17"/>
          <w:szCs w:val="17"/>
          <w:lang w:val="en-GB"/>
        </w:rPr>
        <w:t xml:space="preserve">and the ETPs, with most efforts </w:t>
      </w:r>
      <w:r w:rsidR="00ED51B6">
        <w:rPr>
          <w:rFonts w:ascii="Arial" w:hAnsi="Arial" w:cs="Arial"/>
          <w:sz w:val="17"/>
          <w:szCs w:val="17"/>
          <w:lang w:val="en-GB"/>
        </w:rPr>
        <w:t>directed towards</w:t>
      </w:r>
      <w:r>
        <w:rPr>
          <w:rFonts w:ascii="Arial" w:hAnsi="Arial" w:cs="Arial"/>
          <w:sz w:val="17"/>
          <w:szCs w:val="17"/>
          <w:lang w:val="en-GB"/>
        </w:rPr>
        <w:t xml:space="preserve"> the synthesis of the diketopiperazine </w:t>
      </w:r>
      <w:r w:rsidR="00BB0376">
        <w:rPr>
          <w:rFonts w:ascii="Arial" w:hAnsi="Arial" w:cs="Arial"/>
          <w:sz w:val="17"/>
          <w:szCs w:val="17"/>
          <w:lang w:val="en-GB"/>
        </w:rPr>
        <w:t>ring</w:t>
      </w:r>
      <w:r w:rsidR="0086718D">
        <w:rPr>
          <w:rFonts w:ascii="Arial" w:hAnsi="Arial" w:cs="Arial"/>
          <w:sz w:val="17"/>
          <w:szCs w:val="17"/>
          <w:lang w:val="en-GB"/>
        </w:rPr>
        <w:t xml:space="preserve"> prior to incorporation of sulf</w:t>
      </w:r>
      <w:r>
        <w:rPr>
          <w:rFonts w:ascii="Arial" w:hAnsi="Arial" w:cs="Arial"/>
          <w:sz w:val="17"/>
          <w:szCs w:val="17"/>
          <w:lang w:val="en-GB"/>
        </w:rPr>
        <w:t>ur.</w:t>
      </w:r>
      <w:r w:rsidR="006C2702">
        <w:rPr>
          <w:rFonts w:ascii="Arial" w:hAnsi="Arial" w:cs="Arial"/>
          <w:sz w:val="17"/>
          <w:szCs w:val="17"/>
          <w:vertAlign w:val="superscript"/>
          <w:lang w:val="en-GB"/>
        </w:rPr>
        <w:t>[1-7,9-20]</w:t>
      </w:r>
      <w:r>
        <w:rPr>
          <w:rFonts w:ascii="Arial" w:hAnsi="Arial" w:cs="Arial"/>
          <w:sz w:val="17"/>
          <w:szCs w:val="17"/>
          <w:lang w:val="en-GB"/>
        </w:rPr>
        <w:t xml:space="preserve"> One of the key challenges with this approach is the regiosele</w:t>
      </w:r>
      <w:r w:rsidR="0086718D">
        <w:rPr>
          <w:rFonts w:ascii="Arial" w:hAnsi="Arial" w:cs="Arial"/>
          <w:sz w:val="17"/>
          <w:szCs w:val="17"/>
          <w:lang w:val="en-GB"/>
        </w:rPr>
        <w:t xml:space="preserve">ctive </w:t>
      </w:r>
      <w:r w:rsidR="0086718D">
        <w:rPr>
          <w:rFonts w:ascii="Arial" w:hAnsi="Arial" w:cs="Arial"/>
          <w:sz w:val="17"/>
          <w:szCs w:val="17"/>
          <w:lang w:val="en-GB"/>
        </w:rPr>
        <w:t>requirement for both sulf</w:t>
      </w:r>
      <w:r>
        <w:rPr>
          <w:rFonts w:ascii="Arial" w:hAnsi="Arial" w:cs="Arial"/>
          <w:sz w:val="17"/>
          <w:szCs w:val="17"/>
          <w:lang w:val="en-GB"/>
        </w:rPr>
        <w:t xml:space="preserve">ur atoms to be on the same face of the diketopiperazine ring in order to access the ETP </w:t>
      </w:r>
      <w:r w:rsidR="00BB0376">
        <w:rPr>
          <w:rFonts w:ascii="Arial" w:hAnsi="Arial" w:cs="Arial"/>
          <w:sz w:val="17"/>
          <w:szCs w:val="17"/>
          <w:lang w:val="en-GB"/>
        </w:rPr>
        <w:t>core</w:t>
      </w:r>
      <w:r w:rsidR="00ED51B6">
        <w:rPr>
          <w:rFonts w:ascii="Arial" w:hAnsi="Arial" w:cs="Arial"/>
          <w:sz w:val="17"/>
          <w:szCs w:val="17"/>
          <w:lang w:val="en-GB"/>
        </w:rPr>
        <w:t>,</w:t>
      </w:r>
      <w:r>
        <w:rPr>
          <w:rFonts w:ascii="Arial" w:hAnsi="Arial" w:cs="Arial"/>
          <w:sz w:val="17"/>
          <w:szCs w:val="17"/>
          <w:lang w:val="en-GB"/>
        </w:rPr>
        <w:t xml:space="preserve"> </w:t>
      </w:r>
      <w:r w:rsidR="00ED51B6">
        <w:rPr>
          <w:rFonts w:ascii="Arial" w:hAnsi="Arial" w:cs="Arial"/>
          <w:sz w:val="17"/>
          <w:szCs w:val="17"/>
          <w:lang w:val="en-GB"/>
        </w:rPr>
        <w:t xml:space="preserve">as </w:t>
      </w:r>
      <w:r>
        <w:rPr>
          <w:rFonts w:ascii="Arial" w:hAnsi="Arial" w:cs="Arial"/>
          <w:sz w:val="17"/>
          <w:szCs w:val="17"/>
          <w:lang w:val="en-GB"/>
        </w:rPr>
        <w:t>well as the challenge associated with the poor solubility of diket</w:t>
      </w:r>
      <w:r w:rsidR="00ED51B6">
        <w:rPr>
          <w:rFonts w:ascii="Arial" w:hAnsi="Arial" w:cs="Arial"/>
          <w:sz w:val="17"/>
          <w:szCs w:val="17"/>
          <w:lang w:val="en-GB"/>
        </w:rPr>
        <w:t>o</w:t>
      </w:r>
      <w:r>
        <w:rPr>
          <w:rFonts w:ascii="Arial" w:hAnsi="Arial" w:cs="Arial"/>
          <w:sz w:val="17"/>
          <w:szCs w:val="17"/>
          <w:lang w:val="en-GB"/>
        </w:rPr>
        <w:t>piperazines in general.</w:t>
      </w:r>
      <w:r w:rsidR="006C2702">
        <w:rPr>
          <w:rFonts w:ascii="Arial" w:hAnsi="Arial" w:cs="Arial"/>
          <w:sz w:val="17"/>
          <w:szCs w:val="17"/>
          <w:vertAlign w:val="superscript"/>
          <w:lang w:val="en-GB"/>
        </w:rPr>
        <w:t>[1]</w:t>
      </w:r>
      <w:r>
        <w:rPr>
          <w:rFonts w:ascii="Arial" w:hAnsi="Arial" w:cs="Arial"/>
          <w:sz w:val="17"/>
          <w:szCs w:val="17"/>
          <w:lang w:val="en-GB"/>
        </w:rPr>
        <w:t xml:space="preserve"> Notable synthetic endeavours involve work by Kishi, </w:t>
      </w:r>
      <w:r w:rsidR="00C43CE4">
        <w:rPr>
          <w:rFonts w:ascii="Arial" w:hAnsi="Arial" w:cs="Arial"/>
          <w:sz w:val="17"/>
          <w:szCs w:val="17"/>
          <w:lang w:val="en-GB"/>
        </w:rPr>
        <w:t xml:space="preserve">Fukuyama, </w:t>
      </w:r>
      <w:r>
        <w:rPr>
          <w:rFonts w:ascii="Arial" w:hAnsi="Arial" w:cs="Arial"/>
          <w:sz w:val="17"/>
          <w:szCs w:val="17"/>
          <w:lang w:val="en-GB"/>
        </w:rPr>
        <w:t>Movas</w:t>
      </w:r>
      <w:r w:rsidR="00A54E25">
        <w:rPr>
          <w:rFonts w:ascii="Arial" w:hAnsi="Arial" w:cs="Arial"/>
          <w:sz w:val="17"/>
          <w:szCs w:val="17"/>
          <w:lang w:val="en-GB"/>
        </w:rPr>
        <w:t>s</w:t>
      </w:r>
      <w:r>
        <w:rPr>
          <w:rFonts w:ascii="Arial" w:hAnsi="Arial" w:cs="Arial"/>
          <w:sz w:val="17"/>
          <w:szCs w:val="17"/>
          <w:lang w:val="en-GB"/>
        </w:rPr>
        <w:t>aghi</w:t>
      </w:r>
      <w:r w:rsidR="00BB0376">
        <w:rPr>
          <w:rFonts w:ascii="Arial" w:hAnsi="Arial" w:cs="Arial"/>
          <w:sz w:val="17"/>
          <w:szCs w:val="17"/>
          <w:lang w:val="en-GB"/>
        </w:rPr>
        <w:t>,</w:t>
      </w:r>
      <w:r>
        <w:rPr>
          <w:rFonts w:ascii="Arial" w:hAnsi="Arial" w:cs="Arial"/>
          <w:sz w:val="17"/>
          <w:szCs w:val="17"/>
          <w:lang w:val="en-GB"/>
        </w:rPr>
        <w:t xml:space="preserve"> </w:t>
      </w:r>
      <w:r w:rsidR="00C43CE4">
        <w:rPr>
          <w:rFonts w:ascii="Arial" w:hAnsi="Arial" w:cs="Arial"/>
          <w:sz w:val="17"/>
          <w:szCs w:val="17"/>
          <w:lang w:val="en-GB"/>
        </w:rPr>
        <w:t>Williams</w:t>
      </w:r>
      <w:r w:rsidR="00BB0376">
        <w:rPr>
          <w:rFonts w:ascii="Arial" w:hAnsi="Arial" w:cs="Arial"/>
          <w:sz w:val="17"/>
          <w:szCs w:val="17"/>
          <w:lang w:val="en-GB"/>
        </w:rPr>
        <w:t xml:space="preserve"> and others,</w:t>
      </w:r>
      <w:r w:rsidR="00ED51B6">
        <w:rPr>
          <w:rFonts w:ascii="Arial" w:hAnsi="Arial" w:cs="Arial"/>
          <w:sz w:val="17"/>
          <w:szCs w:val="17"/>
          <w:lang w:val="en-GB"/>
        </w:rPr>
        <w:t xml:space="preserve"> which ha</w:t>
      </w:r>
      <w:r w:rsidR="00C43CE4">
        <w:rPr>
          <w:rFonts w:ascii="Arial" w:hAnsi="Arial" w:cs="Arial"/>
          <w:sz w:val="17"/>
          <w:szCs w:val="17"/>
          <w:lang w:val="en-GB"/>
        </w:rPr>
        <w:t>ve led to the synthesis of the n</w:t>
      </w:r>
      <w:r w:rsidR="00ED51B6">
        <w:rPr>
          <w:rFonts w:ascii="Arial" w:hAnsi="Arial" w:cs="Arial"/>
          <w:sz w:val="17"/>
          <w:szCs w:val="17"/>
          <w:lang w:val="en-GB"/>
        </w:rPr>
        <w:t>atural products</w:t>
      </w:r>
      <w:r>
        <w:rPr>
          <w:rFonts w:ascii="Arial" w:hAnsi="Arial" w:cs="Arial"/>
          <w:sz w:val="17"/>
          <w:szCs w:val="17"/>
          <w:lang w:val="en-GB"/>
        </w:rPr>
        <w:t>.</w:t>
      </w:r>
      <w:r w:rsidR="006C2702">
        <w:rPr>
          <w:rFonts w:ascii="Arial" w:hAnsi="Arial" w:cs="Arial"/>
          <w:sz w:val="17"/>
          <w:szCs w:val="17"/>
          <w:vertAlign w:val="superscript"/>
          <w:lang w:val="en-GB"/>
        </w:rPr>
        <w:t>[17-20]</w:t>
      </w:r>
      <w:r>
        <w:rPr>
          <w:rFonts w:ascii="Arial" w:hAnsi="Arial" w:cs="Arial"/>
          <w:sz w:val="17"/>
          <w:szCs w:val="17"/>
          <w:lang w:val="en-GB"/>
        </w:rPr>
        <w:t xml:space="preserve"> As a result of its potent biological activity, clausenamide</w:t>
      </w:r>
      <w:r w:rsidR="00BB0376">
        <w:rPr>
          <w:rFonts w:ascii="Arial" w:hAnsi="Arial" w:cs="Arial"/>
          <w:sz w:val="17"/>
          <w:szCs w:val="17"/>
          <w:lang w:val="en-GB"/>
        </w:rPr>
        <w:t xml:space="preserve"> </w:t>
      </w:r>
      <w:r w:rsidR="00BB0376" w:rsidRPr="00BB0376">
        <w:rPr>
          <w:rFonts w:ascii="Arial" w:hAnsi="Arial" w:cs="Arial"/>
          <w:b/>
          <w:sz w:val="17"/>
          <w:szCs w:val="17"/>
          <w:lang w:val="en-GB"/>
        </w:rPr>
        <w:t>5</w:t>
      </w:r>
      <w:r>
        <w:rPr>
          <w:rFonts w:ascii="Arial" w:hAnsi="Arial" w:cs="Arial"/>
          <w:sz w:val="17"/>
          <w:szCs w:val="17"/>
          <w:lang w:val="en-GB"/>
        </w:rPr>
        <w:t xml:space="preserve"> has also attracted significant synthetic attention over a number of years due to its potential </w:t>
      </w:r>
      <w:r w:rsidR="004C58BD">
        <w:rPr>
          <w:rFonts w:ascii="Arial" w:hAnsi="Arial" w:cs="Arial"/>
          <w:sz w:val="17"/>
          <w:szCs w:val="17"/>
          <w:lang w:val="en-GB"/>
        </w:rPr>
        <w:t xml:space="preserve">to treat neurological disorders and the synthetic challenge associated with </w:t>
      </w:r>
      <w:r w:rsidR="009C547D">
        <w:rPr>
          <w:rFonts w:ascii="Arial" w:hAnsi="Arial" w:cs="Arial"/>
          <w:sz w:val="17"/>
          <w:szCs w:val="17"/>
          <w:lang w:val="en-GB"/>
        </w:rPr>
        <w:t>its four contiguous stereocentre</w:t>
      </w:r>
      <w:r w:rsidR="004C58BD">
        <w:rPr>
          <w:rFonts w:ascii="Arial" w:hAnsi="Arial" w:cs="Arial"/>
          <w:sz w:val="17"/>
          <w:szCs w:val="17"/>
          <w:lang w:val="en-GB"/>
        </w:rPr>
        <w:t>s.</w:t>
      </w:r>
      <w:r w:rsidR="006C2702">
        <w:rPr>
          <w:rFonts w:ascii="Arial" w:hAnsi="Arial" w:cs="Arial"/>
          <w:sz w:val="17"/>
          <w:szCs w:val="17"/>
          <w:vertAlign w:val="superscript"/>
          <w:lang w:val="en-GB"/>
        </w:rPr>
        <w:t>[21-32]</w:t>
      </w:r>
      <w:r w:rsidR="004C58BD">
        <w:rPr>
          <w:rFonts w:ascii="Arial" w:hAnsi="Arial" w:cs="Arial"/>
          <w:sz w:val="17"/>
          <w:szCs w:val="17"/>
          <w:lang w:val="en-GB"/>
        </w:rPr>
        <w:t xml:space="preserve"> </w:t>
      </w:r>
    </w:p>
    <w:p w:rsidR="002871DA" w:rsidRDefault="002871DA" w:rsidP="009122C8">
      <w:pPr>
        <w:spacing w:line="276" w:lineRule="auto"/>
        <w:ind w:firstLine="425"/>
        <w:jc w:val="both"/>
        <w:rPr>
          <w:rFonts w:ascii="Arial" w:hAnsi="Arial" w:cs="Arial"/>
          <w:sz w:val="17"/>
          <w:szCs w:val="17"/>
          <w:lang w:val="en-GB"/>
        </w:rPr>
      </w:pPr>
    </w:p>
    <w:p w:rsidR="00B823DD" w:rsidRDefault="00A54E25" w:rsidP="00B823DD">
      <w:pPr>
        <w:spacing w:line="276" w:lineRule="auto"/>
        <w:jc w:val="both"/>
        <w:rPr>
          <w:rFonts w:ascii="Arial" w:hAnsi="Arial" w:cs="Arial"/>
          <w:sz w:val="17"/>
          <w:szCs w:val="17"/>
          <w:lang w:val="en-GB"/>
        </w:rPr>
      </w:pPr>
      <w:r>
        <w:object w:dxaOrig="7173" w:dyaOrig="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17.75pt" o:ole="">
            <v:imagedata r:id="rId13" o:title=""/>
          </v:shape>
          <o:OLEObject Type="Embed" ProgID="ChemDraw.Document.6.0" ShapeID="_x0000_i1025" DrawAspect="Content" ObjectID="_1547889018" r:id="rId14"/>
        </w:object>
      </w:r>
    </w:p>
    <w:p w:rsidR="00B823DD" w:rsidRDefault="00B823DD" w:rsidP="00B823DD">
      <w:pPr>
        <w:pStyle w:val="SchemeCaption"/>
      </w:pPr>
      <w:r w:rsidRPr="00560F1B">
        <w:rPr>
          <w:b/>
          <w:i/>
          <w:noProof/>
        </w:rPr>
        <w:t>Figure</w:t>
      </w:r>
      <w:r w:rsidRPr="00560F1B">
        <w:rPr>
          <w:b/>
          <w:i/>
        </w:rPr>
        <w:t xml:space="preserve"> 1.</w:t>
      </w:r>
      <w:r w:rsidRPr="00C2552A">
        <w:t xml:space="preserve"> </w:t>
      </w:r>
      <w:r w:rsidR="004C58BD">
        <w:rPr>
          <w:szCs w:val="20"/>
        </w:rPr>
        <w:t>The epidithiodike</w:t>
      </w:r>
      <w:r>
        <w:rPr>
          <w:szCs w:val="20"/>
        </w:rPr>
        <w:t xml:space="preserve">topiperazines </w:t>
      </w:r>
      <w:r w:rsidR="004C58BD">
        <w:rPr>
          <w:szCs w:val="20"/>
        </w:rPr>
        <w:t xml:space="preserve">as exemplified by chetomin </w:t>
      </w:r>
      <w:r w:rsidR="004C58BD" w:rsidRPr="004C58BD">
        <w:rPr>
          <w:b/>
          <w:szCs w:val="20"/>
        </w:rPr>
        <w:t>1</w:t>
      </w:r>
      <w:r w:rsidR="004C58BD">
        <w:rPr>
          <w:szCs w:val="20"/>
        </w:rPr>
        <w:t xml:space="preserve">, </w:t>
      </w:r>
      <w:r w:rsidR="00BB0376">
        <w:rPr>
          <w:szCs w:val="20"/>
        </w:rPr>
        <w:t xml:space="preserve">gliotoxin </w:t>
      </w:r>
      <w:r w:rsidR="00BB0376" w:rsidRPr="00BB0376">
        <w:rPr>
          <w:b/>
          <w:szCs w:val="20"/>
        </w:rPr>
        <w:t>2</w:t>
      </w:r>
      <w:r w:rsidR="00BB0376">
        <w:rPr>
          <w:szCs w:val="20"/>
        </w:rPr>
        <w:t xml:space="preserve">, </w:t>
      </w:r>
      <w:r w:rsidR="004C58BD">
        <w:rPr>
          <w:szCs w:val="20"/>
        </w:rPr>
        <w:t xml:space="preserve">hyalodendrin </w:t>
      </w:r>
      <w:r w:rsidR="00CF0939">
        <w:rPr>
          <w:b/>
          <w:szCs w:val="20"/>
        </w:rPr>
        <w:t>3</w:t>
      </w:r>
      <w:r w:rsidR="004C58BD">
        <w:rPr>
          <w:szCs w:val="20"/>
        </w:rPr>
        <w:t xml:space="preserve"> </w:t>
      </w:r>
      <w:r w:rsidR="00C43CE4">
        <w:rPr>
          <w:szCs w:val="20"/>
        </w:rPr>
        <w:t>and n</w:t>
      </w:r>
      <w:r>
        <w:rPr>
          <w:szCs w:val="20"/>
        </w:rPr>
        <w:t xml:space="preserve">atural products </w:t>
      </w:r>
      <w:r w:rsidR="004C58BD">
        <w:rPr>
          <w:szCs w:val="20"/>
        </w:rPr>
        <w:t>containing</w:t>
      </w:r>
      <w:r>
        <w:rPr>
          <w:szCs w:val="20"/>
        </w:rPr>
        <w:t xml:space="preserve"> a pyrrolidine core</w:t>
      </w:r>
      <w:r w:rsidR="004C58BD">
        <w:rPr>
          <w:szCs w:val="20"/>
        </w:rPr>
        <w:t xml:space="preserve"> such as erythratin </w:t>
      </w:r>
      <w:r w:rsidR="004C58BD" w:rsidRPr="004C58BD">
        <w:rPr>
          <w:b/>
          <w:szCs w:val="20"/>
        </w:rPr>
        <w:t>3</w:t>
      </w:r>
      <w:r w:rsidR="004C58BD">
        <w:rPr>
          <w:szCs w:val="20"/>
        </w:rPr>
        <w:t xml:space="preserve"> and clausenamide </w:t>
      </w:r>
      <w:r w:rsidR="004C58BD" w:rsidRPr="004C58BD">
        <w:rPr>
          <w:b/>
          <w:szCs w:val="20"/>
        </w:rPr>
        <w:t>5</w:t>
      </w:r>
      <w:r w:rsidR="004C58BD">
        <w:rPr>
          <w:szCs w:val="20"/>
        </w:rPr>
        <w:t>.</w:t>
      </w:r>
    </w:p>
    <w:p w:rsidR="002871DA" w:rsidRDefault="002871DA" w:rsidP="00D966B1">
      <w:pPr>
        <w:spacing w:line="276" w:lineRule="auto"/>
        <w:ind w:firstLine="425"/>
        <w:jc w:val="both"/>
        <w:rPr>
          <w:rFonts w:ascii="Arial" w:hAnsi="Arial" w:cs="Arial"/>
          <w:sz w:val="17"/>
          <w:szCs w:val="17"/>
          <w:lang w:val="en-GB"/>
        </w:rPr>
      </w:pPr>
      <w:r>
        <w:rPr>
          <w:rFonts w:ascii="Arial" w:hAnsi="Arial" w:cs="Arial"/>
          <w:sz w:val="17"/>
          <w:szCs w:val="17"/>
          <w:lang w:val="en-GB"/>
        </w:rPr>
        <w:t xml:space="preserve">As a result of the structural complexities and potent biological activities of both the ETPs and pyrrolidine alkaloids we were interested in the development of </w:t>
      </w:r>
      <w:r w:rsidR="00D527DA">
        <w:rPr>
          <w:rFonts w:ascii="Arial" w:hAnsi="Arial" w:cs="Arial"/>
          <w:sz w:val="17"/>
          <w:szCs w:val="17"/>
          <w:lang w:val="en-GB"/>
        </w:rPr>
        <w:t xml:space="preserve">separate </w:t>
      </w:r>
      <w:r>
        <w:rPr>
          <w:rFonts w:ascii="Arial" w:hAnsi="Arial" w:cs="Arial"/>
          <w:sz w:val="17"/>
          <w:szCs w:val="17"/>
          <w:lang w:val="en-GB"/>
        </w:rPr>
        <w:t xml:space="preserve">novel methodology to access both classes of compound. However, we were </w:t>
      </w:r>
      <w:r w:rsidR="00D527DA">
        <w:rPr>
          <w:rFonts w:ascii="Arial" w:hAnsi="Arial" w:cs="Arial"/>
          <w:sz w:val="17"/>
          <w:szCs w:val="17"/>
          <w:lang w:val="en-GB"/>
        </w:rPr>
        <w:t>also</w:t>
      </w:r>
      <w:r>
        <w:rPr>
          <w:rFonts w:ascii="Arial" w:hAnsi="Arial" w:cs="Arial"/>
          <w:sz w:val="17"/>
          <w:szCs w:val="17"/>
          <w:lang w:val="en-GB"/>
        </w:rPr>
        <w:t xml:space="preserve"> attracted to the development of </w:t>
      </w:r>
      <w:r w:rsidR="00E66CE8">
        <w:rPr>
          <w:rFonts w:ascii="Arial" w:hAnsi="Arial" w:cs="Arial"/>
          <w:sz w:val="17"/>
          <w:szCs w:val="17"/>
          <w:lang w:val="en-GB"/>
        </w:rPr>
        <w:t>synthetic</w:t>
      </w:r>
      <w:r>
        <w:rPr>
          <w:rFonts w:ascii="Arial" w:hAnsi="Arial" w:cs="Arial"/>
          <w:sz w:val="17"/>
          <w:szCs w:val="17"/>
          <w:lang w:val="en-GB"/>
        </w:rPr>
        <w:t xml:space="preserve"> routes which would be amenable to the synthesis of small molecular libraries to access related </w:t>
      </w:r>
      <w:r w:rsidR="00D527DA">
        <w:rPr>
          <w:rFonts w:ascii="Arial" w:hAnsi="Arial" w:cs="Arial"/>
          <w:sz w:val="17"/>
          <w:szCs w:val="17"/>
          <w:lang w:val="en-GB"/>
        </w:rPr>
        <w:t xml:space="preserve">structural </w:t>
      </w:r>
      <w:r>
        <w:rPr>
          <w:rFonts w:ascii="Arial" w:hAnsi="Arial" w:cs="Arial"/>
          <w:sz w:val="17"/>
          <w:szCs w:val="17"/>
          <w:lang w:val="en-GB"/>
        </w:rPr>
        <w:t>analogues for biological evaluation</w:t>
      </w:r>
      <w:r w:rsidR="008D775F">
        <w:rPr>
          <w:rFonts w:ascii="Arial" w:hAnsi="Arial" w:cs="Arial"/>
          <w:sz w:val="17"/>
          <w:szCs w:val="17"/>
          <w:lang w:val="en-GB"/>
        </w:rPr>
        <w:t xml:space="preserve"> for each class of compound</w:t>
      </w:r>
      <w:r>
        <w:rPr>
          <w:rFonts w:ascii="Arial" w:hAnsi="Arial" w:cs="Arial"/>
          <w:sz w:val="17"/>
          <w:szCs w:val="17"/>
          <w:lang w:val="en-GB"/>
        </w:rPr>
        <w:t xml:space="preserve">.  </w:t>
      </w:r>
      <w:r w:rsidR="008D775F">
        <w:rPr>
          <w:rFonts w:ascii="Arial" w:hAnsi="Arial" w:cs="Arial"/>
          <w:sz w:val="17"/>
          <w:szCs w:val="17"/>
          <w:lang w:val="en-GB"/>
        </w:rPr>
        <w:t>With this in mind, w</w:t>
      </w:r>
      <w:r w:rsidR="00314335">
        <w:rPr>
          <w:rFonts w:ascii="Arial" w:hAnsi="Arial" w:cs="Arial"/>
          <w:sz w:val="17"/>
          <w:szCs w:val="17"/>
          <w:lang w:val="en-GB"/>
        </w:rPr>
        <w:t xml:space="preserve">e </w:t>
      </w:r>
      <w:r w:rsidR="00D527DA">
        <w:rPr>
          <w:rFonts w:ascii="Arial" w:hAnsi="Arial" w:cs="Arial"/>
          <w:sz w:val="17"/>
          <w:szCs w:val="17"/>
          <w:lang w:val="en-GB"/>
        </w:rPr>
        <w:t>had</w:t>
      </w:r>
      <w:r>
        <w:rPr>
          <w:rFonts w:ascii="Arial" w:hAnsi="Arial" w:cs="Arial"/>
          <w:sz w:val="17"/>
          <w:szCs w:val="17"/>
          <w:lang w:val="en-GB"/>
        </w:rPr>
        <w:t xml:space="preserve"> previously </w:t>
      </w:r>
      <w:r w:rsidR="00D527DA">
        <w:rPr>
          <w:rFonts w:ascii="Arial" w:hAnsi="Arial" w:cs="Arial"/>
          <w:sz w:val="17"/>
          <w:szCs w:val="17"/>
          <w:lang w:val="en-GB"/>
        </w:rPr>
        <w:t>developed</w:t>
      </w:r>
      <w:r>
        <w:rPr>
          <w:rFonts w:ascii="Arial" w:hAnsi="Arial" w:cs="Arial"/>
          <w:sz w:val="17"/>
          <w:szCs w:val="17"/>
          <w:lang w:val="en-GB"/>
        </w:rPr>
        <w:t xml:space="preserve"> a route to the ETP core</w:t>
      </w:r>
      <w:r w:rsidR="00D42CCE">
        <w:rPr>
          <w:rFonts w:ascii="Arial" w:hAnsi="Arial" w:cs="Arial"/>
          <w:sz w:val="17"/>
          <w:szCs w:val="17"/>
          <w:lang w:val="en-GB"/>
        </w:rPr>
        <w:t xml:space="preserve"> </w:t>
      </w:r>
      <w:r w:rsidR="00D42CCE" w:rsidRPr="00D42CCE">
        <w:rPr>
          <w:rFonts w:ascii="Arial" w:hAnsi="Arial" w:cs="Arial"/>
          <w:b/>
          <w:sz w:val="17"/>
          <w:szCs w:val="17"/>
          <w:lang w:val="en-GB"/>
        </w:rPr>
        <w:t>8</w:t>
      </w:r>
      <w:r>
        <w:rPr>
          <w:rFonts w:ascii="Arial" w:hAnsi="Arial" w:cs="Arial"/>
          <w:sz w:val="17"/>
          <w:szCs w:val="17"/>
          <w:lang w:val="en-GB"/>
        </w:rPr>
        <w:t xml:space="preserve">, which involved formation of the diketopiperazine ring </w:t>
      </w:r>
      <w:r w:rsidR="00D42CCE" w:rsidRPr="00D42CCE">
        <w:rPr>
          <w:rFonts w:ascii="Arial" w:hAnsi="Arial" w:cs="Arial"/>
          <w:b/>
          <w:sz w:val="17"/>
          <w:szCs w:val="17"/>
          <w:lang w:val="en-GB"/>
        </w:rPr>
        <w:t>7</w:t>
      </w:r>
      <w:r w:rsidR="00D42CCE">
        <w:rPr>
          <w:rFonts w:ascii="Arial" w:hAnsi="Arial" w:cs="Arial"/>
          <w:sz w:val="17"/>
          <w:szCs w:val="17"/>
          <w:lang w:val="en-GB"/>
        </w:rPr>
        <w:t xml:space="preserve"> via a multicomponent reaction between a diacetoxyamide </w:t>
      </w:r>
      <w:r w:rsidR="00BB0376" w:rsidRPr="00BB0376">
        <w:rPr>
          <w:rFonts w:ascii="Arial" w:hAnsi="Arial" w:cs="Arial"/>
          <w:b/>
          <w:sz w:val="17"/>
          <w:szCs w:val="17"/>
          <w:lang w:val="en-GB"/>
        </w:rPr>
        <w:t>6</w:t>
      </w:r>
      <w:r w:rsidR="00BB0376">
        <w:rPr>
          <w:rFonts w:ascii="Arial" w:hAnsi="Arial" w:cs="Arial"/>
          <w:sz w:val="17"/>
          <w:szCs w:val="17"/>
          <w:lang w:val="en-GB"/>
        </w:rPr>
        <w:t xml:space="preserve"> </w:t>
      </w:r>
      <w:r w:rsidR="00D42CCE">
        <w:rPr>
          <w:rFonts w:ascii="Arial" w:hAnsi="Arial" w:cs="Arial"/>
          <w:sz w:val="17"/>
          <w:szCs w:val="17"/>
          <w:lang w:val="en-GB"/>
        </w:rPr>
        <w:t>with 4-metho</w:t>
      </w:r>
      <w:r w:rsidR="004E5D40">
        <w:rPr>
          <w:rFonts w:ascii="Arial" w:hAnsi="Arial" w:cs="Arial"/>
          <w:sz w:val="17"/>
          <w:szCs w:val="17"/>
          <w:lang w:val="en-GB"/>
        </w:rPr>
        <w:t>x</w:t>
      </w:r>
      <w:r w:rsidR="00D42CCE">
        <w:rPr>
          <w:rFonts w:ascii="Arial" w:hAnsi="Arial" w:cs="Arial"/>
          <w:sz w:val="17"/>
          <w:szCs w:val="17"/>
          <w:lang w:val="en-GB"/>
        </w:rPr>
        <w:t xml:space="preserve">ybenzylmercaptan and </w:t>
      </w:r>
      <w:r w:rsidR="008D775F">
        <w:rPr>
          <w:rFonts w:ascii="Arial" w:hAnsi="Arial" w:cs="Arial"/>
          <w:sz w:val="17"/>
          <w:szCs w:val="17"/>
          <w:lang w:val="en-GB"/>
        </w:rPr>
        <w:t>a range of</w:t>
      </w:r>
      <w:r w:rsidR="00D42CCE">
        <w:rPr>
          <w:rFonts w:ascii="Arial" w:hAnsi="Arial" w:cs="Arial"/>
          <w:sz w:val="17"/>
          <w:szCs w:val="17"/>
          <w:lang w:val="en-GB"/>
        </w:rPr>
        <w:t xml:space="preserve"> amine</w:t>
      </w:r>
      <w:r w:rsidR="008D775F">
        <w:rPr>
          <w:rFonts w:ascii="Arial" w:hAnsi="Arial" w:cs="Arial"/>
          <w:sz w:val="17"/>
          <w:szCs w:val="17"/>
          <w:lang w:val="en-GB"/>
        </w:rPr>
        <w:t>s</w:t>
      </w:r>
      <w:r>
        <w:rPr>
          <w:rFonts w:ascii="Arial" w:hAnsi="Arial" w:cs="Arial"/>
          <w:sz w:val="17"/>
          <w:szCs w:val="17"/>
          <w:lang w:val="en-GB"/>
        </w:rPr>
        <w:t xml:space="preserve">, but were interested in the development of </w:t>
      </w:r>
      <w:r w:rsidR="00D527DA">
        <w:rPr>
          <w:rFonts w:ascii="Arial" w:hAnsi="Arial" w:cs="Arial"/>
          <w:sz w:val="17"/>
          <w:szCs w:val="17"/>
          <w:lang w:val="en-GB"/>
        </w:rPr>
        <w:t>new</w:t>
      </w:r>
      <w:r>
        <w:rPr>
          <w:rFonts w:ascii="Arial" w:hAnsi="Arial" w:cs="Arial"/>
          <w:sz w:val="17"/>
          <w:szCs w:val="17"/>
          <w:lang w:val="en-GB"/>
        </w:rPr>
        <w:t xml:space="preserve"> methodology that would generate </w:t>
      </w:r>
      <w:r w:rsidR="008D775F">
        <w:rPr>
          <w:rFonts w:ascii="Arial" w:hAnsi="Arial" w:cs="Arial"/>
          <w:sz w:val="17"/>
          <w:szCs w:val="17"/>
          <w:lang w:val="en-GB"/>
        </w:rPr>
        <w:t xml:space="preserve">more </w:t>
      </w:r>
      <w:r w:rsidR="00D527DA">
        <w:rPr>
          <w:rFonts w:ascii="Arial" w:hAnsi="Arial" w:cs="Arial"/>
          <w:sz w:val="17"/>
          <w:szCs w:val="17"/>
          <w:lang w:val="en-GB"/>
        </w:rPr>
        <w:t>highly</w:t>
      </w:r>
      <w:r>
        <w:rPr>
          <w:rFonts w:ascii="Arial" w:hAnsi="Arial" w:cs="Arial"/>
          <w:sz w:val="17"/>
          <w:szCs w:val="17"/>
          <w:lang w:val="en-GB"/>
        </w:rPr>
        <w:t xml:space="preserve"> substituted analogues</w:t>
      </w:r>
      <w:r w:rsidR="00314335">
        <w:rPr>
          <w:rFonts w:ascii="Arial" w:hAnsi="Arial" w:cs="Arial"/>
          <w:sz w:val="17"/>
          <w:szCs w:val="17"/>
          <w:lang w:val="en-GB"/>
        </w:rPr>
        <w:t xml:space="preserve"> in a single transformation from simple amino acids</w:t>
      </w:r>
      <w:r w:rsidR="00D42CCE">
        <w:rPr>
          <w:rFonts w:ascii="Arial" w:hAnsi="Arial" w:cs="Arial"/>
          <w:sz w:val="17"/>
          <w:szCs w:val="17"/>
          <w:lang w:val="en-GB"/>
        </w:rPr>
        <w:t xml:space="preserve"> (Scheme 1).</w:t>
      </w:r>
      <w:r w:rsidR="008D1225">
        <w:rPr>
          <w:rFonts w:ascii="Arial" w:hAnsi="Arial" w:cs="Arial"/>
          <w:sz w:val="17"/>
          <w:szCs w:val="17"/>
          <w:vertAlign w:val="superscript"/>
          <w:lang w:val="en-GB"/>
        </w:rPr>
        <w:t>[33-34]</w:t>
      </w:r>
    </w:p>
    <w:p w:rsidR="007E6031" w:rsidRDefault="007E6031" w:rsidP="00D966B1">
      <w:pPr>
        <w:spacing w:line="276" w:lineRule="auto"/>
        <w:ind w:firstLine="425"/>
        <w:jc w:val="both"/>
        <w:rPr>
          <w:rFonts w:ascii="Arial" w:hAnsi="Arial" w:cs="Arial"/>
          <w:sz w:val="17"/>
          <w:szCs w:val="17"/>
          <w:lang w:val="en-GB"/>
        </w:rPr>
      </w:pPr>
    </w:p>
    <w:p w:rsidR="00D42CCE" w:rsidRDefault="0086718D" w:rsidP="00D42CCE">
      <w:pPr>
        <w:spacing w:line="276" w:lineRule="auto"/>
        <w:jc w:val="both"/>
        <w:rPr>
          <w:rFonts w:ascii="Arial" w:hAnsi="Arial" w:cs="Arial"/>
          <w:sz w:val="17"/>
          <w:szCs w:val="17"/>
          <w:lang w:val="en-GB"/>
        </w:rPr>
      </w:pPr>
      <w:r>
        <w:object w:dxaOrig="7857" w:dyaOrig="1759">
          <v:shape id="_x0000_i1026" type="#_x0000_t75" style="width:242.25pt;height:54pt" o:ole="">
            <v:imagedata r:id="rId15" o:title=""/>
          </v:shape>
          <o:OLEObject Type="Embed" ProgID="ChemDraw.Document.6.0" ShapeID="_x0000_i1026" DrawAspect="Content" ObjectID="_1547889019" r:id="rId16"/>
        </w:object>
      </w:r>
    </w:p>
    <w:p w:rsidR="00D42CCE" w:rsidRDefault="00D42CCE" w:rsidP="00D42CCE">
      <w:pPr>
        <w:spacing w:after="460" w:line="276" w:lineRule="auto"/>
        <w:ind w:firstLine="425"/>
        <w:jc w:val="both"/>
        <w:rPr>
          <w:rFonts w:ascii="Arial" w:hAnsi="Arial" w:cs="Arial"/>
          <w:sz w:val="14"/>
          <w:szCs w:val="14"/>
        </w:rPr>
      </w:pPr>
      <w:r w:rsidRPr="00071F2C">
        <w:rPr>
          <w:rFonts w:ascii="Arial" w:hAnsi="Arial" w:cs="Arial"/>
          <w:b/>
          <w:i/>
          <w:sz w:val="14"/>
          <w:szCs w:val="14"/>
        </w:rPr>
        <w:t>Scheme 1</w:t>
      </w:r>
      <w:r w:rsidRPr="00071F2C">
        <w:rPr>
          <w:rFonts w:ascii="Arial" w:hAnsi="Arial" w:cs="Arial"/>
          <w:b/>
          <w:sz w:val="14"/>
          <w:szCs w:val="14"/>
        </w:rPr>
        <w:t>.</w:t>
      </w:r>
      <w:r w:rsidRPr="00071F2C">
        <w:rPr>
          <w:rFonts w:ascii="Arial" w:hAnsi="Arial" w:cs="Arial"/>
          <w:sz w:val="14"/>
          <w:szCs w:val="14"/>
        </w:rPr>
        <w:t xml:space="preserve"> </w:t>
      </w:r>
      <w:r w:rsidR="00DC0A71">
        <w:rPr>
          <w:rFonts w:ascii="Arial" w:hAnsi="Arial" w:cs="Arial"/>
          <w:sz w:val="14"/>
          <w:szCs w:val="14"/>
        </w:rPr>
        <w:t xml:space="preserve">Synthesis of the ETP core </w:t>
      </w:r>
      <w:r w:rsidR="00DC0A71" w:rsidRPr="00DC0A71">
        <w:rPr>
          <w:rFonts w:ascii="Arial" w:hAnsi="Arial" w:cs="Arial"/>
          <w:b/>
          <w:sz w:val="14"/>
          <w:szCs w:val="14"/>
        </w:rPr>
        <w:t>8</w:t>
      </w:r>
      <w:r w:rsidR="00DC0A71">
        <w:rPr>
          <w:rFonts w:ascii="Arial" w:hAnsi="Arial" w:cs="Arial"/>
          <w:sz w:val="14"/>
          <w:szCs w:val="14"/>
        </w:rPr>
        <w:t xml:space="preserve"> via concomitmant formation of the diketopiperazine ring</w:t>
      </w:r>
      <w:r w:rsidRPr="00071F2C">
        <w:rPr>
          <w:rFonts w:ascii="Arial" w:hAnsi="Arial" w:cs="Arial"/>
          <w:sz w:val="14"/>
          <w:szCs w:val="14"/>
        </w:rPr>
        <w:t>.</w:t>
      </w:r>
    </w:p>
    <w:p w:rsidR="00D42CCE" w:rsidRDefault="000B1A6E" w:rsidP="00D42CCE">
      <w:pPr>
        <w:spacing w:line="276" w:lineRule="auto"/>
        <w:ind w:firstLine="425"/>
        <w:jc w:val="both"/>
        <w:rPr>
          <w:rFonts w:ascii="Arial" w:hAnsi="Arial" w:cs="Arial"/>
          <w:sz w:val="17"/>
          <w:szCs w:val="17"/>
          <w:lang w:val="en-GB"/>
        </w:rPr>
      </w:pPr>
      <w:r>
        <w:rPr>
          <w:rFonts w:ascii="Arial" w:hAnsi="Arial" w:cs="Arial"/>
          <w:sz w:val="17"/>
          <w:szCs w:val="17"/>
          <w:lang w:val="en-GB"/>
        </w:rPr>
        <w:lastRenderedPageBreak/>
        <w:t xml:space="preserve">We reasoned that </w:t>
      </w:r>
      <w:r w:rsidR="009E11F0">
        <w:rPr>
          <w:rFonts w:ascii="Arial" w:hAnsi="Arial" w:cs="Arial"/>
          <w:sz w:val="17"/>
          <w:szCs w:val="17"/>
          <w:lang w:val="en-GB"/>
        </w:rPr>
        <w:t xml:space="preserve">extending this methodology to a </w:t>
      </w:r>
      <w:r>
        <w:rPr>
          <w:rFonts w:ascii="Arial" w:hAnsi="Arial" w:cs="Arial"/>
          <w:sz w:val="17"/>
          <w:szCs w:val="17"/>
          <w:lang w:val="en-GB"/>
        </w:rPr>
        <w:t>suitable de</w:t>
      </w:r>
      <w:r w:rsidR="00F415B6">
        <w:rPr>
          <w:rFonts w:ascii="Arial" w:hAnsi="Arial" w:cs="Arial"/>
          <w:sz w:val="17"/>
          <w:szCs w:val="17"/>
          <w:lang w:val="en-GB"/>
        </w:rPr>
        <w:t>hy</w:t>
      </w:r>
      <w:r w:rsidR="007308A2">
        <w:rPr>
          <w:rFonts w:ascii="Arial" w:hAnsi="Arial" w:cs="Arial"/>
          <w:sz w:val="17"/>
          <w:szCs w:val="17"/>
          <w:lang w:val="en-GB"/>
        </w:rPr>
        <w:t>d</w:t>
      </w:r>
      <w:r w:rsidR="00F415B6">
        <w:rPr>
          <w:rFonts w:ascii="Arial" w:hAnsi="Arial" w:cs="Arial"/>
          <w:sz w:val="17"/>
          <w:szCs w:val="17"/>
          <w:lang w:val="en-GB"/>
        </w:rPr>
        <w:t xml:space="preserve">roamino acid </w:t>
      </w:r>
      <w:r w:rsidR="009E11F0">
        <w:rPr>
          <w:rFonts w:ascii="Arial" w:hAnsi="Arial" w:cs="Arial"/>
          <w:sz w:val="17"/>
          <w:szCs w:val="17"/>
          <w:lang w:val="en-GB"/>
        </w:rPr>
        <w:t xml:space="preserve">acylal </w:t>
      </w:r>
      <w:r w:rsidR="00BB0376">
        <w:rPr>
          <w:rFonts w:ascii="Arial" w:hAnsi="Arial" w:cs="Arial"/>
          <w:b/>
          <w:sz w:val="17"/>
          <w:szCs w:val="17"/>
          <w:lang w:val="en-GB"/>
        </w:rPr>
        <w:t>11</w:t>
      </w:r>
      <w:r>
        <w:rPr>
          <w:rFonts w:ascii="Arial" w:hAnsi="Arial" w:cs="Arial"/>
          <w:sz w:val="17"/>
          <w:szCs w:val="17"/>
          <w:lang w:val="en-GB"/>
        </w:rPr>
        <w:t xml:space="preserve"> would allow us to generate a more substituted ETP core </w:t>
      </w:r>
      <w:r w:rsidR="00BB0376">
        <w:rPr>
          <w:rFonts w:ascii="Arial" w:hAnsi="Arial" w:cs="Arial"/>
          <w:b/>
          <w:sz w:val="17"/>
          <w:szCs w:val="17"/>
          <w:lang w:val="en-GB"/>
        </w:rPr>
        <w:t>1</w:t>
      </w:r>
      <w:r w:rsidR="008D775F">
        <w:rPr>
          <w:rFonts w:ascii="Arial" w:hAnsi="Arial" w:cs="Arial"/>
          <w:b/>
          <w:sz w:val="17"/>
          <w:szCs w:val="17"/>
          <w:lang w:val="en-GB"/>
        </w:rPr>
        <w:t>0</w:t>
      </w:r>
      <w:r w:rsidR="009E11F0">
        <w:rPr>
          <w:rFonts w:ascii="Arial" w:hAnsi="Arial" w:cs="Arial"/>
          <w:sz w:val="17"/>
          <w:szCs w:val="17"/>
          <w:lang w:val="en-GB"/>
        </w:rPr>
        <w:t xml:space="preserve"> </w:t>
      </w:r>
      <w:r>
        <w:rPr>
          <w:rFonts w:ascii="Arial" w:hAnsi="Arial" w:cs="Arial"/>
          <w:sz w:val="17"/>
          <w:szCs w:val="17"/>
          <w:lang w:val="en-GB"/>
        </w:rPr>
        <w:t xml:space="preserve">via </w:t>
      </w:r>
      <w:r w:rsidR="009E11F0">
        <w:rPr>
          <w:rFonts w:ascii="Arial" w:hAnsi="Arial" w:cs="Arial"/>
          <w:sz w:val="17"/>
          <w:szCs w:val="17"/>
          <w:lang w:val="en-GB"/>
        </w:rPr>
        <w:t>analogous methodology. Reaction of the enami</w:t>
      </w:r>
      <w:r w:rsidR="008D775F">
        <w:rPr>
          <w:rFonts w:ascii="Arial" w:hAnsi="Arial" w:cs="Arial"/>
          <w:sz w:val="17"/>
          <w:szCs w:val="17"/>
          <w:lang w:val="en-GB"/>
        </w:rPr>
        <w:t>d</w:t>
      </w:r>
      <w:r w:rsidR="009E11F0">
        <w:rPr>
          <w:rFonts w:ascii="Arial" w:hAnsi="Arial" w:cs="Arial"/>
          <w:sz w:val="17"/>
          <w:szCs w:val="17"/>
          <w:lang w:val="en-GB"/>
        </w:rPr>
        <w:t xml:space="preserve">e with a protected thiol and further elaboration would therefore provide a facile route to </w:t>
      </w:r>
      <w:r w:rsidR="00BB0376">
        <w:rPr>
          <w:rFonts w:ascii="Arial" w:hAnsi="Arial" w:cs="Arial"/>
          <w:sz w:val="17"/>
          <w:szCs w:val="17"/>
          <w:lang w:val="en-GB"/>
        </w:rPr>
        <w:t>(±)-</w:t>
      </w:r>
      <w:r w:rsidR="009E11F0">
        <w:rPr>
          <w:rFonts w:ascii="Arial" w:hAnsi="Arial" w:cs="Arial"/>
          <w:sz w:val="17"/>
          <w:szCs w:val="17"/>
          <w:lang w:val="en-GB"/>
        </w:rPr>
        <w:t xml:space="preserve">hyalodendrin </w:t>
      </w:r>
      <w:r w:rsidR="00A54E25">
        <w:rPr>
          <w:rFonts w:ascii="Arial" w:hAnsi="Arial" w:cs="Arial"/>
          <w:b/>
          <w:sz w:val="17"/>
          <w:szCs w:val="17"/>
          <w:lang w:val="en-GB"/>
        </w:rPr>
        <w:t>3</w:t>
      </w:r>
      <w:r w:rsidR="009E11F0">
        <w:rPr>
          <w:rFonts w:ascii="Arial" w:hAnsi="Arial" w:cs="Arial"/>
          <w:sz w:val="17"/>
          <w:szCs w:val="17"/>
          <w:lang w:val="en-GB"/>
        </w:rPr>
        <w:t>. However,</w:t>
      </w:r>
      <w:r w:rsidR="00BB0376">
        <w:rPr>
          <w:rFonts w:ascii="Arial" w:hAnsi="Arial" w:cs="Arial"/>
          <w:sz w:val="17"/>
          <w:szCs w:val="17"/>
          <w:lang w:val="en-GB"/>
        </w:rPr>
        <w:t xml:space="preserve"> in our retrosynthetic analysis</w:t>
      </w:r>
      <w:r w:rsidR="009E11F0">
        <w:rPr>
          <w:rFonts w:ascii="Arial" w:hAnsi="Arial" w:cs="Arial"/>
          <w:sz w:val="17"/>
          <w:szCs w:val="17"/>
          <w:lang w:val="en-GB"/>
        </w:rPr>
        <w:t xml:space="preserve"> it </w:t>
      </w:r>
      <w:r w:rsidR="00200CD8">
        <w:rPr>
          <w:rFonts w:ascii="Arial" w:hAnsi="Arial" w:cs="Arial"/>
          <w:sz w:val="17"/>
          <w:szCs w:val="17"/>
          <w:lang w:val="en-GB"/>
        </w:rPr>
        <w:t>was evident</w:t>
      </w:r>
      <w:r w:rsidR="009E11F0">
        <w:rPr>
          <w:rFonts w:ascii="Arial" w:hAnsi="Arial" w:cs="Arial"/>
          <w:sz w:val="17"/>
          <w:szCs w:val="17"/>
          <w:lang w:val="en-GB"/>
        </w:rPr>
        <w:t xml:space="preserve"> that there were two possible conformers of the open chain precursor, namely </w:t>
      </w:r>
      <w:r w:rsidR="00B23B20">
        <w:rPr>
          <w:rFonts w:ascii="Arial" w:hAnsi="Arial" w:cs="Arial"/>
          <w:b/>
          <w:sz w:val="17"/>
          <w:szCs w:val="17"/>
          <w:lang w:val="en-GB"/>
        </w:rPr>
        <w:t>11a</w:t>
      </w:r>
      <w:r w:rsidR="009E11F0">
        <w:rPr>
          <w:rFonts w:ascii="Arial" w:hAnsi="Arial" w:cs="Arial"/>
          <w:sz w:val="17"/>
          <w:szCs w:val="17"/>
          <w:lang w:val="en-GB"/>
        </w:rPr>
        <w:t xml:space="preserve"> and </w:t>
      </w:r>
      <w:r w:rsidR="00B23B20">
        <w:rPr>
          <w:rFonts w:ascii="Arial" w:hAnsi="Arial" w:cs="Arial"/>
          <w:b/>
          <w:sz w:val="17"/>
          <w:szCs w:val="17"/>
          <w:lang w:val="en-GB"/>
        </w:rPr>
        <w:t>11b</w:t>
      </w:r>
      <w:r w:rsidR="009E11F0">
        <w:rPr>
          <w:rFonts w:ascii="Arial" w:hAnsi="Arial" w:cs="Arial"/>
          <w:sz w:val="17"/>
          <w:szCs w:val="17"/>
          <w:lang w:val="en-GB"/>
        </w:rPr>
        <w:t xml:space="preserve">. </w:t>
      </w:r>
      <w:r w:rsidR="00200CD8">
        <w:rPr>
          <w:rFonts w:ascii="Arial" w:hAnsi="Arial" w:cs="Arial"/>
          <w:sz w:val="17"/>
          <w:szCs w:val="17"/>
          <w:lang w:val="en-GB"/>
        </w:rPr>
        <w:t>T</w:t>
      </w:r>
      <w:r w:rsidR="009E11F0">
        <w:rPr>
          <w:rFonts w:ascii="Arial" w:hAnsi="Arial" w:cs="Arial"/>
          <w:sz w:val="17"/>
          <w:szCs w:val="17"/>
          <w:lang w:val="en-GB"/>
        </w:rPr>
        <w:t xml:space="preserve">o access the ETP core, </w:t>
      </w:r>
      <w:r w:rsidR="00200CD8">
        <w:rPr>
          <w:rFonts w:ascii="Arial" w:hAnsi="Arial" w:cs="Arial"/>
          <w:sz w:val="17"/>
          <w:szCs w:val="17"/>
          <w:lang w:val="en-GB"/>
        </w:rPr>
        <w:t>clearly</w:t>
      </w:r>
      <w:r w:rsidR="009E11F0">
        <w:rPr>
          <w:rFonts w:ascii="Arial" w:hAnsi="Arial" w:cs="Arial"/>
          <w:sz w:val="17"/>
          <w:szCs w:val="17"/>
          <w:lang w:val="en-GB"/>
        </w:rPr>
        <w:t xml:space="preserve"> the </w:t>
      </w:r>
      <w:r w:rsidR="00897F4C">
        <w:rPr>
          <w:rFonts w:ascii="Arial" w:hAnsi="Arial" w:cs="Arial"/>
          <w:sz w:val="17"/>
          <w:szCs w:val="17"/>
          <w:lang w:val="en-GB"/>
        </w:rPr>
        <w:t>di</w:t>
      </w:r>
      <w:r w:rsidR="009E11F0">
        <w:rPr>
          <w:rFonts w:ascii="Arial" w:hAnsi="Arial" w:cs="Arial"/>
          <w:sz w:val="17"/>
          <w:szCs w:val="17"/>
          <w:lang w:val="en-GB"/>
        </w:rPr>
        <w:t xml:space="preserve">acetate </w:t>
      </w:r>
      <w:r w:rsidR="00200CD8">
        <w:rPr>
          <w:rFonts w:ascii="Arial" w:hAnsi="Arial" w:cs="Arial"/>
          <w:sz w:val="17"/>
          <w:szCs w:val="17"/>
          <w:lang w:val="en-GB"/>
        </w:rPr>
        <w:t xml:space="preserve">needs </w:t>
      </w:r>
      <w:r w:rsidR="009E11F0">
        <w:rPr>
          <w:rFonts w:ascii="Arial" w:hAnsi="Arial" w:cs="Arial"/>
          <w:sz w:val="17"/>
          <w:szCs w:val="17"/>
          <w:lang w:val="en-GB"/>
        </w:rPr>
        <w:t xml:space="preserve">to be adjacent to the ester group for </w:t>
      </w:r>
      <w:r w:rsidR="00200CD8">
        <w:rPr>
          <w:rFonts w:ascii="Arial" w:hAnsi="Arial" w:cs="Arial"/>
          <w:sz w:val="17"/>
          <w:szCs w:val="17"/>
          <w:lang w:val="en-GB"/>
        </w:rPr>
        <w:t>cyclisation</w:t>
      </w:r>
      <w:r w:rsidR="009E11F0">
        <w:rPr>
          <w:rFonts w:ascii="Arial" w:hAnsi="Arial" w:cs="Arial"/>
          <w:sz w:val="17"/>
          <w:szCs w:val="17"/>
          <w:lang w:val="en-GB"/>
        </w:rPr>
        <w:t xml:space="preserve">. However, in conformer </w:t>
      </w:r>
      <w:r w:rsidR="00B23B20">
        <w:rPr>
          <w:rFonts w:ascii="Arial" w:hAnsi="Arial" w:cs="Arial"/>
          <w:b/>
          <w:sz w:val="17"/>
          <w:szCs w:val="17"/>
          <w:lang w:val="en-GB"/>
        </w:rPr>
        <w:t>11a</w:t>
      </w:r>
      <w:r w:rsidR="009E11F0">
        <w:rPr>
          <w:rFonts w:ascii="Arial" w:hAnsi="Arial" w:cs="Arial"/>
          <w:sz w:val="17"/>
          <w:szCs w:val="17"/>
          <w:lang w:val="en-GB"/>
        </w:rPr>
        <w:t xml:space="preserve"> where the enamine is adjacent to the diacetate, we were intrigued by the possibility that </w:t>
      </w:r>
      <w:r w:rsidR="00200CD8">
        <w:rPr>
          <w:rFonts w:ascii="Arial" w:hAnsi="Arial" w:cs="Arial"/>
          <w:sz w:val="17"/>
          <w:szCs w:val="17"/>
          <w:lang w:val="en-GB"/>
        </w:rPr>
        <w:t xml:space="preserve">under Lewis acid mediated </w:t>
      </w:r>
      <w:r w:rsidR="00696534" w:rsidRPr="00696534">
        <w:rPr>
          <w:rFonts w:ascii="Arial" w:hAnsi="Arial"/>
          <w:sz w:val="17"/>
          <w:szCs w:val="17"/>
          <w:lang w:val="en-GB"/>
        </w:rPr>
        <w:t>intramolecular acylal cyclisation (IAC)</w:t>
      </w:r>
      <w:r w:rsidR="00696534">
        <w:rPr>
          <w:rFonts w:ascii="Arial" w:hAnsi="Arial" w:cs="Arial"/>
          <w:sz w:val="17"/>
          <w:szCs w:val="17"/>
          <w:lang w:val="en-GB"/>
        </w:rPr>
        <w:t xml:space="preserve"> </w:t>
      </w:r>
      <w:r w:rsidR="00200CD8">
        <w:rPr>
          <w:rFonts w:ascii="Arial" w:hAnsi="Arial" w:cs="Arial"/>
          <w:sz w:val="17"/>
          <w:szCs w:val="17"/>
          <w:lang w:val="en-GB"/>
        </w:rPr>
        <w:t xml:space="preserve">conditions, the internal enamine could cyclise onto the diacetate to generate the pyrrolidinone core </w:t>
      </w:r>
      <w:r w:rsidR="00B23B20">
        <w:rPr>
          <w:rFonts w:ascii="Arial" w:hAnsi="Arial" w:cs="Arial"/>
          <w:b/>
          <w:sz w:val="17"/>
          <w:szCs w:val="17"/>
          <w:lang w:val="en-GB"/>
        </w:rPr>
        <w:t>9</w:t>
      </w:r>
      <w:r w:rsidR="00200CD8">
        <w:rPr>
          <w:rFonts w:ascii="Arial" w:hAnsi="Arial" w:cs="Arial"/>
          <w:sz w:val="17"/>
          <w:szCs w:val="17"/>
          <w:lang w:val="en-GB"/>
        </w:rPr>
        <w:t xml:space="preserve"> of clausenamide </w:t>
      </w:r>
      <w:r w:rsidR="00B23B20">
        <w:rPr>
          <w:rFonts w:ascii="Arial" w:hAnsi="Arial" w:cs="Arial"/>
          <w:b/>
          <w:sz w:val="17"/>
          <w:szCs w:val="17"/>
          <w:lang w:val="en-GB"/>
        </w:rPr>
        <w:t>5</w:t>
      </w:r>
      <w:r w:rsidR="00D42CCE">
        <w:rPr>
          <w:rFonts w:ascii="Arial" w:hAnsi="Arial" w:cs="Arial"/>
          <w:b/>
          <w:sz w:val="17"/>
          <w:szCs w:val="17"/>
          <w:lang w:val="en-GB"/>
        </w:rPr>
        <w:t xml:space="preserve"> </w:t>
      </w:r>
      <w:r w:rsidR="00D42CCE">
        <w:rPr>
          <w:rFonts w:ascii="Arial" w:hAnsi="Arial" w:cs="Arial"/>
          <w:sz w:val="17"/>
          <w:szCs w:val="17"/>
          <w:lang w:val="en-GB"/>
        </w:rPr>
        <w:t>(Scheme 2)</w:t>
      </w:r>
      <w:r w:rsidR="00200CD8">
        <w:rPr>
          <w:rFonts w:ascii="Arial" w:hAnsi="Arial" w:cs="Arial"/>
          <w:sz w:val="17"/>
          <w:szCs w:val="17"/>
          <w:lang w:val="en-GB"/>
        </w:rPr>
        <w:t>.</w:t>
      </w:r>
      <w:r w:rsidR="008D1225">
        <w:rPr>
          <w:rFonts w:ascii="Arial" w:hAnsi="Arial" w:cs="Arial"/>
          <w:sz w:val="17"/>
          <w:szCs w:val="17"/>
          <w:vertAlign w:val="superscript"/>
          <w:lang w:val="en-GB"/>
        </w:rPr>
        <w:t>[8]</w:t>
      </w:r>
    </w:p>
    <w:p w:rsidR="00D42CCE" w:rsidRDefault="00A54E25" w:rsidP="00D42CCE">
      <w:pPr>
        <w:spacing w:line="276" w:lineRule="auto"/>
        <w:jc w:val="both"/>
      </w:pPr>
      <w:r>
        <w:object w:dxaOrig="8241" w:dyaOrig="3796">
          <v:shape id="_x0000_i1027" type="#_x0000_t75" style="width:243.75pt;height:112.5pt" o:ole="">
            <v:imagedata r:id="rId17" o:title=""/>
          </v:shape>
          <o:OLEObject Type="Embed" ProgID="ChemDraw.Document.6.0" ShapeID="_x0000_i1027" DrawAspect="Content" ObjectID="_1547889020" r:id="rId18"/>
        </w:object>
      </w:r>
    </w:p>
    <w:p w:rsidR="00D42CCE" w:rsidRDefault="00D42CCE" w:rsidP="00D42CCE">
      <w:pPr>
        <w:spacing w:line="276" w:lineRule="auto"/>
        <w:jc w:val="both"/>
      </w:pPr>
      <w:r w:rsidRPr="00071F2C">
        <w:rPr>
          <w:rFonts w:ascii="Arial" w:hAnsi="Arial" w:cs="Arial"/>
          <w:b/>
          <w:i/>
          <w:sz w:val="14"/>
          <w:szCs w:val="14"/>
        </w:rPr>
        <w:t xml:space="preserve">Scheme </w:t>
      </w:r>
      <w:r>
        <w:rPr>
          <w:rFonts w:ascii="Arial" w:hAnsi="Arial" w:cs="Arial"/>
          <w:b/>
          <w:i/>
          <w:sz w:val="14"/>
          <w:szCs w:val="14"/>
        </w:rPr>
        <w:t>2</w:t>
      </w:r>
      <w:r w:rsidRPr="00071F2C">
        <w:rPr>
          <w:rFonts w:ascii="Arial" w:hAnsi="Arial" w:cs="Arial"/>
          <w:b/>
          <w:sz w:val="14"/>
          <w:szCs w:val="14"/>
        </w:rPr>
        <w:t>.</w:t>
      </w:r>
      <w:r w:rsidRPr="00071F2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Disconnection of clausenamide </w:t>
      </w:r>
      <w:r w:rsidRPr="00696534">
        <w:rPr>
          <w:rFonts w:ascii="Arial" w:hAnsi="Arial" w:cs="Arial"/>
          <w:b/>
          <w:sz w:val="14"/>
          <w:szCs w:val="14"/>
        </w:rPr>
        <w:t>5</w:t>
      </w:r>
      <w:r>
        <w:rPr>
          <w:rFonts w:ascii="Arial" w:hAnsi="Arial" w:cs="Arial"/>
          <w:sz w:val="14"/>
          <w:szCs w:val="14"/>
        </w:rPr>
        <w:t xml:space="preserve"> and hyalodendrin </w:t>
      </w:r>
      <w:r w:rsidR="00A54E25">
        <w:rPr>
          <w:rFonts w:ascii="Arial" w:hAnsi="Arial" w:cs="Arial"/>
          <w:b/>
          <w:sz w:val="14"/>
          <w:szCs w:val="14"/>
        </w:rPr>
        <w:t>3</w:t>
      </w:r>
      <w:r>
        <w:rPr>
          <w:rFonts w:ascii="Arial" w:hAnsi="Arial" w:cs="Arial"/>
          <w:sz w:val="14"/>
          <w:szCs w:val="14"/>
        </w:rPr>
        <w:t xml:space="preserve"> to a common precursor </w:t>
      </w:r>
      <w:r w:rsidR="00B23B20">
        <w:rPr>
          <w:rFonts w:ascii="Arial" w:hAnsi="Arial" w:cs="Arial"/>
          <w:b/>
          <w:sz w:val="14"/>
          <w:szCs w:val="14"/>
        </w:rPr>
        <w:t>11</w:t>
      </w:r>
      <w:r w:rsidRPr="00071F2C">
        <w:rPr>
          <w:rFonts w:ascii="Arial" w:hAnsi="Arial" w:cs="Arial"/>
          <w:sz w:val="14"/>
          <w:szCs w:val="14"/>
        </w:rPr>
        <w:t>.</w:t>
      </w:r>
    </w:p>
    <w:p w:rsidR="00D42CCE" w:rsidRDefault="00D42CCE" w:rsidP="003529B6">
      <w:pPr>
        <w:spacing w:line="276" w:lineRule="auto"/>
        <w:ind w:firstLine="425"/>
        <w:jc w:val="both"/>
        <w:rPr>
          <w:rFonts w:ascii="Arial" w:hAnsi="Arial" w:cs="Arial"/>
          <w:sz w:val="17"/>
          <w:szCs w:val="17"/>
          <w:lang w:val="en-GB"/>
        </w:rPr>
      </w:pPr>
    </w:p>
    <w:p w:rsidR="00901DD1" w:rsidRPr="003529B6" w:rsidRDefault="00200CD8" w:rsidP="003529B6">
      <w:pPr>
        <w:spacing w:line="276" w:lineRule="auto"/>
        <w:ind w:firstLine="425"/>
        <w:jc w:val="both"/>
        <w:rPr>
          <w:rFonts w:ascii="Arial" w:hAnsi="Arial" w:cs="Arial"/>
          <w:sz w:val="17"/>
          <w:szCs w:val="17"/>
          <w:lang w:val="en-GB"/>
        </w:rPr>
      </w:pPr>
      <w:r>
        <w:rPr>
          <w:rFonts w:ascii="Arial" w:hAnsi="Arial" w:cs="Arial"/>
          <w:sz w:val="17"/>
          <w:szCs w:val="17"/>
          <w:lang w:val="en-GB"/>
        </w:rPr>
        <w:t xml:space="preserve">As such, the precursor </w:t>
      </w:r>
      <w:r w:rsidR="00B23B20">
        <w:rPr>
          <w:rFonts w:ascii="Arial" w:hAnsi="Arial" w:cs="Arial"/>
          <w:b/>
          <w:sz w:val="17"/>
          <w:szCs w:val="17"/>
          <w:lang w:val="en-GB"/>
        </w:rPr>
        <w:t>11</w:t>
      </w:r>
      <w:r w:rsidR="00F060CF">
        <w:rPr>
          <w:rFonts w:ascii="Arial" w:hAnsi="Arial" w:cs="Arial"/>
          <w:b/>
          <w:sz w:val="17"/>
          <w:szCs w:val="17"/>
          <w:lang w:val="en-GB"/>
        </w:rPr>
        <w:t>a/b</w:t>
      </w:r>
      <w:r>
        <w:rPr>
          <w:rFonts w:ascii="Arial" w:hAnsi="Arial" w:cs="Arial"/>
          <w:sz w:val="17"/>
          <w:szCs w:val="17"/>
          <w:lang w:val="en-GB"/>
        </w:rPr>
        <w:t xml:space="preserve"> is an ideal intermediate to access both the c</w:t>
      </w:r>
      <w:r w:rsidR="00C43CE4">
        <w:rPr>
          <w:rFonts w:ascii="Arial" w:hAnsi="Arial" w:cs="Arial"/>
          <w:sz w:val="17"/>
          <w:szCs w:val="17"/>
          <w:lang w:val="en-GB"/>
        </w:rPr>
        <w:t>ore structures of two distinct n</w:t>
      </w:r>
      <w:r>
        <w:rPr>
          <w:rFonts w:ascii="Arial" w:hAnsi="Arial" w:cs="Arial"/>
          <w:sz w:val="17"/>
          <w:szCs w:val="17"/>
          <w:lang w:val="en-GB"/>
        </w:rPr>
        <w:t xml:space="preserve">atural product classes and is unique in this manner. </w:t>
      </w:r>
      <w:r w:rsidR="00B2104F">
        <w:rPr>
          <w:rFonts w:ascii="Arial" w:hAnsi="Arial" w:cs="Arial"/>
          <w:sz w:val="17"/>
          <w:szCs w:val="17"/>
          <w:lang w:val="en-GB"/>
        </w:rPr>
        <w:t>Herein, we now</w:t>
      </w:r>
      <w:r w:rsidR="00A82B29">
        <w:rPr>
          <w:rFonts w:ascii="Arial" w:hAnsi="Arial" w:cs="Arial"/>
          <w:sz w:val="17"/>
          <w:szCs w:val="17"/>
          <w:lang w:val="en-GB"/>
        </w:rPr>
        <w:t xml:space="preserve"> wish to report on our </w:t>
      </w:r>
      <w:r w:rsidR="00071F2C">
        <w:rPr>
          <w:rFonts w:ascii="Arial" w:hAnsi="Arial" w:cs="Arial"/>
          <w:sz w:val="17"/>
          <w:szCs w:val="17"/>
          <w:lang w:val="en-GB"/>
        </w:rPr>
        <w:t xml:space="preserve">novel </w:t>
      </w:r>
      <w:r w:rsidR="00A82B29">
        <w:rPr>
          <w:rFonts w:ascii="Arial" w:hAnsi="Arial" w:cs="Arial"/>
          <w:sz w:val="17"/>
          <w:szCs w:val="17"/>
          <w:lang w:val="en-GB"/>
        </w:rPr>
        <w:t xml:space="preserve">approach towards </w:t>
      </w:r>
      <w:r>
        <w:rPr>
          <w:rFonts w:ascii="Arial" w:hAnsi="Arial" w:cs="Arial"/>
          <w:sz w:val="17"/>
          <w:szCs w:val="17"/>
          <w:lang w:val="en-GB"/>
        </w:rPr>
        <w:t xml:space="preserve">both </w:t>
      </w:r>
      <w:r w:rsidR="00A82B29">
        <w:rPr>
          <w:rFonts w:ascii="Arial" w:hAnsi="Arial" w:cs="Arial"/>
          <w:sz w:val="17"/>
          <w:szCs w:val="17"/>
          <w:lang w:val="en-GB"/>
        </w:rPr>
        <w:t xml:space="preserve">the core </w:t>
      </w:r>
      <w:r>
        <w:rPr>
          <w:rFonts w:ascii="Arial" w:hAnsi="Arial" w:cs="Arial"/>
          <w:sz w:val="17"/>
          <w:szCs w:val="17"/>
          <w:lang w:val="en-GB"/>
        </w:rPr>
        <w:t xml:space="preserve">structure of clausenamide </w:t>
      </w:r>
      <w:r w:rsidR="00696534" w:rsidRPr="00696534">
        <w:rPr>
          <w:rFonts w:ascii="Arial" w:hAnsi="Arial" w:cs="Arial"/>
          <w:b/>
          <w:sz w:val="17"/>
          <w:szCs w:val="17"/>
          <w:lang w:val="en-GB"/>
        </w:rPr>
        <w:t>5</w:t>
      </w:r>
      <w:r w:rsidR="00696534">
        <w:rPr>
          <w:rFonts w:ascii="Arial" w:hAnsi="Arial" w:cs="Arial"/>
          <w:sz w:val="17"/>
          <w:szCs w:val="17"/>
          <w:lang w:val="en-GB"/>
        </w:rPr>
        <w:t xml:space="preserve"> </w:t>
      </w:r>
      <w:r>
        <w:rPr>
          <w:rFonts w:ascii="Arial" w:hAnsi="Arial" w:cs="Arial"/>
          <w:sz w:val="17"/>
          <w:szCs w:val="17"/>
          <w:lang w:val="en-GB"/>
        </w:rPr>
        <w:t xml:space="preserve">and the total synthesis of </w:t>
      </w:r>
      <w:r w:rsidR="008D775F">
        <w:rPr>
          <w:rFonts w:ascii="Arial" w:hAnsi="Arial" w:cs="Arial"/>
          <w:sz w:val="17"/>
          <w:szCs w:val="17"/>
          <w:lang w:val="en-GB"/>
        </w:rPr>
        <w:t>(±)-</w:t>
      </w:r>
      <w:r w:rsidR="00696534">
        <w:rPr>
          <w:rFonts w:ascii="Arial" w:hAnsi="Arial" w:cs="Arial"/>
          <w:sz w:val="17"/>
          <w:szCs w:val="17"/>
          <w:lang w:val="en-GB"/>
        </w:rPr>
        <w:t xml:space="preserve">hyalodendrin </w:t>
      </w:r>
      <w:r w:rsidR="00A54E25">
        <w:rPr>
          <w:rFonts w:ascii="Arial" w:hAnsi="Arial" w:cs="Arial"/>
          <w:b/>
          <w:sz w:val="17"/>
          <w:szCs w:val="17"/>
          <w:lang w:val="en-GB"/>
        </w:rPr>
        <w:t>3</w:t>
      </w:r>
      <w:r w:rsidR="00696534">
        <w:rPr>
          <w:rFonts w:ascii="Arial" w:hAnsi="Arial" w:cs="Arial"/>
          <w:sz w:val="17"/>
          <w:szCs w:val="17"/>
          <w:lang w:val="en-GB"/>
        </w:rPr>
        <w:t xml:space="preserve">. </w:t>
      </w:r>
    </w:p>
    <w:p w:rsidR="004610A1" w:rsidRDefault="007C3C43" w:rsidP="00D966B1">
      <w:pPr>
        <w:spacing w:line="276" w:lineRule="auto"/>
        <w:ind w:firstLine="425"/>
        <w:jc w:val="both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GB"/>
        </w:rPr>
        <w:t xml:space="preserve">To investigate our hypothesis, </w:t>
      </w:r>
      <w:r w:rsidR="00EB498D">
        <w:rPr>
          <w:rFonts w:ascii="Arial" w:hAnsi="Arial" w:cs="Arial"/>
          <w:sz w:val="17"/>
          <w:szCs w:val="17"/>
          <w:lang w:val="en-GB"/>
        </w:rPr>
        <w:t xml:space="preserve">and generate cyclisation precursor </w:t>
      </w:r>
      <w:r w:rsidR="00B23B20">
        <w:rPr>
          <w:rFonts w:ascii="Arial" w:hAnsi="Arial" w:cs="Arial"/>
          <w:b/>
          <w:sz w:val="17"/>
          <w:szCs w:val="17"/>
          <w:lang w:val="en-GB"/>
        </w:rPr>
        <w:t>11</w:t>
      </w:r>
      <w:r w:rsidR="00EB498D">
        <w:rPr>
          <w:rFonts w:ascii="Arial" w:hAnsi="Arial" w:cs="Arial"/>
          <w:sz w:val="17"/>
          <w:szCs w:val="17"/>
          <w:lang w:val="en-GB"/>
        </w:rPr>
        <w:t xml:space="preserve"> that was required for both classes of compound, </w:t>
      </w:r>
      <w:r w:rsidR="00F060CF" w:rsidRPr="00EB498D">
        <w:rPr>
          <w:rFonts w:ascii="Arial" w:hAnsi="Arial" w:cs="Arial"/>
          <w:i/>
          <w:sz w:val="17"/>
          <w:szCs w:val="17"/>
          <w:lang w:val="en-GB"/>
        </w:rPr>
        <w:t>N-</w:t>
      </w:r>
      <w:r w:rsidR="00F060CF">
        <w:rPr>
          <w:rFonts w:ascii="Arial" w:hAnsi="Arial" w:cs="Arial"/>
          <w:sz w:val="17"/>
          <w:szCs w:val="17"/>
          <w:lang w:val="en-GB"/>
        </w:rPr>
        <w:t>Boc protected phenylalanine methyl ester</w:t>
      </w:r>
      <w:r w:rsidR="00F060CF">
        <w:rPr>
          <w:rFonts w:ascii="Arial" w:hAnsi="Arial" w:cs="Arial"/>
          <w:sz w:val="17"/>
          <w:szCs w:val="17"/>
          <w:lang w:val="en-US"/>
        </w:rPr>
        <w:t xml:space="preserve"> </w:t>
      </w:r>
      <w:r w:rsidR="00F060CF">
        <w:rPr>
          <w:rFonts w:ascii="Arial" w:hAnsi="Arial" w:cs="Arial"/>
          <w:b/>
          <w:sz w:val="17"/>
          <w:szCs w:val="17"/>
          <w:lang w:val="en-US"/>
        </w:rPr>
        <w:t>12</w:t>
      </w:r>
      <w:r w:rsidR="00F060CF">
        <w:rPr>
          <w:rFonts w:ascii="Arial" w:hAnsi="Arial" w:cs="Arial"/>
          <w:sz w:val="17"/>
          <w:szCs w:val="17"/>
          <w:lang w:val="en-US"/>
        </w:rPr>
        <w:t xml:space="preserve"> </w:t>
      </w:r>
      <w:r w:rsidR="00F060CF">
        <w:rPr>
          <w:rFonts w:ascii="Arial" w:hAnsi="Arial" w:cs="Arial"/>
          <w:sz w:val="17"/>
          <w:szCs w:val="17"/>
          <w:lang w:val="en-GB"/>
        </w:rPr>
        <w:t>was</w:t>
      </w:r>
      <w:r>
        <w:rPr>
          <w:rFonts w:ascii="Arial" w:hAnsi="Arial" w:cs="Arial"/>
          <w:sz w:val="17"/>
          <w:szCs w:val="17"/>
          <w:lang w:val="en-GB"/>
        </w:rPr>
        <w:t xml:space="preserve"> </w:t>
      </w:r>
      <w:r w:rsidR="008D775F">
        <w:rPr>
          <w:rFonts w:ascii="Arial" w:hAnsi="Arial" w:cs="Arial"/>
          <w:sz w:val="17"/>
          <w:szCs w:val="17"/>
          <w:lang w:val="en-GB"/>
        </w:rPr>
        <w:t xml:space="preserve">first </w:t>
      </w:r>
      <w:r w:rsidR="00EB498D">
        <w:rPr>
          <w:rFonts w:ascii="Arial" w:hAnsi="Arial" w:cs="Arial"/>
          <w:sz w:val="17"/>
          <w:szCs w:val="17"/>
          <w:lang w:val="en-GB"/>
        </w:rPr>
        <w:t xml:space="preserve">alkylated </w:t>
      </w:r>
      <w:r w:rsidR="00EB498D">
        <w:rPr>
          <w:rFonts w:ascii="Arial" w:hAnsi="Arial" w:cs="Arial"/>
          <w:sz w:val="17"/>
          <w:szCs w:val="17"/>
          <w:lang w:val="en-US"/>
        </w:rPr>
        <w:t xml:space="preserve">with methyl iodide under basic conditions to give the </w:t>
      </w:r>
      <w:r w:rsidR="00EB498D" w:rsidRPr="00EB498D">
        <w:rPr>
          <w:rFonts w:ascii="Arial" w:hAnsi="Arial" w:cs="Arial"/>
          <w:i/>
          <w:sz w:val="17"/>
          <w:szCs w:val="17"/>
          <w:lang w:val="en-US"/>
        </w:rPr>
        <w:t>N</w:t>
      </w:r>
      <w:r w:rsidR="00EB498D">
        <w:rPr>
          <w:rFonts w:ascii="Arial" w:hAnsi="Arial" w:cs="Arial"/>
          <w:sz w:val="17"/>
          <w:szCs w:val="17"/>
          <w:lang w:val="en-US"/>
        </w:rPr>
        <w:t xml:space="preserve">-methyl derivative. </w:t>
      </w:r>
      <w:r w:rsidR="00BB0376">
        <w:rPr>
          <w:rFonts w:ascii="Arial" w:hAnsi="Arial" w:cs="Arial"/>
          <w:sz w:val="17"/>
          <w:szCs w:val="17"/>
          <w:lang w:val="en-US"/>
        </w:rPr>
        <w:t>Subsequent d</w:t>
      </w:r>
      <w:r w:rsidR="00EB498D">
        <w:rPr>
          <w:rFonts w:ascii="Arial" w:hAnsi="Arial" w:cs="Arial"/>
          <w:sz w:val="17"/>
          <w:szCs w:val="17"/>
          <w:lang w:val="en-US"/>
        </w:rPr>
        <w:t xml:space="preserve">eprotection under acidic conditions </w:t>
      </w:r>
      <w:r w:rsidR="00BB0376">
        <w:rPr>
          <w:rFonts w:ascii="Arial" w:hAnsi="Arial" w:cs="Arial"/>
          <w:sz w:val="17"/>
          <w:szCs w:val="17"/>
          <w:lang w:val="en-US"/>
        </w:rPr>
        <w:t xml:space="preserve">using TFA </w:t>
      </w:r>
      <w:r w:rsidR="008D775F">
        <w:rPr>
          <w:rFonts w:ascii="Arial" w:hAnsi="Arial" w:cs="Arial"/>
          <w:sz w:val="17"/>
          <w:szCs w:val="17"/>
          <w:lang w:val="en-US"/>
        </w:rPr>
        <w:t>gave</w:t>
      </w:r>
      <w:r w:rsidR="00EB498D">
        <w:rPr>
          <w:rFonts w:ascii="Arial" w:hAnsi="Arial" w:cs="Arial"/>
          <w:sz w:val="17"/>
          <w:szCs w:val="17"/>
          <w:lang w:val="en-US"/>
        </w:rPr>
        <w:t xml:space="preserve"> </w:t>
      </w:r>
      <w:r w:rsidR="00EB498D" w:rsidRPr="00EB498D">
        <w:rPr>
          <w:rFonts w:ascii="Arial" w:hAnsi="Arial" w:cs="Arial"/>
          <w:i/>
          <w:sz w:val="17"/>
          <w:szCs w:val="17"/>
          <w:lang w:val="en-US"/>
        </w:rPr>
        <w:t>N-</w:t>
      </w:r>
      <w:r w:rsidR="00EB498D">
        <w:rPr>
          <w:rFonts w:ascii="Arial" w:hAnsi="Arial" w:cs="Arial"/>
          <w:sz w:val="17"/>
          <w:szCs w:val="17"/>
          <w:lang w:val="en-US"/>
        </w:rPr>
        <w:t xml:space="preserve">methylphenylalanine methyl ester </w:t>
      </w:r>
      <w:r w:rsidR="00B23B20">
        <w:rPr>
          <w:rFonts w:ascii="Arial" w:hAnsi="Arial" w:cs="Arial"/>
          <w:b/>
          <w:sz w:val="17"/>
          <w:szCs w:val="17"/>
          <w:lang w:val="en-US"/>
        </w:rPr>
        <w:t>13</w:t>
      </w:r>
      <w:r w:rsidR="00EB498D">
        <w:rPr>
          <w:rFonts w:ascii="Arial" w:hAnsi="Arial" w:cs="Arial"/>
          <w:sz w:val="17"/>
          <w:szCs w:val="17"/>
          <w:lang w:val="en-US"/>
        </w:rPr>
        <w:t xml:space="preserve"> in 79% yield over two steps. </w:t>
      </w:r>
      <w:r w:rsidR="00BE48CA">
        <w:rPr>
          <w:rFonts w:ascii="Arial" w:hAnsi="Arial" w:cs="Arial"/>
          <w:sz w:val="17"/>
          <w:szCs w:val="17"/>
          <w:lang w:val="en-US"/>
        </w:rPr>
        <w:t>(Scheme 3</w:t>
      </w:r>
      <w:r w:rsidR="004610A1" w:rsidRPr="007C3C43">
        <w:rPr>
          <w:rFonts w:ascii="Arial" w:hAnsi="Arial" w:cs="Arial"/>
          <w:sz w:val="17"/>
          <w:szCs w:val="17"/>
          <w:lang w:val="en-US"/>
        </w:rPr>
        <w:t>).</w:t>
      </w:r>
      <w:r w:rsidR="000F117C">
        <w:rPr>
          <w:rFonts w:ascii="Arial" w:hAnsi="Arial" w:cs="Arial"/>
          <w:sz w:val="17"/>
          <w:szCs w:val="17"/>
          <w:vertAlign w:val="superscript"/>
          <w:lang w:val="en-US"/>
        </w:rPr>
        <w:t>[35-36]</w:t>
      </w:r>
    </w:p>
    <w:p w:rsidR="009E11F0" w:rsidRDefault="00B23B20" w:rsidP="009E11F0">
      <w:pPr>
        <w:spacing w:before="230" w:line="276" w:lineRule="auto"/>
        <w:jc w:val="center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noProof/>
          <w:sz w:val="14"/>
          <w:szCs w:val="14"/>
          <w:lang w:val="en-GB" w:eastAsia="en-GB"/>
        </w:rPr>
        <w:drawing>
          <wp:inline distT="0" distB="0" distL="0" distR="0">
            <wp:extent cx="2514600" cy="1546860"/>
            <wp:effectExtent l="0" t="0" r="0" b="254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845" w:rsidRPr="00AD6845" w:rsidRDefault="00AD6845" w:rsidP="00AD6845">
      <w:pPr>
        <w:spacing w:before="230" w:line="276" w:lineRule="auto"/>
        <w:jc w:val="both"/>
        <w:rPr>
          <w:rFonts w:ascii="Arial" w:hAnsi="Arial" w:cs="Arial"/>
          <w:sz w:val="14"/>
          <w:szCs w:val="14"/>
        </w:rPr>
      </w:pPr>
      <w:r w:rsidRPr="00560F1B">
        <w:rPr>
          <w:rFonts w:ascii="Arial" w:hAnsi="Arial" w:cs="Arial"/>
          <w:b/>
          <w:i/>
          <w:sz w:val="14"/>
          <w:szCs w:val="14"/>
        </w:rPr>
        <w:t xml:space="preserve">Scheme </w:t>
      </w:r>
      <w:r w:rsidR="00BE48CA">
        <w:rPr>
          <w:rFonts w:ascii="Arial" w:hAnsi="Arial" w:cs="Arial"/>
          <w:b/>
          <w:i/>
          <w:sz w:val="14"/>
          <w:szCs w:val="14"/>
        </w:rPr>
        <w:t>3</w:t>
      </w:r>
      <w:r w:rsidRPr="00AD6845">
        <w:rPr>
          <w:rFonts w:ascii="Arial" w:hAnsi="Arial" w:cs="Arial"/>
          <w:b/>
          <w:sz w:val="14"/>
          <w:szCs w:val="14"/>
        </w:rPr>
        <w:t>.</w:t>
      </w:r>
      <w:r w:rsidRPr="00AD6845">
        <w:rPr>
          <w:rFonts w:ascii="Arial" w:hAnsi="Arial" w:cs="Arial"/>
          <w:sz w:val="14"/>
          <w:szCs w:val="14"/>
        </w:rPr>
        <w:t xml:space="preserve"> </w:t>
      </w:r>
      <w:r w:rsidR="00E55B50">
        <w:rPr>
          <w:rFonts w:ascii="Arial" w:hAnsi="Arial" w:cs="Arial"/>
          <w:sz w:val="14"/>
          <w:szCs w:val="14"/>
        </w:rPr>
        <w:t xml:space="preserve">Formation of the cyclisation precursor </w:t>
      </w:r>
      <w:r w:rsidR="00E55B50" w:rsidRPr="00E55B50">
        <w:rPr>
          <w:rFonts w:ascii="Arial" w:hAnsi="Arial" w:cs="Arial"/>
          <w:b/>
          <w:sz w:val="14"/>
          <w:szCs w:val="14"/>
        </w:rPr>
        <w:t>11</w:t>
      </w:r>
      <w:r w:rsidRPr="00AD6845">
        <w:rPr>
          <w:rFonts w:ascii="Arial" w:hAnsi="Arial" w:cs="Arial"/>
          <w:sz w:val="14"/>
          <w:szCs w:val="14"/>
        </w:rPr>
        <w:t>.</w:t>
      </w:r>
    </w:p>
    <w:p w:rsidR="00AD6845" w:rsidRDefault="00AD6845" w:rsidP="00AD6845">
      <w:pPr>
        <w:spacing w:line="276" w:lineRule="auto"/>
        <w:jc w:val="both"/>
      </w:pPr>
    </w:p>
    <w:p w:rsidR="00B23B20" w:rsidRDefault="00EB498D" w:rsidP="00D966B1">
      <w:pPr>
        <w:spacing w:line="276" w:lineRule="auto"/>
        <w:ind w:firstLine="425"/>
        <w:jc w:val="both"/>
        <w:rPr>
          <w:rFonts w:ascii="Arial" w:hAnsi="Arial" w:cs="Arial"/>
          <w:sz w:val="17"/>
          <w:szCs w:val="17"/>
          <w:lang w:val="en-GB"/>
        </w:rPr>
      </w:pPr>
      <w:r>
        <w:rPr>
          <w:rFonts w:ascii="Arial" w:hAnsi="Arial" w:cs="Arial"/>
          <w:sz w:val="17"/>
          <w:szCs w:val="17"/>
          <w:lang w:val="en-GB"/>
        </w:rPr>
        <w:t xml:space="preserve">The conversion to the dehydroamino acid </w:t>
      </w:r>
      <w:r w:rsidR="00B23B20">
        <w:rPr>
          <w:rFonts w:ascii="Arial" w:hAnsi="Arial" w:cs="Arial"/>
          <w:b/>
          <w:sz w:val="17"/>
          <w:szCs w:val="17"/>
          <w:lang w:val="en-GB"/>
        </w:rPr>
        <w:t>14</w:t>
      </w:r>
      <w:r w:rsidR="00925EE1">
        <w:rPr>
          <w:rFonts w:ascii="Arial" w:hAnsi="Arial" w:cs="Arial"/>
          <w:sz w:val="17"/>
          <w:szCs w:val="17"/>
          <w:lang w:val="en-GB"/>
        </w:rPr>
        <w:t xml:space="preserve">, involved a </w:t>
      </w:r>
      <w:r w:rsidR="006708A7">
        <w:rPr>
          <w:rFonts w:ascii="Arial" w:hAnsi="Arial" w:cs="Arial"/>
          <w:sz w:val="17"/>
          <w:szCs w:val="17"/>
          <w:lang w:val="en-GB"/>
        </w:rPr>
        <w:t>three-step one-</w:t>
      </w:r>
      <w:r w:rsidR="00925EE1">
        <w:rPr>
          <w:rFonts w:ascii="Arial" w:hAnsi="Arial" w:cs="Arial"/>
          <w:sz w:val="17"/>
          <w:szCs w:val="17"/>
          <w:lang w:val="en-GB"/>
        </w:rPr>
        <w:t>pot strategy</w:t>
      </w:r>
      <w:r w:rsidR="006708A7">
        <w:rPr>
          <w:rFonts w:ascii="Arial" w:hAnsi="Arial" w:cs="Arial"/>
          <w:sz w:val="17"/>
          <w:szCs w:val="17"/>
          <w:lang w:val="en-GB"/>
        </w:rPr>
        <w:t xml:space="preserve">, where </w:t>
      </w:r>
      <w:r w:rsidR="006708A7" w:rsidRPr="006708A7">
        <w:rPr>
          <w:rFonts w:ascii="Arial" w:hAnsi="Arial" w:cs="Arial"/>
          <w:i/>
          <w:sz w:val="17"/>
          <w:szCs w:val="17"/>
          <w:lang w:val="en-GB"/>
        </w:rPr>
        <w:t>N-</w:t>
      </w:r>
      <w:r w:rsidR="006708A7">
        <w:rPr>
          <w:rFonts w:ascii="Arial" w:hAnsi="Arial" w:cs="Arial"/>
          <w:sz w:val="17"/>
          <w:szCs w:val="17"/>
          <w:lang w:val="en-GB"/>
        </w:rPr>
        <w:t xml:space="preserve">chlorination, </w:t>
      </w:r>
      <w:r w:rsidR="00F060CF">
        <w:rPr>
          <w:rFonts w:ascii="Arial" w:hAnsi="Arial" w:cs="Arial"/>
          <w:sz w:val="17"/>
          <w:szCs w:val="17"/>
          <w:lang w:val="en-GB"/>
        </w:rPr>
        <w:t xml:space="preserve">followed by </w:t>
      </w:r>
      <w:r w:rsidR="006708A7">
        <w:rPr>
          <w:rFonts w:ascii="Arial" w:hAnsi="Arial" w:cs="Arial"/>
          <w:sz w:val="17"/>
          <w:szCs w:val="17"/>
          <w:lang w:val="en-GB"/>
        </w:rPr>
        <w:t xml:space="preserve">elimination and subsequent tautomerisation would </w:t>
      </w:r>
      <w:r w:rsidR="00EF177F">
        <w:rPr>
          <w:rFonts w:ascii="Arial" w:hAnsi="Arial" w:cs="Arial"/>
          <w:sz w:val="17"/>
          <w:szCs w:val="17"/>
          <w:lang w:val="en-GB"/>
        </w:rPr>
        <w:t>give rise to</w:t>
      </w:r>
      <w:r w:rsidR="006708A7">
        <w:rPr>
          <w:rFonts w:ascii="Arial" w:hAnsi="Arial" w:cs="Arial"/>
          <w:sz w:val="17"/>
          <w:szCs w:val="17"/>
          <w:lang w:val="en-GB"/>
        </w:rPr>
        <w:t xml:space="preserve"> the </w:t>
      </w:r>
      <w:r w:rsidR="00EF177F">
        <w:rPr>
          <w:rFonts w:ascii="Arial" w:hAnsi="Arial" w:cs="Arial"/>
          <w:sz w:val="17"/>
          <w:szCs w:val="17"/>
          <w:lang w:val="en-GB"/>
        </w:rPr>
        <w:t>required</w:t>
      </w:r>
      <w:r w:rsidR="006708A7">
        <w:rPr>
          <w:rFonts w:ascii="Arial" w:hAnsi="Arial" w:cs="Arial"/>
          <w:sz w:val="17"/>
          <w:szCs w:val="17"/>
          <w:lang w:val="en-GB"/>
        </w:rPr>
        <w:t xml:space="preserve"> dehydroamino acid </w:t>
      </w:r>
      <w:r w:rsidR="00B23B20">
        <w:rPr>
          <w:rFonts w:ascii="Arial" w:hAnsi="Arial" w:cs="Arial"/>
          <w:b/>
          <w:sz w:val="17"/>
          <w:szCs w:val="17"/>
          <w:lang w:val="en-GB"/>
        </w:rPr>
        <w:t>14</w:t>
      </w:r>
      <w:r w:rsidR="006708A7">
        <w:rPr>
          <w:rFonts w:ascii="Arial" w:hAnsi="Arial" w:cs="Arial"/>
          <w:sz w:val="17"/>
          <w:szCs w:val="17"/>
          <w:lang w:val="en-GB"/>
        </w:rPr>
        <w:t xml:space="preserve">. </w:t>
      </w:r>
      <w:r w:rsidR="00EF177F">
        <w:rPr>
          <w:rFonts w:ascii="Arial" w:hAnsi="Arial" w:cs="Arial"/>
          <w:sz w:val="17"/>
          <w:szCs w:val="17"/>
          <w:lang w:val="en-GB"/>
        </w:rPr>
        <w:t xml:space="preserve">We initially attempted to follow the </w:t>
      </w:r>
      <w:r w:rsidR="00BB0376">
        <w:rPr>
          <w:rFonts w:ascii="Arial" w:hAnsi="Arial" w:cs="Arial"/>
          <w:sz w:val="17"/>
          <w:szCs w:val="17"/>
          <w:lang w:val="en-GB"/>
        </w:rPr>
        <w:t>methodology</w:t>
      </w:r>
      <w:r w:rsidR="00EF177F">
        <w:rPr>
          <w:rFonts w:ascii="Arial" w:hAnsi="Arial" w:cs="Arial"/>
          <w:sz w:val="17"/>
          <w:szCs w:val="17"/>
          <w:lang w:val="en-GB"/>
        </w:rPr>
        <w:t xml:space="preserve"> of </w:t>
      </w:r>
      <w:r w:rsidR="000F117C">
        <w:rPr>
          <w:rFonts w:ascii="Arial" w:hAnsi="Arial" w:cs="Arial"/>
          <w:sz w:val="17"/>
          <w:szCs w:val="17"/>
          <w:lang w:val="en-GB"/>
        </w:rPr>
        <w:t>Lewin</w:t>
      </w:r>
      <w:r w:rsidR="00EF177F">
        <w:rPr>
          <w:rFonts w:ascii="Arial" w:hAnsi="Arial" w:cs="Arial"/>
          <w:sz w:val="17"/>
          <w:szCs w:val="17"/>
          <w:lang w:val="en-GB"/>
        </w:rPr>
        <w:t xml:space="preserve"> who had investigated imine/ </w:t>
      </w:r>
      <w:r w:rsidR="00EF177F">
        <w:rPr>
          <w:rFonts w:ascii="Arial" w:hAnsi="Arial" w:cs="Arial"/>
          <w:sz w:val="17"/>
          <w:szCs w:val="17"/>
          <w:lang w:val="en-GB"/>
        </w:rPr>
        <w:t xml:space="preserve">enamine tautomerisation of dehydrophenylalanine via </w:t>
      </w:r>
      <w:r w:rsidR="00EF177F" w:rsidRPr="00EF177F">
        <w:rPr>
          <w:rFonts w:ascii="Arial" w:hAnsi="Arial" w:cs="Arial"/>
          <w:i/>
          <w:sz w:val="17"/>
          <w:szCs w:val="17"/>
          <w:lang w:val="en-GB"/>
        </w:rPr>
        <w:t>N</w:t>
      </w:r>
      <w:r w:rsidR="00EF177F">
        <w:rPr>
          <w:rFonts w:ascii="Arial" w:hAnsi="Arial" w:cs="Arial"/>
          <w:sz w:val="17"/>
          <w:szCs w:val="17"/>
          <w:lang w:val="en-GB"/>
        </w:rPr>
        <w:t xml:space="preserve">-chlorination with </w:t>
      </w:r>
      <w:r w:rsidR="00EF177F" w:rsidRPr="00634952">
        <w:rPr>
          <w:rFonts w:ascii="Arial" w:hAnsi="Arial" w:cs="Arial"/>
          <w:i/>
          <w:sz w:val="17"/>
          <w:szCs w:val="17"/>
          <w:lang w:val="en-GB"/>
        </w:rPr>
        <w:t>N</w:t>
      </w:r>
      <w:r w:rsidR="00EF177F">
        <w:rPr>
          <w:rFonts w:ascii="Arial" w:hAnsi="Arial" w:cs="Arial"/>
          <w:sz w:val="17"/>
          <w:szCs w:val="17"/>
          <w:lang w:val="en-GB"/>
        </w:rPr>
        <w:t xml:space="preserve">-chlorosuccinimide, but it proved </w:t>
      </w:r>
      <w:r w:rsidR="00634952">
        <w:rPr>
          <w:rFonts w:ascii="Arial" w:hAnsi="Arial" w:cs="Arial"/>
          <w:sz w:val="17"/>
          <w:szCs w:val="17"/>
          <w:lang w:val="en-GB"/>
        </w:rPr>
        <w:t>unsuitable</w:t>
      </w:r>
      <w:r w:rsidR="00EF177F">
        <w:rPr>
          <w:rFonts w:ascii="Arial" w:hAnsi="Arial" w:cs="Arial"/>
          <w:sz w:val="17"/>
          <w:szCs w:val="17"/>
          <w:lang w:val="en-GB"/>
        </w:rPr>
        <w:t xml:space="preserve"> </w:t>
      </w:r>
      <w:r w:rsidR="00634952">
        <w:rPr>
          <w:rFonts w:ascii="Arial" w:hAnsi="Arial" w:cs="Arial"/>
          <w:sz w:val="17"/>
          <w:szCs w:val="17"/>
          <w:lang w:val="en-GB"/>
        </w:rPr>
        <w:t>for</w:t>
      </w:r>
      <w:r w:rsidR="00EF177F">
        <w:rPr>
          <w:rFonts w:ascii="Arial" w:hAnsi="Arial" w:cs="Arial"/>
          <w:sz w:val="17"/>
          <w:szCs w:val="17"/>
          <w:lang w:val="en-GB"/>
        </w:rPr>
        <w:t xml:space="preserve"> our </w:t>
      </w:r>
      <w:r w:rsidR="00EF177F" w:rsidRPr="00634952">
        <w:rPr>
          <w:rFonts w:ascii="Arial" w:hAnsi="Arial" w:cs="Arial"/>
          <w:i/>
          <w:sz w:val="17"/>
          <w:szCs w:val="17"/>
          <w:lang w:val="en-GB"/>
        </w:rPr>
        <w:t>N-</w:t>
      </w:r>
      <w:r w:rsidR="00EF177F">
        <w:rPr>
          <w:rFonts w:ascii="Arial" w:hAnsi="Arial" w:cs="Arial"/>
          <w:sz w:val="17"/>
          <w:szCs w:val="17"/>
          <w:lang w:val="en-GB"/>
        </w:rPr>
        <w:t xml:space="preserve">methyl derivative </w:t>
      </w:r>
      <w:r w:rsidR="00B23B20">
        <w:rPr>
          <w:rFonts w:ascii="Arial" w:hAnsi="Arial" w:cs="Arial"/>
          <w:b/>
          <w:sz w:val="17"/>
          <w:szCs w:val="17"/>
          <w:lang w:val="en-GB"/>
        </w:rPr>
        <w:t>1</w:t>
      </w:r>
      <w:r w:rsidR="00BB0376">
        <w:rPr>
          <w:rFonts w:ascii="Arial" w:hAnsi="Arial" w:cs="Arial"/>
          <w:b/>
          <w:sz w:val="17"/>
          <w:szCs w:val="17"/>
          <w:lang w:val="en-GB"/>
        </w:rPr>
        <w:t>3</w:t>
      </w:r>
      <w:r w:rsidR="00EF177F">
        <w:rPr>
          <w:rFonts w:ascii="Arial" w:hAnsi="Arial" w:cs="Arial"/>
          <w:sz w:val="17"/>
          <w:szCs w:val="17"/>
          <w:lang w:val="en-GB"/>
        </w:rPr>
        <w:t>.</w:t>
      </w:r>
      <w:r w:rsidR="000F117C">
        <w:rPr>
          <w:rFonts w:ascii="Arial" w:hAnsi="Arial" w:cs="Arial"/>
          <w:sz w:val="17"/>
          <w:szCs w:val="17"/>
          <w:vertAlign w:val="superscript"/>
          <w:lang w:val="en-GB"/>
        </w:rPr>
        <w:t>[37]</w:t>
      </w:r>
      <w:r w:rsidR="00F060CF">
        <w:rPr>
          <w:rFonts w:ascii="Arial" w:hAnsi="Arial" w:cs="Arial"/>
          <w:sz w:val="17"/>
          <w:szCs w:val="17"/>
          <w:lang w:val="en-GB"/>
        </w:rPr>
        <w:t xml:space="preserve"> We therefore switched to the use of the more soluble chlorinating agent</w:t>
      </w:r>
      <w:r w:rsidR="00870990">
        <w:rPr>
          <w:rFonts w:ascii="Arial" w:hAnsi="Arial" w:cs="Arial"/>
          <w:sz w:val="17"/>
          <w:szCs w:val="17"/>
          <w:lang w:val="en-GB"/>
        </w:rPr>
        <w:t xml:space="preserve"> </w:t>
      </w:r>
      <w:r w:rsidR="00870990" w:rsidRPr="00EF177F">
        <w:rPr>
          <w:rFonts w:ascii="Arial" w:hAnsi="Arial" w:cs="Arial"/>
          <w:i/>
          <w:sz w:val="17"/>
          <w:szCs w:val="17"/>
          <w:lang w:val="en-GB"/>
        </w:rPr>
        <w:t>tert</w:t>
      </w:r>
      <w:r w:rsidR="00870990">
        <w:rPr>
          <w:rFonts w:ascii="Arial" w:hAnsi="Arial" w:cs="Arial"/>
          <w:sz w:val="17"/>
          <w:szCs w:val="17"/>
          <w:lang w:val="en-GB"/>
        </w:rPr>
        <w:t>-butyl</w:t>
      </w:r>
      <w:r w:rsidR="00EF177F">
        <w:rPr>
          <w:rFonts w:ascii="Arial" w:hAnsi="Arial" w:cs="Arial"/>
          <w:sz w:val="17"/>
          <w:szCs w:val="17"/>
          <w:lang w:val="en-GB"/>
        </w:rPr>
        <w:t>hypochlorite</w:t>
      </w:r>
      <w:r w:rsidR="00634952">
        <w:rPr>
          <w:rFonts w:ascii="Arial" w:hAnsi="Arial" w:cs="Arial"/>
          <w:sz w:val="17"/>
          <w:szCs w:val="17"/>
          <w:lang w:val="en-GB"/>
        </w:rPr>
        <w:t xml:space="preserve"> </w:t>
      </w:r>
      <w:r w:rsidR="00F060CF">
        <w:rPr>
          <w:rFonts w:ascii="Arial" w:hAnsi="Arial" w:cs="Arial"/>
          <w:sz w:val="17"/>
          <w:szCs w:val="17"/>
          <w:lang w:val="en-GB"/>
        </w:rPr>
        <w:t xml:space="preserve">which </w:t>
      </w:r>
      <w:r w:rsidR="00BB0376">
        <w:rPr>
          <w:rFonts w:ascii="Arial" w:hAnsi="Arial" w:cs="Arial"/>
          <w:sz w:val="17"/>
          <w:szCs w:val="17"/>
          <w:lang w:val="en-GB"/>
        </w:rPr>
        <w:t>gave</w:t>
      </w:r>
      <w:r w:rsidR="00F060CF">
        <w:rPr>
          <w:rFonts w:ascii="Arial" w:hAnsi="Arial" w:cs="Arial"/>
          <w:sz w:val="17"/>
          <w:szCs w:val="17"/>
          <w:lang w:val="en-GB"/>
        </w:rPr>
        <w:t xml:space="preserve"> </w:t>
      </w:r>
      <w:r w:rsidR="00F060CF" w:rsidRPr="00F060CF">
        <w:rPr>
          <w:rFonts w:ascii="Arial" w:hAnsi="Arial" w:cs="Arial"/>
          <w:i/>
          <w:sz w:val="17"/>
          <w:szCs w:val="17"/>
          <w:lang w:val="en-GB"/>
        </w:rPr>
        <w:t>tert</w:t>
      </w:r>
      <w:r w:rsidR="00F060CF">
        <w:rPr>
          <w:rFonts w:ascii="Arial" w:hAnsi="Arial" w:cs="Arial"/>
          <w:sz w:val="17"/>
          <w:szCs w:val="17"/>
          <w:lang w:val="en-GB"/>
        </w:rPr>
        <w:t>-butanol as a by-product to avoid the intermediate filtration step. Use of this modified protocol enabled facile</w:t>
      </w:r>
      <w:r w:rsidR="00634952">
        <w:rPr>
          <w:rFonts w:ascii="Arial" w:hAnsi="Arial" w:cs="Arial"/>
          <w:sz w:val="17"/>
          <w:szCs w:val="17"/>
          <w:lang w:val="en-GB"/>
        </w:rPr>
        <w:t xml:space="preserve"> elimination with DABCO to generate the dehydroamino acid </w:t>
      </w:r>
      <w:r w:rsidR="00B23B20">
        <w:rPr>
          <w:rFonts w:ascii="Arial" w:hAnsi="Arial" w:cs="Arial"/>
          <w:b/>
          <w:sz w:val="17"/>
          <w:szCs w:val="17"/>
          <w:lang w:val="en-GB"/>
        </w:rPr>
        <w:t>14</w:t>
      </w:r>
      <w:r w:rsidR="00634952">
        <w:rPr>
          <w:rFonts w:ascii="Arial" w:hAnsi="Arial" w:cs="Arial"/>
          <w:sz w:val="17"/>
          <w:szCs w:val="17"/>
          <w:lang w:val="en-GB"/>
        </w:rPr>
        <w:t xml:space="preserve">. </w:t>
      </w:r>
      <w:r w:rsidR="00F060CF">
        <w:rPr>
          <w:rFonts w:ascii="Arial" w:hAnsi="Arial" w:cs="Arial"/>
          <w:sz w:val="17"/>
          <w:szCs w:val="17"/>
          <w:lang w:val="en-GB"/>
        </w:rPr>
        <w:t xml:space="preserve">However, </w:t>
      </w:r>
      <w:r w:rsidR="00F060CF" w:rsidRPr="00F060CF">
        <w:rPr>
          <w:rFonts w:ascii="Arial" w:hAnsi="Arial" w:cs="Arial"/>
          <w:b/>
          <w:sz w:val="17"/>
          <w:szCs w:val="17"/>
          <w:lang w:val="en-GB"/>
        </w:rPr>
        <w:t>14</w:t>
      </w:r>
      <w:r w:rsidR="00634952">
        <w:rPr>
          <w:rFonts w:ascii="Arial" w:hAnsi="Arial" w:cs="Arial"/>
          <w:sz w:val="17"/>
          <w:szCs w:val="17"/>
          <w:lang w:val="en-GB"/>
        </w:rPr>
        <w:t xml:space="preserve"> proved unstable and</w:t>
      </w:r>
      <w:r w:rsidR="00551555">
        <w:rPr>
          <w:rFonts w:ascii="Arial" w:hAnsi="Arial" w:cs="Arial"/>
          <w:sz w:val="17"/>
          <w:szCs w:val="17"/>
          <w:lang w:val="en-GB"/>
        </w:rPr>
        <w:t xml:space="preserve"> rapidly decomposed on standing and </w:t>
      </w:r>
      <w:r w:rsidR="00634952">
        <w:rPr>
          <w:rFonts w:ascii="Arial" w:hAnsi="Arial" w:cs="Arial"/>
          <w:sz w:val="17"/>
          <w:szCs w:val="17"/>
          <w:lang w:val="en-GB"/>
        </w:rPr>
        <w:t xml:space="preserve">was therefore rapidly reacted with diacetoxyacetyl chloride </w:t>
      </w:r>
      <w:r w:rsidR="00B23B20">
        <w:rPr>
          <w:rFonts w:ascii="Arial" w:hAnsi="Arial" w:cs="Arial"/>
          <w:b/>
          <w:sz w:val="17"/>
          <w:szCs w:val="17"/>
          <w:lang w:val="en-GB"/>
        </w:rPr>
        <w:t>15</w:t>
      </w:r>
      <w:r w:rsidR="00634952">
        <w:rPr>
          <w:rFonts w:ascii="Arial" w:hAnsi="Arial" w:cs="Arial"/>
          <w:sz w:val="17"/>
          <w:szCs w:val="17"/>
          <w:lang w:val="en-GB"/>
        </w:rPr>
        <w:t xml:space="preserve"> under Schotten-Bauman</w:t>
      </w:r>
      <w:r w:rsidR="00A54E25">
        <w:rPr>
          <w:rFonts w:ascii="Arial" w:hAnsi="Arial" w:cs="Arial"/>
          <w:sz w:val="17"/>
          <w:szCs w:val="17"/>
          <w:lang w:val="en-GB"/>
        </w:rPr>
        <w:t>n</w:t>
      </w:r>
      <w:r w:rsidR="00634952">
        <w:rPr>
          <w:rFonts w:ascii="Arial" w:hAnsi="Arial" w:cs="Arial"/>
          <w:sz w:val="17"/>
          <w:szCs w:val="17"/>
          <w:lang w:val="en-GB"/>
        </w:rPr>
        <w:t xml:space="preserve"> conditions to give the cyclisation precursor </w:t>
      </w:r>
      <w:r w:rsidR="00B23B20">
        <w:rPr>
          <w:rFonts w:ascii="Arial" w:hAnsi="Arial" w:cs="Arial"/>
          <w:b/>
          <w:sz w:val="17"/>
          <w:szCs w:val="17"/>
          <w:lang w:val="en-GB"/>
        </w:rPr>
        <w:t>11</w:t>
      </w:r>
      <w:r w:rsidR="00634952">
        <w:rPr>
          <w:rFonts w:ascii="Arial" w:hAnsi="Arial" w:cs="Arial"/>
          <w:sz w:val="17"/>
          <w:szCs w:val="17"/>
          <w:lang w:val="en-GB"/>
        </w:rPr>
        <w:t xml:space="preserve"> in 70% yield </w:t>
      </w:r>
      <w:r w:rsidR="00936B61">
        <w:rPr>
          <w:rFonts w:ascii="Arial" w:hAnsi="Arial" w:cs="Arial"/>
          <w:sz w:val="17"/>
          <w:szCs w:val="17"/>
          <w:lang w:val="en-GB"/>
        </w:rPr>
        <w:t xml:space="preserve">as a 7:3 mixture of amide rotamers </w:t>
      </w:r>
      <w:r w:rsidR="00634952">
        <w:rPr>
          <w:rFonts w:ascii="Arial" w:hAnsi="Arial" w:cs="Arial"/>
          <w:sz w:val="17"/>
          <w:szCs w:val="17"/>
          <w:lang w:val="en-GB"/>
        </w:rPr>
        <w:t>over two steps.</w:t>
      </w:r>
      <w:r w:rsidR="000F117C">
        <w:rPr>
          <w:rFonts w:ascii="Arial" w:hAnsi="Arial" w:cs="Arial"/>
          <w:sz w:val="17"/>
          <w:szCs w:val="17"/>
          <w:vertAlign w:val="superscript"/>
          <w:lang w:val="en-GB"/>
        </w:rPr>
        <w:t>[38]</w:t>
      </w:r>
      <w:r w:rsidR="00634952">
        <w:rPr>
          <w:rFonts w:ascii="Arial" w:hAnsi="Arial" w:cs="Arial"/>
          <w:sz w:val="17"/>
          <w:szCs w:val="17"/>
          <w:lang w:val="en-GB"/>
        </w:rPr>
        <w:t xml:space="preserve"> </w:t>
      </w:r>
    </w:p>
    <w:p w:rsidR="00936B61" w:rsidRDefault="00936B61" w:rsidP="00D13728">
      <w:pPr>
        <w:spacing w:line="276" w:lineRule="auto"/>
        <w:ind w:firstLine="425"/>
        <w:jc w:val="both"/>
        <w:rPr>
          <w:rFonts w:ascii="Arial" w:hAnsi="Arial" w:cs="Arial"/>
          <w:sz w:val="17"/>
          <w:szCs w:val="17"/>
          <w:lang w:val="en-GB"/>
        </w:rPr>
      </w:pPr>
      <w:r>
        <w:rPr>
          <w:rFonts w:ascii="Arial" w:hAnsi="Arial" w:cs="Arial"/>
          <w:sz w:val="17"/>
          <w:szCs w:val="17"/>
          <w:lang w:val="en-GB"/>
        </w:rPr>
        <w:t xml:space="preserve">With the obtention of the cyclisation precursor </w:t>
      </w:r>
      <w:r w:rsidRPr="00936B61">
        <w:rPr>
          <w:rFonts w:ascii="Arial" w:hAnsi="Arial" w:cs="Arial"/>
          <w:b/>
          <w:sz w:val="17"/>
          <w:szCs w:val="17"/>
          <w:lang w:val="en-GB"/>
        </w:rPr>
        <w:t>11</w:t>
      </w:r>
      <w:r w:rsidR="00A54E25">
        <w:rPr>
          <w:rFonts w:ascii="Arial" w:hAnsi="Arial" w:cs="Arial"/>
          <w:sz w:val="17"/>
          <w:szCs w:val="17"/>
          <w:lang w:val="en-GB"/>
        </w:rPr>
        <w:t>, we next turned our</w:t>
      </w:r>
      <w:r>
        <w:rPr>
          <w:rFonts w:ascii="Arial" w:hAnsi="Arial" w:cs="Arial"/>
          <w:sz w:val="17"/>
          <w:szCs w:val="17"/>
          <w:lang w:val="en-GB"/>
        </w:rPr>
        <w:t xml:space="preserve"> attention towards the </w:t>
      </w:r>
      <w:r w:rsidR="00C43CE4">
        <w:rPr>
          <w:rFonts w:ascii="Arial" w:hAnsi="Arial" w:cs="Arial"/>
          <w:sz w:val="17"/>
          <w:szCs w:val="17"/>
          <w:lang w:val="en-GB"/>
        </w:rPr>
        <w:t>formation of the two potential n</w:t>
      </w:r>
      <w:r>
        <w:rPr>
          <w:rFonts w:ascii="Arial" w:hAnsi="Arial" w:cs="Arial"/>
          <w:sz w:val="17"/>
          <w:szCs w:val="17"/>
          <w:lang w:val="en-GB"/>
        </w:rPr>
        <w:t xml:space="preserve">atural product classes. We first elected to explore </w:t>
      </w:r>
      <w:r w:rsidR="00D13728">
        <w:rPr>
          <w:rFonts w:ascii="Arial" w:hAnsi="Arial" w:cs="Arial"/>
          <w:sz w:val="17"/>
          <w:szCs w:val="17"/>
          <w:lang w:val="en-GB"/>
        </w:rPr>
        <w:t>cyclisation to the</w:t>
      </w:r>
      <w:r>
        <w:rPr>
          <w:rFonts w:ascii="Arial" w:hAnsi="Arial" w:cs="Arial"/>
          <w:sz w:val="17"/>
          <w:szCs w:val="17"/>
          <w:lang w:val="en-GB"/>
        </w:rPr>
        <w:t xml:space="preserve"> core structure of clausenamide </w:t>
      </w:r>
      <w:r w:rsidRPr="00936B61">
        <w:rPr>
          <w:rFonts w:ascii="Arial" w:hAnsi="Arial" w:cs="Arial"/>
          <w:b/>
          <w:sz w:val="17"/>
          <w:szCs w:val="17"/>
          <w:lang w:val="en-GB"/>
        </w:rPr>
        <w:t>5</w:t>
      </w:r>
      <w:r>
        <w:rPr>
          <w:rFonts w:ascii="Arial" w:hAnsi="Arial" w:cs="Arial"/>
          <w:sz w:val="17"/>
          <w:szCs w:val="17"/>
          <w:lang w:val="en-GB"/>
        </w:rPr>
        <w:t>.</w:t>
      </w:r>
      <w:r w:rsidR="000F117C">
        <w:rPr>
          <w:rFonts w:ascii="Arial" w:hAnsi="Arial" w:cs="Arial"/>
          <w:sz w:val="17"/>
          <w:szCs w:val="17"/>
          <w:vertAlign w:val="superscript"/>
          <w:lang w:val="en-GB"/>
        </w:rPr>
        <w:t>[8]</w:t>
      </w:r>
      <w:r>
        <w:rPr>
          <w:rFonts w:ascii="Arial" w:hAnsi="Arial" w:cs="Arial"/>
          <w:sz w:val="17"/>
          <w:szCs w:val="17"/>
          <w:lang w:val="en-GB"/>
        </w:rPr>
        <w:t xml:space="preserve"> </w:t>
      </w:r>
      <w:r w:rsidR="00D13728">
        <w:rPr>
          <w:rFonts w:ascii="Arial" w:hAnsi="Arial" w:cs="Arial"/>
          <w:sz w:val="17"/>
          <w:szCs w:val="17"/>
          <w:lang w:val="en-GB"/>
        </w:rPr>
        <w:t>On r</w:t>
      </w:r>
      <w:r>
        <w:rPr>
          <w:rFonts w:ascii="Arial" w:hAnsi="Arial" w:cs="Arial"/>
          <w:sz w:val="17"/>
          <w:szCs w:val="17"/>
          <w:lang w:val="en-GB"/>
        </w:rPr>
        <w:t xml:space="preserve">eaction of </w:t>
      </w:r>
      <w:r w:rsidR="00D13728">
        <w:rPr>
          <w:rFonts w:ascii="Arial" w:hAnsi="Arial" w:cs="Arial"/>
          <w:sz w:val="17"/>
          <w:szCs w:val="17"/>
          <w:lang w:val="en-GB"/>
        </w:rPr>
        <w:t xml:space="preserve">the </w:t>
      </w:r>
      <w:r>
        <w:rPr>
          <w:rFonts w:ascii="Arial" w:hAnsi="Arial" w:cs="Arial"/>
          <w:sz w:val="17"/>
          <w:szCs w:val="17"/>
          <w:lang w:val="en-GB"/>
        </w:rPr>
        <w:t xml:space="preserve">precursor </w:t>
      </w:r>
      <w:r>
        <w:rPr>
          <w:rFonts w:ascii="Arial" w:hAnsi="Arial" w:cs="Arial"/>
          <w:b/>
          <w:sz w:val="17"/>
          <w:szCs w:val="17"/>
          <w:lang w:val="en-GB"/>
        </w:rPr>
        <w:t>11</w:t>
      </w:r>
      <w:r>
        <w:rPr>
          <w:rFonts w:ascii="Arial" w:hAnsi="Arial" w:cs="Arial"/>
          <w:sz w:val="17"/>
          <w:szCs w:val="17"/>
          <w:lang w:val="en-GB"/>
        </w:rPr>
        <w:t xml:space="preserve"> with tin tetrachloride as Lewis acid in dichloromethane </w:t>
      </w:r>
      <w:r w:rsidR="00462935">
        <w:rPr>
          <w:rFonts w:ascii="Arial" w:hAnsi="Arial" w:cs="Arial"/>
          <w:sz w:val="17"/>
          <w:szCs w:val="17"/>
          <w:lang w:val="en-GB"/>
        </w:rPr>
        <w:t xml:space="preserve">as solvent, </w:t>
      </w:r>
      <w:r w:rsidR="00D13728">
        <w:rPr>
          <w:rFonts w:ascii="Arial" w:hAnsi="Arial" w:cs="Arial"/>
          <w:sz w:val="17"/>
          <w:szCs w:val="17"/>
          <w:lang w:val="en-GB"/>
        </w:rPr>
        <w:t xml:space="preserve">we were </w:t>
      </w:r>
      <w:r>
        <w:rPr>
          <w:rFonts w:ascii="Arial" w:hAnsi="Arial" w:cs="Arial"/>
          <w:sz w:val="17"/>
          <w:szCs w:val="17"/>
          <w:lang w:val="en-GB"/>
        </w:rPr>
        <w:t>pleas</w:t>
      </w:r>
      <w:r w:rsidR="00D13728">
        <w:rPr>
          <w:rFonts w:ascii="Arial" w:hAnsi="Arial" w:cs="Arial"/>
          <w:sz w:val="17"/>
          <w:szCs w:val="17"/>
          <w:lang w:val="en-GB"/>
        </w:rPr>
        <w:t>ed</w:t>
      </w:r>
      <w:r>
        <w:rPr>
          <w:rFonts w:ascii="Arial" w:hAnsi="Arial" w:cs="Arial"/>
          <w:sz w:val="17"/>
          <w:szCs w:val="17"/>
          <w:lang w:val="en-GB"/>
        </w:rPr>
        <w:t xml:space="preserve"> </w:t>
      </w:r>
      <w:r w:rsidR="00D13728">
        <w:rPr>
          <w:rFonts w:ascii="Arial" w:hAnsi="Arial" w:cs="Arial"/>
          <w:sz w:val="17"/>
          <w:szCs w:val="17"/>
          <w:lang w:val="en-GB"/>
        </w:rPr>
        <w:t>to obtain</w:t>
      </w:r>
      <w:r>
        <w:rPr>
          <w:rFonts w:ascii="Arial" w:hAnsi="Arial" w:cs="Arial"/>
          <w:sz w:val="17"/>
          <w:szCs w:val="17"/>
          <w:lang w:val="en-GB"/>
        </w:rPr>
        <w:t xml:space="preserve"> the cyclised product </w:t>
      </w:r>
      <w:r w:rsidRPr="00936B61">
        <w:rPr>
          <w:rFonts w:ascii="Arial" w:hAnsi="Arial" w:cs="Arial"/>
          <w:b/>
          <w:sz w:val="17"/>
          <w:szCs w:val="17"/>
          <w:lang w:val="en-GB"/>
        </w:rPr>
        <w:t>9</w:t>
      </w:r>
      <w:r>
        <w:rPr>
          <w:rFonts w:ascii="Arial" w:hAnsi="Arial" w:cs="Arial"/>
          <w:sz w:val="17"/>
          <w:szCs w:val="17"/>
          <w:lang w:val="en-GB"/>
        </w:rPr>
        <w:t xml:space="preserve"> </w:t>
      </w:r>
      <w:r w:rsidR="00462935">
        <w:rPr>
          <w:rFonts w:ascii="Arial" w:hAnsi="Arial" w:cs="Arial"/>
          <w:sz w:val="17"/>
          <w:szCs w:val="17"/>
          <w:lang w:val="en-GB"/>
        </w:rPr>
        <w:t xml:space="preserve">albeit </w:t>
      </w:r>
      <w:r>
        <w:rPr>
          <w:rFonts w:ascii="Arial" w:hAnsi="Arial" w:cs="Arial"/>
          <w:sz w:val="17"/>
          <w:szCs w:val="17"/>
          <w:lang w:val="en-GB"/>
        </w:rPr>
        <w:t xml:space="preserve">in </w:t>
      </w:r>
      <w:r w:rsidR="00462935">
        <w:rPr>
          <w:rFonts w:ascii="Arial" w:hAnsi="Arial" w:cs="Arial"/>
          <w:sz w:val="17"/>
          <w:szCs w:val="17"/>
          <w:lang w:val="en-GB"/>
        </w:rPr>
        <w:t xml:space="preserve">a low yield of </w:t>
      </w:r>
      <w:r>
        <w:rPr>
          <w:rFonts w:ascii="Arial" w:hAnsi="Arial" w:cs="Arial"/>
          <w:sz w:val="17"/>
          <w:szCs w:val="17"/>
          <w:lang w:val="en-GB"/>
        </w:rPr>
        <w:t xml:space="preserve">32% </w:t>
      </w:r>
      <w:r w:rsidR="00D13728">
        <w:rPr>
          <w:rFonts w:ascii="Arial" w:hAnsi="Arial" w:cs="Arial"/>
          <w:sz w:val="17"/>
          <w:szCs w:val="17"/>
          <w:lang w:val="en-GB"/>
        </w:rPr>
        <w:t>(Scheme 4)</w:t>
      </w:r>
      <w:r>
        <w:rPr>
          <w:rFonts w:ascii="Arial" w:hAnsi="Arial" w:cs="Arial"/>
          <w:sz w:val="17"/>
          <w:szCs w:val="17"/>
          <w:lang w:val="en-GB"/>
        </w:rPr>
        <w:t xml:space="preserve">. </w:t>
      </w:r>
    </w:p>
    <w:p w:rsidR="00936B61" w:rsidRDefault="00D13728" w:rsidP="00936B61">
      <w:pPr>
        <w:spacing w:line="276" w:lineRule="auto"/>
        <w:ind w:firstLine="425"/>
        <w:jc w:val="center"/>
        <w:rPr>
          <w:rFonts w:ascii="Arial" w:hAnsi="Arial" w:cs="Arial"/>
          <w:sz w:val="17"/>
          <w:szCs w:val="17"/>
          <w:lang w:val="en-GB"/>
        </w:rPr>
      </w:pPr>
      <w:r>
        <w:object w:dxaOrig="5366" w:dyaOrig="1898">
          <v:shape id="_x0000_i1028" type="#_x0000_t75" style="width:162pt;height:57pt" o:ole="">
            <v:imagedata r:id="rId20" o:title=""/>
          </v:shape>
          <o:OLEObject Type="Embed" ProgID="ChemDraw.Document.6.0" ShapeID="_x0000_i1028" DrawAspect="Content" ObjectID="_1547889021" r:id="rId21"/>
        </w:object>
      </w:r>
    </w:p>
    <w:p w:rsidR="00936B61" w:rsidRDefault="00936B61" w:rsidP="00936B61">
      <w:pPr>
        <w:spacing w:line="276" w:lineRule="auto"/>
        <w:jc w:val="both"/>
      </w:pPr>
      <w:r w:rsidRPr="00071F2C">
        <w:rPr>
          <w:rFonts w:ascii="Arial" w:hAnsi="Arial" w:cs="Arial"/>
          <w:b/>
          <w:i/>
          <w:sz w:val="14"/>
          <w:szCs w:val="14"/>
        </w:rPr>
        <w:t xml:space="preserve">Scheme </w:t>
      </w:r>
      <w:r>
        <w:rPr>
          <w:rFonts w:ascii="Arial" w:hAnsi="Arial" w:cs="Arial"/>
          <w:b/>
          <w:i/>
          <w:sz w:val="14"/>
          <w:szCs w:val="14"/>
        </w:rPr>
        <w:t>4</w:t>
      </w:r>
      <w:r w:rsidRPr="00071F2C">
        <w:rPr>
          <w:rFonts w:ascii="Arial" w:hAnsi="Arial" w:cs="Arial"/>
          <w:b/>
          <w:sz w:val="14"/>
          <w:szCs w:val="14"/>
        </w:rPr>
        <w:t>.</w:t>
      </w:r>
      <w:r w:rsidRPr="00071F2C">
        <w:rPr>
          <w:rFonts w:ascii="Arial" w:hAnsi="Arial" w:cs="Arial"/>
          <w:sz w:val="14"/>
          <w:szCs w:val="14"/>
        </w:rPr>
        <w:t xml:space="preserve"> </w:t>
      </w:r>
      <w:r w:rsidR="00462935">
        <w:rPr>
          <w:rFonts w:ascii="Arial" w:hAnsi="Arial" w:cs="Arial"/>
          <w:sz w:val="14"/>
          <w:szCs w:val="14"/>
        </w:rPr>
        <w:t>Cyclisation to give the core structure</w:t>
      </w:r>
      <w:r w:rsidR="004E5D40">
        <w:rPr>
          <w:rFonts w:ascii="Arial" w:hAnsi="Arial" w:cs="Arial"/>
          <w:sz w:val="14"/>
          <w:szCs w:val="14"/>
        </w:rPr>
        <w:t xml:space="preserve"> </w:t>
      </w:r>
      <w:r w:rsidR="004E5D40" w:rsidRPr="004E5D40">
        <w:rPr>
          <w:rFonts w:ascii="Arial" w:hAnsi="Arial" w:cs="Arial"/>
          <w:b/>
          <w:sz w:val="14"/>
          <w:szCs w:val="14"/>
        </w:rPr>
        <w:t>9</w:t>
      </w:r>
      <w:r w:rsidR="00462935">
        <w:rPr>
          <w:rFonts w:ascii="Arial" w:hAnsi="Arial" w:cs="Arial"/>
          <w:sz w:val="14"/>
          <w:szCs w:val="14"/>
        </w:rPr>
        <w:t xml:space="preserve"> of clausenamide </w:t>
      </w:r>
      <w:r w:rsidR="00CF0939">
        <w:rPr>
          <w:rFonts w:ascii="Arial" w:hAnsi="Arial" w:cs="Arial"/>
          <w:b/>
          <w:sz w:val="14"/>
          <w:szCs w:val="14"/>
        </w:rPr>
        <w:t>5</w:t>
      </w:r>
      <w:r w:rsidRPr="00071F2C">
        <w:rPr>
          <w:rFonts w:ascii="Arial" w:hAnsi="Arial" w:cs="Arial"/>
          <w:sz w:val="14"/>
          <w:szCs w:val="14"/>
        </w:rPr>
        <w:t>.</w:t>
      </w:r>
    </w:p>
    <w:p w:rsidR="00936B61" w:rsidRDefault="00936B61" w:rsidP="00936B61">
      <w:pPr>
        <w:spacing w:line="276" w:lineRule="auto"/>
        <w:ind w:firstLine="425"/>
        <w:jc w:val="both"/>
        <w:rPr>
          <w:rFonts w:ascii="Arial" w:hAnsi="Arial" w:cs="Arial"/>
          <w:sz w:val="17"/>
          <w:szCs w:val="17"/>
          <w:lang w:val="en-GB"/>
        </w:rPr>
      </w:pPr>
    </w:p>
    <w:p w:rsidR="00D13728" w:rsidRDefault="00551555" w:rsidP="00462935">
      <w:pPr>
        <w:spacing w:line="276" w:lineRule="auto"/>
        <w:ind w:firstLine="425"/>
        <w:jc w:val="both"/>
        <w:rPr>
          <w:rFonts w:ascii="Arial" w:hAnsi="Arial" w:cs="Arial"/>
          <w:sz w:val="17"/>
          <w:szCs w:val="17"/>
          <w:lang w:val="en-GB"/>
        </w:rPr>
      </w:pPr>
      <w:r>
        <w:rPr>
          <w:rFonts w:ascii="Arial" w:hAnsi="Arial" w:cs="Arial"/>
          <w:sz w:val="17"/>
          <w:szCs w:val="17"/>
          <w:lang w:val="en-GB"/>
        </w:rPr>
        <w:t>Following successful cyclisation and demonstration that the reaction was indeed feasible, we attempted</w:t>
      </w:r>
      <w:r w:rsidR="00902555">
        <w:rPr>
          <w:rFonts w:ascii="Arial" w:hAnsi="Arial" w:cs="Arial"/>
          <w:sz w:val="17"/>
          <w:szCs w:val="17"/>
          <w:lang w:val="en-GB"/>
        </w:rPr>
        <w:t xml:space="preserve"> to optimise the reaction yield </w:t>
      </w:r>
      <w:r>
        <w:rPr>
          <w:rFonts w:ascii="Arial" w:hAnsi="Arial" w:cs="Arial"/>
          <w:sz w:val="17"/>
          <w:szCs w:val="17"/>
          <w:lang w:val="en-GB"/>
        </w:rPr>
        <w:t>with a</w:t>
      </w:r>
      <w:r w:rsidR="00902555">
        <w:rPr>
          <w:rFonts w:ascii="Arial" w:hAnsi="Arial" w:cs="Arial"/>
          <w:sz w:val="17"/>
          <w:szCs w:val="17"/>
          <w:lang w:val="en-GB"/>
        </w:rPr>
        <w:t xml:space="preserve"> range of Lewis acids, alteration of reaction time and solvent as shown below to obtain the core structure of clausenamide </w:t>
      </w:r>
      <w:r w:rsidR="00A54E25">
        <w:rPr>
          <w:rFonts w:ascii="Arial" w:hAnsi="Arial" w:cs="Arial"/>
          <w:b/>
          <w:sz w:val="17"/>
          <w:szCs w:val="17"/>
          <w:lang w:val="en-GB"/>
        </w:rPr>
        <w:t>5</w:t>
      </w:r>
      <w:r w:rsidR="00BB0376">
        <w:rPr>
          <w:rFonts w:ascii="Arial" w:hAnsi="Arial" w:cs="Arial"/>
          <w:sz w:val="17"/>
          <w:szCs w:val="17"/>
          <w:lang w:val="en-GB"/>
        </w:rPr>
        <w:t xml:space="preserve"> </w:t>
      </w:r>
      <w:r w:rsidR="00902555">
        <w:rPr>
          <w:rFonts w:ascii="Arial" w:hAnsi="Arial" w:cs="Arial"/>
          <w:sz w:val="17"/>
          <w:szCs w:val="17"/>
          <w:lang w:val="en-GB"/>
        </w:rPr>
        <w:t>(Table 1).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425"/>
        <w:gridCol w:w="776"/>
        <w:gridCol w:w="812"/>
        <w:gridCol w:w="574"/>
        <w:gridCol w:w="1018"/>
        <w:gridCol w:w="981"/>
      </w:tblGrid>
      <w:tr w:rsidR="00FB7324" w:rsidRPr="007F20D9" w:rsidTr="00C55AFD">
        <w:trPr>
          <w:trHeight w:val="238"/>
        </w:trPr>
        <w:tc>
          <w:tcPr>
            <w:tcW w:w="250" w:type="dxa"/>
          </w:tcPr>
          <w:p w:rsidR="00FB7324" w:rsidRPr="007F20D9" w:rsidRDefault="00FB7324" w:rsidP="00BB0376">
            <w:pPr>
              <w:pStyle w:val="TableSpacer"/>
              <w:spacing w:before="240"/>
            </w:pPr>
          </w:p>
        </w:tc>
        <w:tc>
          <w:tcPr>
            <w:tcW w:w="4586" w:type="dxa"/>
            <w:gridSpan w:val="6"/>
            <w:shd w:val="clear" w:color="auto" w:fill="auto"/>
          </w:tcPr>
          <w:p w:rsidR="00FB7324" w:rsidRPr="007F20D9" w:rsidRDefault="00FB7324" w:rsidP="00BB0376">
            <w:pPr>
              <w:pStyle w:val="TableSpacer"/>
              <w:spacing w:before="240"/>
            </w:pPr>
          </w:p>
        </w:tc>
      </w:tr>
      <w:tr w:rsidR="00FB7324" w:rsidTr="003A53AA">
        <w:tc>
          <w:tcPr>
            <w:tcW w:w="250" w:type="dxa"/>
            <w:tcBorders>
              <w:bottom w:val="single" w:sz="8" w:space="0" w:color="000000"/>
            </w:tcBorders>
          </w:tcPr>
          <w:p w:rsidR="00FB7324" w:rsidRPr="00B11686" w:rsidRDefault="00FB7324" w:rsidP="00462935">
            <w:pPr>
              <w:pStyle w:val="TableCaption"/>
              <w:rPr>
                <w:b/>
              </w:rPr>
            </w:pPr>
          </w:p>
        </w:tc>
        <w:tc>
          <w:tcPr>
            <w:tcW w:w="4586" w:type="dxa"/>
            <w:gridSpan w:val="6"/>
            <w:tcBorders>
              <w:bottom w:val="single" w:sz="8" w:space="0" w:color="000000"/>
            </w:tcBorders>
            <w:shd w:val="clear" w:color="auto" w:fill="auto"/>
          </w:tcPr>
          <w:p w:rsidR="00FB7324" w:rsidRDefault="00FB7324" w:rsidP="00CF0939">
            <w:pPr>
              <w:pStyle w:val="TableCaption"/>
            </w:pPr>
            <w:r w:rsidRPr="00B11686">
              <w:rPr>
                <w:b/>
              </w:rPr>
              <w:t>Table 1.</w:t>
            </w:r>
            <w:r>
              <w:t xml:space="preserve"> Exploration of a range of Lewis acids and conditions for the formation of the core structure of clausenamide</w:t>
            </w:r>
            <w:r w:rsidR="00BB0376">
              <w:t xml:space="preserve"> </w:t>
            </w:r>
            <w:r w:rsidR="00CF0939">
              <w:rPr>
                <w:b/>
              </w:rPr>
              <w:t>5</w:t>
            </w:r>
            <w:r>
              <w:t xml:space="preserve">. </w:t>
            </w:r>
          </w:p>
        </w:tc>
      </w:tr>
      <w:tr w:rsidR="00FB7324" w:rsidRPr="00EA067A" w:rsidTr="003A53AA">
        <w:tc>
          <w:tcPr>
            <w:tcW w:w="67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B7324" w:rsidRPr="00EA067A" w:rsidRDefault="00FB7324" w:rsidP="00FB7324">
            <w:pPr>
              <w:pStyle w:val="TableHead"/>
              <w:jc w:val="center"/>
            </w:pPr>
            <w:r>
              <w:t xml:space="preserve">Entry </w:t>
            </w:r>
          </w:p>
        </w:tc>
        <w:tc>
          <w:tcPr>
            <w:tcW w:w="776" w:type="dxa"/>
            <w:tcBorders>
              <w:top w:val="single" w:sz="8" w:space="0" w:color="000000"/>
              <w:bottom w:val="single" w:sz="8" w:space="0" w:color="000000"/>
            </w:tcBorders>
          </w:tcPr>
          <w:p w:rsidR="00FB7324" w:rsidRPr="00EA067A" w:rsidRDefault="00FB7324" w:rsidP="00FB7324">
            <w:pPr>
              <w:pStyle w:val="TableHead"/>
              <w:jc w:val="center"/>
            </w:pPr>
            <w:r>
              <w:t>Lewis acid</w:t>
            </w:r>
          </w:p>
        </w:tc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</w:tcPr>
          <w:p w:rsidR="00FB7324" w:rsidRPr="00EA067A" w:rsidRDefault="00FB7324" w:rsidP="00FB7324">
            <w:pPr>
              <w:pStyle w:val="TableHead"/>
              <w:jc w:val="center"/>
            </w:pPr>
            <w:r>
              <w:t>Solvent</w:t>
            </w:r>
          </w:p>
        </w:tc>
        <w:tc>
          <w:tcPr>
            <w:tcW w:w="574" w:type="dxa"/>
            <w:tcBorders>
              <w:top w:val="single" w:sz="8" w:space="0" w:color="000000"/>
              <w:bottom w:val="single" w:sz="8" w:space="0" w:color="000000"/>
            </w:tcBorders>
          </w:tcPr>
          <w:p w:rsidR="00FB7324" w:rsidRDefault="00FB7324" w:rsidP="00FB7324">
            <w:pPr>
              <w:pStyle w:val="TableHead"/>
              <w:jc w:val="center"/>
            </w:pPr>
            <w:r>
              <w:t>Time</w:t>
            </w:r>
          </w:p>
          <w:p w:rsidR="00FB7324" w:rsidRDefault="00FB7324" w:rsidP="00FB7324">
            <w:pPr>
              <w:pStyle w:val="TableHead"/>
              <w:jc w:val="center"/>
            </w:pPr>
            <w:r>
              <w:t>h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</w:tcBorders>
          </w:tcPr>
          <w:p w:rsidR="00FB7324" w:rsidRPr="00EA067A" w:rsidRDefault="00FB7324" w:rsidP="00FB7324">
            <w:pPr>
              <w:pStyle w:val="TableHead"/>
              <w:jc w:val="center"/>
            </w:pPr>
            <w:r>
              <w:t xml:space="preserve">Temperature </w:t>
            </w:r>
            <w:r>
              <w:rPr>
                <w:rFonts w:cs="Arial"/>
              </w:rPr>
              <w:t>º</w:t>
            </w:r>
            <w:r>
              <w:t>C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</w:tcBorders>
          </w:tcPr>
          <w:p w:rsidR="00FB7324" w:rsidRDefault="00FB7324" w:rsidP="00FB7324">
            <w:pPr>
              <w:pStyle w:val="TableHead"/>
              <w:jc w:val="center"/>
            </w:pPr>
            <w:r>
              <w:t>Yield</w:t>
            </w:r>
          </w:p>
          <w:p w:rsidR="00FB7324" w:rsidRPr="00EA067A" w:rsidRDefault="00FB7324" w:rsidP="00FB7324">
            <w:pPr>
              <w:pStyle w:val="TableHead"/>
              <w:jc w:val="center"/>
            </w:pPr>
            <w:r>
              <w:t>(%)</w:t>
            </w:r>
          </w:p>
        </w:tc>
      </w:tr>
      <w:tr w:rsidR="00FB7324" w:rsidRPr="00324724" w:rsidTr="003A53AA">
        <w:tc>
          <w:tcPr>
            <w:tcW w:w="675" w:type="dxa"/>
            <w:gridSpan w:val="2"/>
            <w:tcBorders>
              <w:top w:val="single" w:sz="8" w:space="0" w:color="000000"/>
            </w:tcBorders>
          </w:tcPr>
          <w:p w:rsidR="00FB7324" w:rsidRPr="00324724" w:rsidRDefault="00FB7324" w:rsidP="00FB7324">
            <w:pPr>
              <w:pStyle w:val="TableBody"/>
              <w:jc w:val="center"/>
            </w:pPr>
            <w:r w:rsidRPr="00324724">
              <w:t>1</w:t>
            </w:r>
          </w:p>
        </w:tc>
        <w:tc>
          <w:tcPr>
            <w:tcW w:w="776" w:type="dxa"/>
            <w:tcBorders>
              <w:top w:val="single" w:sz="8" w:space="0" w:color="000000"/>
            </w:tcBorders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SnCl</w:t>
            </w:r>
            <w:r w:rsidRPr="00FB7324">
              <w:rPr>
                <w:vertAlign w:val="subscript"/>
              </w:rPr>
              <w:t>4</w:t>
            </w:r>
          </w:p>
        </w:tc>
        <w:tc>
          <w:tcPr>
            <w:tcW w:w="812" w:type="dxa"/>
            <w:tcBorders>
              <w:top w:val="single" w:sz="8" w:space="0" w:color="000000"/>
            </w:tcBorders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DCM</w:t>
            </w:r>
          </w:p>
        </w:tc>
        <w:tc>
          <w:tcPr>
            <w:tcW w:w="574" w:type="dxa"/>
            <w:tcBorders>
              <w:top w:val="single" w:sz="8" w:space="0" w:color="000000"/>
            </w:tcBorders>
          </w:tcPr>
          <w:p w:rsidR="00FB7324" w:rsidRPr="00324724" w:rsidRDefault="00222CDD" w:rsidP="00FB7324">
            <w:pPr>
              <w:pStyle w:val="TableBody"/>
              <w:jc w:val="center"/>
            </w:pPr>
            <w:r>
              <w:t>2</w:t>
            </w:r>
          </w:p>
        </w:tc>
        <w:tc>
          <w:tcPr>
            <w:tcW w:w="1018" w:type="dxa"/>
            <w:tcBorders>
              <w:top w:val="single" w:sz="8" w:space="0" w:color="000000"/>
            </w:tcBorders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40</w:t>
            </w:r>
          </w:p>
        </w:tc>
        <w:tc>
          <w:tcPr>
            <w:tcW w:w="981" w:type="dxa"/>
            <w:tcBorders>
              <w:top w:val="single" w:sz="8" w:space="0" w:color="000000"/>
            </w:tcBorders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32</w:t>
            </w:r>
          </w:p>
        </w:tc>
      </w:tr>
      <w:tr w:rsidR="00FB7324" w:rsidRPr="00324724" w:rsidTr="003A53AA">
        <w:tc>
          <w:tcPr>
            <w:tcW w:w="675" w:type="dxa"/>
            <w:gridSpan w:val="2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FB7324" w:rsidRDefault="00FB7324" w:rsidP="00FB7324">
            <w:pPr>
              <w:pStyle w:val="TableBody"/>
              <w:jc w:val="center"/>
            </w:pPr>
            <w:r>
              <w:t>AlCl</w:t>
            </w:r>
            <w:r w:rsidRPr="00FB7324">
              <w:rPr>
                <w:vertAlign w:val="subscript"/>
              </w:rPr>
              <w:t>3</w:t>
            </w:r>
          </w:p>
        </w:tc>
        <w:tc>
          <w:tcPr>
            <w:tcW w:w="812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DCM</w:t>
            </w:r>
          </w:p>
        </w:tc>
        <w:tc>
          <w:tcPr>
            <w:tcW w:w="574" w:type="dxa"/>
          </w:tcPr>
          <w:p w:rsidR="00FB7324" w:rsidRPr="00324724" w:rsidRDefault="00222CDD" w:rsidP="00FB7324">
            <w:pPr>
              <w:pStyle w:val="TableBody"/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40</w:t>
            </w:r>
          </w:p>
        </w:tc>
        <w:tc>
          <w:tcPr>
            <w:tcW w:w="981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21</w:t>
            </w:r>
          </w:p>
        </w:tc>
      </w:tr>
      <w:tr w:rsidR="00FB7324" w:rsidRPr="00324724" w:rsidTr="003A53AA">
        <w:tc>
          <w:tcPr>
            <w:tcW w:w="675" w:type="dxa"/>
            <w:gridSpan w:val="2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FB7324" w:rsidRDefault="00FB7324" w:rsidP="00FB7324">
            <w:pPr>
              <w:pStyle w:val="TableBody"/>
              <w:jc w:val="center"/>
            </w:pPr>
            <w:r>
              <w:t>TiCl</w:t>
            </w:r>
            <w:r w:rsidRPr="00FB7324">
              <w:rPr>
                <w:vertAlign w:val="subscript"/>
              </w:rPr>
              <w:t>4</w:t>
            </w:r>
          </w:p>
        </w:tc>
        <w:tc>
          <w:tcPr>
            <w:tcW w:w="812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DCM</w:t>
            </w:r>
          </w:p>
        </w:tc>
        <w:tc>
          <w:tcPr>
            <w:tcW w:w="574" w:type="dxa"/>
          </w:tcPr>
          <w:p w:rsidR="00FB7324" w:rsidRPr="00324724" w:rsidRDefault="00222CDD" w:rsidP="00FB7324">
            <w:pPr>
              <w:pStyle w:val="TableBody"/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40</w:t>
            </w:r>
          </w:p>
        </w:tc>
        <w:tc>
          <w:tcPr>
            <w:tcW w:w="981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47</w:t>
            </w:r>
          </w:p>
        </w:tc>
      </w:tr>
      <w:tr w:rsidR="00FB7324" w:rsidRPr="00324724" w:rsidTr="003A53AA">
        <w:tc>
          <w:tcPr>
            <w:tcW w:w="675" w:type="dxa"/>
            <w:gridSpan w:val="2"/>
          </w:tcPr>
          <w:p w:rsidR="00FB7324" w:rsidRDefault="00FB7324" w:rsidP="00FB7324">
            <w:pPr>
              <w:pStyle w:val="TableBody"/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FeCl</w:t>
            </w:r>
            <w:r w:rsidRPr="00FB7324">
              <w:rPr>
                <w:vertAlign w:val="subscript"/>
              </w:rPr>
              <w:t>3</w:t>
            </w:r>
          </w:p>
        </w:tc>
        <w:tc>
          <w:tcPr>
            <w:tcW w:w="812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DCM</w:t>
            </w:r>
          </w:p>
        </w:tc>
        <w:tc>
          <w:tcPr>
            <w:tcW w:w="574" w:type="dxa"/>
          </w:tcPr>
          <w:p w:rsidR="00FB7324" w:rsidRPr="00324724" w:rsidRDefault="00222CDD" w:rsidP="00FB7324">
            <w:pPr>
              <w:pStyle w:val="TableBody"/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40</w:t>
            </w:r>
          </w:p>
        </w:tc>
        <w:tc>
          <w:tcPr>
            <w:tcW w:w="981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43</w:t>
            </w:r>
          </w:p>
        </w:tc>
      </w:tr>
      <w:tr w:rsidR="00FB7324" w:rsidRPr="00324724" w:rsidTr="003A53AA">
        <w:tc>
          <w:tcPr>
            <w:tcW w:w="675" w:type="dxa"/>
            <w:gridSpan w:val="2"/>
          </w:tcPr>
          <w:p w:rsidR="00FB7324" w:rsidRDefault="00FB7324" w:rsidP="00FB7324">
            <w:pPr>
              <w:pStyle w:val="TableBody"/>
              <w:jc w:val="center"/>
            </w:pPr>
            <w:r>
              <w:t>5</w:t>
            </w:r>
          </w:p>
        </w:tc>
        <w:tc>
          <w:tcPr>
            <w:tcW w:w="776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InCl</w:t>
            </w:r>
            <w:r w:rsidRPr="00FB7324">
              <w:rPr>
                <w:vertAlign w:val="subscript"/>
              </w:rPr>
              <w:t>3</w:t>
            </w:r>
          </w:p>
        </w:tc>
        <w:tc>
          <w:tcPr>
            <w:tcW w:w="812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DCM</w:t>
            </w:r>
          </w:p>
        </w:tc>
        <w:tc>
          <w:tcPr>
            <w:tcW w:w="574" w:type="dxa"/>
          </w:tcPr>
          <w:p w:rsidR="00FB7324" w:rsidRPr="00324724" w:rsidRDefault="00222CDD" w:rsidP="00FB7324">
            <w:pPr>
              <w:pStyle w:val="TableBody"/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40</w:t>
            </w:r>
          </w:p>
        </w:tc>
        <w:tc>
          <w:tcPr>
            <w:tcW w:w="981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60</w:t>
            </w:r>
          </w:p>
        </w:tc>
      </w:tr>
      <w:tr w:rsidR="00FB7324" w:rsidRPr="00324724" w:rsidTr="003A53AA">
        <w:tc>
          <w:tcPr>
            <w:tcW w:w="675" w:type="dxa"/>
            <w:gridSpan w:val="2"/>
          </w:tcPr>
          <w:p w:rsidR="00FB7324" w:rsidRDefault="00FB7324" w:rsidP="00FB7324">
            <w:pPr>
              <w:pStyle w:val="TableBody"/>
              <w:jc w:val="center"/>
            </w:pPr>
            <w:r>
              <w:t>6</w:t>
            </w:r>
          </w:p>
        </w:tc>
        <w:tc>
          <w:tcPr>
            <w:tcW w:w="776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Zn(OTf)</w:t>
            </w:r>
            <w:r w:rsidRPr="00FB7324">
              <w:rPr>
                <w:vertAlign w:val="subscript"/>
              </w:rPr>
              <w:t>2</w:t>
            </w:r>
          </w:p>
        </w:tc>
        <w:tc>
          <w:tcPr>
            <w:tcW w:w="812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DCM</w:t>
            </w:r>
          </w:p>
        </w:tc>
        <w:tc>
          <w:tcPr>
            <w:tcW w:w="574" w:type="dxa"/>
          </w:tcPr>
          <w:p w:rsidR="00FB7324" w:rsidRPr="00324724" w:rsidRDefault="00222CDD" w:rsidP="00FB7324">
            <w:pPr>
              <w:pStyle w:val="TableBody"/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40</w:t>
            </w:r>
          </w:p>
        </w:tc>
        <w:tc>
          <w:tcPr>
            <w:tcW w:w="981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66</w:t>
            </w:r>
          </w:p>
        </w:tc>
      </w:tr>
      <w:tr w:rsidR="00FB7324" w:rsidRPr="00324724" w:rsidTr="003A53AA">
        <w:tc>
          <w:tcPr>
            <w:tcW w:w="675" w:type="dxa"/>
            <w:gridSpan w:val="2"/>
          </w:tcPr>
          <w:p w:rsidR="00FB7324" w:rsidRDefault="00FB7324" w:rsidP="00FB7324">
            <w:pPr>
              <w:pStyle w:val="TableBody"/>
              <w:jc w:val="center"/>
            </w:pPr>
            <w:r>
              <w:t>7</w:t>
            </w:r>
          </w:p>
        </w:tc>
        <w:tc>
          <w:tcPr>
            <w:tcW w:w="776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BF</w:t>
            </w:r>
            <w:r w:rsidRPr="003A53AA">
              <w:rPr>
                <w:vertAlign w:val="subscript"/>
              </w:rPr>
              <w:t>3</w:t>
            </w:r>
            <w:r>
              <w:t>.OEt</w:t>
            </w:r>
            <w:r w:rsidRPr="00FB7324">
              <w:rPr>
                <w:vertAlign w:val="subscript"/>
              </w:rPr>
              <w:t>2</w:t>
            </w:r>
          </w:p>
        </w:tc>
        <w:tc>
          <w:tcPr>
            <w:tcW w:w="812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DCM</w:t>
            </w:r>
          </w:p>
        </w:tc>
        <w:tc>
          <w:tcPr>
            <w:tcW w:w="574" w:type="dxa"/>
          </w:tcPr>
          <w:p w:rsidR="00FB7324" w:rsidRPr="00324724" w:rsidRDefault="00222CDD" w:rsidP="00FB7324">
            <w:pPr>
              <w:pStyle w:val="TableBody"/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40</w:t>
            </w:r>
          </w:p>
        </w:tc>
        <w:tc>
          <w:tcPr>
            <w:tcW w:w="981" w:type="dxa"/>
          </w:tcPr>
          <w:p w:rsidR="00FB7324" w:rsidRPr="00324724" w:rsidRDefault="00C008B3" w:rsidP="00FB7324">
            <w:pPr>
              <w:pStyle w:val="TableBody"/>
              <w:jc w:val="center"/>
            </w:pPr>
            <w:r>
              <w:t>70</w:t>
            </w:r>
          </w:p>
        </w:tc>
      </w:tr>
      <w:tr w:rsidR="00C008B3" w:rsidRPr="00324724" w:rsidTr="003A53AA">
        <w:tc>
          <w:tcPr>
            <w:tcW w:w="675" w:type="dxa"/>
            <w:gridSpan w:val="2"/>
          </w:tcPr>
          <w:p w:rsidR="00C008B3" w:rsidRDefault="00C008B3" w:rsidP="00FB7324">
            <w:pPr>
              <w:pStyle w:val="TableBody"/>
              <w:jc w:val="center"/>
            </w:pPr>
            <w:r>
              <w:t>8</w:t>
            </w:r>
          </w:p>
        </w:tc>
        <w:tc>
          <w:tcPr>
            <w:tcW w:w="776" w:type="dxa"/>
          </w:tcPr>
          <w:p w:rsidR="00C008B3" w:rsidRDefault="00C008B3" w:rsidP="00FB7324">
            <w:pPr>
              <w:pStyle w:val="TableBody"/>
              <w:jc w:val="center"/>
            </w:pPr>
            <w:r>
              <w:t>BF</w:t>
            </w:r>
            <w:r w:rsidRPr="003A53AA">
              <w:rPr>
                <w:vertAlign w:val="subscript"/>
              </w:rPr>
              <w:t>3</w:t>
            </w:r>
            <w:r>
              <w:t>.OEt</w:t>
            </w:r>
            <w:r w:rsidRPr="00FB7324">
              <w:rPr>
                <w:vertAlign w:val="subscript"/>
              </w:rPr>
              <w:t>2</w:t>
            </w:r>
          </w:p>
        </w:tc>
        <w:tc>
          <w:tcPr>
            <w:tcW w:w="812" w:type="dxa"/>
          </w:tcPr>
          <w:p w:rsidR="00C008B3" w:rsidRDefault="00210215" w:rsidP="00FB7324">
            <w:pPr>
              <w:pStyle w:val="TableBody"/>
              <w:jc w:val="center"/>
            </w:pPr>
            <w:r>
              <w:t>DCM</w:t>
            </w:r>
          </w:p>
        </w:tc>
        <w:tc>
          <w:tcPr>
            <w:tcW w:w="574" w:type="dxa"/>
          </w:tcPr>
          <w:p w:rsidR="00C008B3" w:rsidRDefault="00C008B3" w:rsidP="00FB7324">
            <w:pPr>
              <w:pStyle w:val="TableBody"/>
              <w:jc w:val="center"/>
            </w:pPr>
            <w:r>
              <w:t>12</w:t>
            </w:r>
          </w:p>
        </w:tc>
        <w:tc>
          <w:tcPr>
            <w:tcW w:w="1018" w:type="dxa"/>
          </w:tcPr>
          <w:p w:rsidR="00C008B3" w:rsidRDefault="00210215" w:rsidP="00FB7324">
            <w:pPr>
              <w:pStyle w:val="TableBody"/>
              <w:jc w:val="center"/>
            </w:pPr>
            <w:r>
              <w:t>60</w:t>
            </w:r>
          </w:p>
        </w:tc>
        <w:tc>
          <w:tcPr>
            <w:tcW w:w="981" w:type="dxa"/>
          </w:tcPr>
          <w:p w:rsidR="00C008B3" w:rsidRDefault="00C008B3" w:rsidP="00FB7324">
            <w:pPr>
              <w:pStyle w:val="TableBody"/>
              <w:jc w:val="center"/>
            </w:pPr>
            <w:r>
              <w:t>58</w:t>
            </w:r>
          </w:p>
        </w:tc>
      </w:tr>
      <w:tr w:rsidR="00FB7324" w:rsidRPr="00324724" w:rsidTr="003A53AA">
        <w:tc>
          <w:tcPr>
            <w:tcW w:w="675" w:type="dxa"/>
            <w:gridSpan w:val="2"/>
          </w:tcPr>
          <w:p w:rsidR="00FB7324" w:rsidRDefault="00FB7324" w:rsidP="00FB7324">
            <w:pPr>
              <w:pStyle w:val="TableBody"/>
              <w:jc w:val="center"/>
            </w:pPr>
            <w:r>
              <w:t>8</w:t>
            </w:r>
          </w:p>
        </w:tc>
        <w:tc>
          <w:tcPr>
            <w:tcW w:w="776" w:type="dxa"/>
          </w:tcPr>
          <w:p w:rsidR="00FB7324" w:rsidRDefault="00FB7324" w:rsidP="00FB7324">
            <w:pPr>
              <w:pStyle w:val="TableBody"/>
              <w:jc w:val="center"/>
            </w:pPr>
            <w:r>
              <w:t>BF</w:t>
            </w:r>
            <w:r w:rsidRPr="003A53AA">
              <w:rPr>
                <w:vertAlign w:val="subscript"/>
              </w:rPr>
              <w:t>3</w:t>
            </w:r>
            <w:r>
              <w:t>.OEt</w:t>
            </w:r>
            <w:r w:rsidRPr="00FB7324">
              <w:rPr>
                <w:vertAlign w:val="subscript"/>
              </w:rPr>
              <w:t>2</w:t>
            </w:r>
          </w:p>
        </w:tc>
        <w:tc>
          <w:tcPr>
            <w:tcW w:w="812" w:type="dxa"/>
          </w:tcPr>
          <w:p w:rsidR="00FB7324" w:rsidRDefault="00FB7324" w:rsidP="00FB7324">
            <w:pPr>
              <w:pStyle w:val="TableBody"/>
              <w:jc w:val="center"/>
            </w:pPr>
            <w:r>
              <w:t>1,2-DCE</w:t>
            </w:r>
          </w:p>
        </w:tc>
        <w:tc>
          <w:tcPr>
            <w:tcW w:w="574" w:type="dxa"/>
          </w:tcPr>
          <w:p w:rsidR="00FB7324" w:rsidRPr="00324724" w:rsidRDefault="00222CDD" w:rsidP="00FB7324">
            <w:pPr>
              <w:pStyle w:val="TableBody"/>
              <w:jc w:val="center"/>
            </w:pPr>
            <w:r>
              <w:t>6</w:t>
            </w:r>
          </w:p>
        </w:tc>
        <w:tc>
          <w:tcPr>
            <w:tcW w:w="1018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60</w:t>
            </w:r>
          </w:p>
        </w:tc>
        <w:tc>
          <w:tcPr>
            <w:tcW w:w="981" w:type="dxa"/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62</w:t>
            </w:r>
          </w:p>
        </w:tc>
      </w:tr>
      <w:tr w:rsidR="00FB7324" w:rsidRPr="00324724" w:rsidTr="003A53AA">
        <w:tc>
          <w:tcPr>
            <w:tcW w:w="675" w:type="dxa"/>
            <w:gridSpan w:val="2"/>
            <w:tcBorders>
              <w:bottom w:val="single" w:sz="8" w:space="0" w:color="000000"/>
            </w:tcBorders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single" w:sz="8" w:space="0" w:color="000000"/>
            </w:tcBorders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BF</w:t>
            </w:r>
            <w:r w:rsidRPr="003A53AA">
              <w:rPr>
                <w:vertAlign w:val="subscript"/>
              </w:rPr>
              <w:t>3</w:t>
            </w:r>
            <w:r>
              <w:t>.OEt</w:t>
            </w:r>
            <w:r w:rsidRPr="00FB7324">
              <w:rPr>
                <w:vertAlign w:val="subscript"/>
              </w:rPr>
              <w:t>2</w:t>
            </w:r>
          </w:p>
        </w:tc>
        <w:tc>
          <w:tcPr>
            <w:tcW w:w="812" w:type="dxa"/>
            <w:tcBorders>
              <w:bottom w:val="single" w:sz="8" w:space="0" w:color="000000"/>
            </w:tcBorders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Neat</w:t>
            </w:r>
          </w:p>
        </w:tc>
        <w:tc>
          <w:tcPr>
            <w:tcW w:w="574" w:type="dxa"/>
            <w:tcBorders>
              <w:bottom w:val="single" w:sz="8" w:space="0" w:color="000000"/>
            </w:tcBorders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24</w:t>
            </w:r>
          </w:p>
        </w:tc>
        <w:tc>
          <w:tcPr>
            <w:tcW w:w="1018" w:type="dxa"/>
            <w:tcBorders>
              <w:bottom w:val="single" w:sz="8" w:space="0" w:color="000000"/>
            </w:tcBorders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ambient</w:t>
            </w:r>
          </w:p>
        </w:tc>
        <w:tc>
          <w:tcPr>
            <w:tcW w:w="981" w:type="dxa"/>
            <w:tcBorders>
              <w:bottom w:val="single" w:sz="8" w:space="0" w:color="000000"/>
            </w:tcBorders>
          </w:tcPr>
          <w:p w:rsidR="00FB7324" w:rsidRPr="00324724" w:rsidRDefault="00FB7324" w:rsidP="00FB7324">
            <w:pPr>
              <w:pStyle w:val="TableBody"/>
              <w:jc w:val="center"/>
            </w:pPr>
            <w:r>
              <w:t>72</w:t>
            </w:r>
          </w:p>
        </w:tc>
      </w:tr>
      <w:tr w:rsidR="00FB7324" w:rsidRPr="00324724" w:rsidTr="003A53AA">
        <w:tc>
          <w:tcPr>
            <w:tcW w:w="250" w:type="dxa"/>
            <w:tcBorders>
              <w:top w:val="single" w:sz="8" w:space="0" w:color="000000"/>
            </w:tcBorders>
          </w:tcPr>
          <w:p w:rsidR="00FB7324" w:rsidRDefault="00FB7324" w:rsidP="00BB0376">
            <w:pPr>
              <w:pStyle w:val="TableFoot"/>
            </w:pPr>
          </w:p>
        </w:tc>
        <w:tc>
          <w:tcPr>
            <w:tcW w:w="4586" w:type="dxa"/>
            <w:gridSpan w:val="6"/>
            <w:tcBorders>
              <w:top w:val="single" w:sz="8" w:space="0" w:color="000000"/>
            </w:tcBorders>
          </w:tcPr>
          <w:p w:rsidR="00FB7324" w:rsidRPr="00324724" w:rsidRDefault="00FB7324" w:rsidP="00BB0376">
            <w:pPr>
              <w:pStyle w:val="TableFoot"/>
            </w:pPr>
          </w:p>
        </w:tc>
      </w:tr>
    </w:tbl>
    <w:p w:rsidR="00462935" w:rsidRDefault="00902555" w:rsidP="00462935">
      <w:pPr>
        <w:spacing w:line="276" w:lineRule="auto"/>
        <w:ind w:firstLine="425"/>
        <w:jc w:val="both"/>
        <w:rPr>
          <w:rFonts w:ascii="Arial" w:hAnsi="Arial" w:cs="Arial"/>
          <w:sz w:val="17"/>
          <w:szCs w:val="17"/>
          <w:lang w:val="en-GB"/>
        </w:rPr>
      </w:pPr>
      <w:r>
        <w:rPr>
          <w:rFonts w:ascii="Arial" w:hAnsi="Arial" w:cs="Arial"/>
          <w:sz w:val="17"/>
          <w:szCs w:val="17"/>
          <w:lang w:val="en-GB"/>
        </w:rPr>
        <w:t xml:space="preserve">As seen above, the cyclisation yield varied widely depending on the Lewis acid that was used. However, </w:t>
      </w:r>
      <w:r w:rsidR="00BB0376">
        <w:rPr>
          <w:rFonts w:ascii="Arial" w:hAnsi="Arial" w:cs="Arial"/>
          <w:sz w:val="17"/>
          <w:szCs w:val="17"/>
          <w:lang w:val="en-GB"/>
        </w:rPr>
        <w:t xml:space="preserve">changing to the use of </w:t>
      </w:r>
      <w:r>
        <w:rPr>
          <w:rFonts w:ascii="Arial" w:hAnsi="Arial" w:cs="Arial"/>
          <w:sz w:val="17"/>
          <w:szCs w:val="17"/>
          <w:lang w:val="en-GB"/>
        </w:rPr>
        <w:t xml:space="preserve">boron trifluoride led to an increase in the yield to </w:t>
      </w:r>
      <w:r>
        <w:rPr>
          <w:rFonts w:ascii="Arial" w:hAnsi="Arial" w:cs="Arial"/>
          <w:sz w:val="17"/>
          <w:szCs w:val="17"/>
          <w:lang w:val="en-GB"/>
        </w:rPr>
        <w:lastRenderedPageBreak/>
        <w:t>62% when 1,2-dichlorethane was used as solvent and the reaction heated at 60 ºC.</w:t>
      </w:r>
      <w:r w:rsidR="00BB0376">
        <w:rPr>
          <w:rFonts w:ascii="Arial" w:hAnsi="Arial" w:cs="Arial"/>
          <w:sz w:val="17"/>
          <w:szCs w:val="17"/>
          <w:lang w:val="en-GB"/>
        </w:rPr>
        <w:t xml:space="preserve"> F</w:t>
      </w:r>
      <w:r>
        <w:rPr>
          <w:rFonts w:ascii="Arial" w:hAnsi="Arial" w:cs="Arial"/>
          <w:sz w:val="17"/>
          <w:szCs w:val="17"/>
          <w:lang w:val="en-GB"/>
        </w:rPr>
        <w:t>urther optimisation of the reaction conditions via simple use of neat BF</w:t>
      </w:r>
      <w:r w:rsidRPr="00902555">
        <w:rPr>
          <w:rFonts w:ascii="Arial" w:hAnsi="Arial" w:cs="Arial"/>
          <w:sz w:val="17"/>
          <w:szCs w:val="17"/>
          <w:vertAlign w:val="subscript"/>
          <w:lang w:val="en-GB"/>
        </w:rPr>
        <w:t>3</w:t>
      </w:r>
      <w:r>
        <w:rPr>
          <w:rFonts w:ascii="Arial" w:hAnsi="Arial" w:cs="Arial"/>
          <w:sz w:val="17"/>
          <w:szCs w:val="17"/>
          <w:lang w:val="en-GB"/>
        </w:rPr>
        <w:t xml:space="preserve"> at ambient temperature led to an increase in the reaction yield to 72% with a concomitant reduction in unwanted side products. Mechanistically, our proposed reaction cyclisation involves initial activation </w:t>
      </w:r>
      <w:r w:rsidR="00A55957">
        <w:rPr>
          <w:rFonts w:ascii="Arial" w:hAnsi="Arial" w:cs="Arial"/>
          <w:sz w:val="17"/>
          <w:szCs w:val="17"/>
          <w:lang w:val="en-GB"/>
        </w:rPr>
        <w:t>of the diacetate with BF</w:t>
      </w:r>
      <w:r w:rsidR="00A55957" w:rsidRPr="000B64B1">
        <w:rPr>
          <w:rFonts w:ascii="Arial" w:hAnsi="Arial" w:cs="Arial"/>
          <w:sz w:val="17"/>
          <w:szCs w:val="17"/>
          <w:vertAlign w:val="subscript"/>
          <w:lang w:val="en-GB"/>
        </w:rPr>
        <w:t>3</w:t>
      </w:r>
      <w:r w:rsidR="00A55957">
        <w:rPr>
          <w:rFonts w:ascii="Arial" w:hAnsi="Arial" w:cs="Arial"/>
          <w:sz w:val="17"/>
          <w:szCs w:val="17"/>
          <w:lang w:val="en-GB"/>
        </w:rPr>
        <w:t xml:space="preserve"> to generate the oxonium ion </w:t>
      </w:r>
      <w:r w:rsidR="00DC04B3">
        <w:rPr>
          <w:rFonts w:ascii="Arial" w:hAnsi="Arial" w:cs="Arial"/>
          <w:b/>
          <w:sz w:val="17"/>
          <w:szCs w:val="17"/>
          <w:lang w:val="en-GB"/>
        </w:rPr>
        <w:t>17</w:t>
      </w:r>
      <w:r w:rsidR="00A55957">
        <w:rPr>
          <w:rFonts w:ascii="Arial" w:hAnsi="Arial" w:cs="Arial"/>
          <w:sz w:val="17"/>
          <w:szCs w:val="17"/>
          <w:lang w:val="en-GB"/>
        </w:rPr>
        <w:t xml:space="preserve"> which reacts with the </w:t>
      </w:r>
      <w:r w:rsidR="00551555">
        <w:rPr>
          <w:rFonts w:ascii="Arial" w:hAnsi="Arial" w:cs="Arial"/>
          <w:sz w:val="17"/>
          <w:szCs w:val="17"/>
          <w:lang w:val="en-GB"/>
        </w:rPr>
        <w:t xml:space="preserve">internal </w:t>
      </w:r>
      <w:r w:rsidR="00A55957">
        <w:rPr>
          <w:rFonts w:ascii="Arial" w:hAnsi="Arial" w:cs="Arial"/>
          <w:sz w:val="17"/>
          <w:szCs w:val="17"/>
          <w:lang w:val="en-GB"/>
        </w:rPr>
        <w:t xml:space="preserve">nucleophilic enamide to give the pyrrolidine core </w:t>
      </w:r>
      <w:r w:rsidR="00551555">
        <w:rPr>
          <w:rFonts w:ascii="Arial" w:hAnsi="Arial" w:cs="Arial"/>
          <w:b/>
          <w:sz w:val="17"/>
          <w:szCs w:val="17"/>
          <w:lang w:val="en-GB"/>
        </w:rPr>
        <w:t>18</w:t>
      </w:r>
      <w:r w:rsidR="00A55957">
        <w:rPr>
          <w:rFonts w:ascii="Arial" w:hAnsi="Arial" w:cs="Arial"/>
          <w:sz w:val="17"/>
          <w:szCs w:val="17"/>
          <w:lang w:val="en-GB"/>
        </w:rPr>
        <w:t>. Further BF</w:t>
      </w:r>
      <w:r w:rsidR="00A55957" w:rsidRPr="00A55957">
        <w:rPr>
          <w:rFonts w:ascii="Arial" w:hAnsi="Arial" w:cs="Arial"/>
          <w:sz w:val="17"/>
          <w:szCs w:val="17"/>
          <w:vertAlign w:val="subscript"/>
          <w:lang w:val="en-GB"/>
        </w:rPr>
        <w:t>3</w:t>
      </w:r>
      <w:r w:rsidR="00A55957">
        <w:rPr>
          <w:rFonts w:ascii="Arial" w:hAnsi="Arial" w:cs="Arial"/>
          <w:sz w:val="17"/>
          <w:szCs w:val="17"/>
          <w:lang w:val="en-GB"/>
        </w:rPr>
        <w:t xml:space="preserve"> mediated elimination of acetate followed by addition of water on work up and hydride rearrangement led to the core structure </w:t>
      </w:r>
      <w:r w:rsidR="00551555">
        <w:rPr>
          <w:rFonts w:ascii="Arial" w:hAnsi="Arial" w:cs="Arial"/>
          <w:b/>
          <w:sz w:val="17"/>
          <w:szCs w:val="17"/>
          <w:lang w:val="en-GB"/>
        </w:rPr>
        <w:t>9</w:t>
      </w:r>
      <w:r w:rsidR="00A55957">
        <w:rPr>
          <w:rFonts w:ascii="Arial" w:hAnsi="Arial" w:cs="Arial"/>
          <w:sz w:val="17"/>
          <w:szCs w:val="17"/>
          <w:lang w:val="en-GB"/>
        </w:rPr>
        <w:t xml:space="preserve"> of clausenamide</w:t>
      </w:r>
      <w:r w:rsidR="004C159E">
        <w:rPr>
          <w:rFonts w:ascii="Arial" w:hAnsi="Arial" w:cs="Arial"/>
          <w:sz w:val="17"/>
          <w:szCs w:val="17"/>
          <w:lang w:val="en-GB"/>
        </w:rPr>
        <w:t xml:space="preserve"> </w:t>
      </w:r>
      <w:r w:rsidR="00551555" w:rsidRPr="00551555">
        <w:rPr>
          <w:rFonts w:ascii="Arial" w:hAnsi="Arial" w:cs="Arial"/>
          <w:b/>
          <w:sz w:val="17"/>
          <w:szCs w:val="17"/>
          <w:lang w:val="en-GB"/>
        </w:rPr>
        <w:t>5</w:t>
      </w:r>
      <w:r w:rsidR="00551555">
        <w:rPr>
          <w:rFonts w:ascii="Arial" w:hAnsi="Arial" w:cs="Arial"/>
          <w:sz w:val="17"/>
          <w:szCs w:val="17"/>
          <w:lang w:val="en-GB"/>
        </w:rPr>
        <w:t xml:space="preserve"> </w:t>
      </w:r>
      <w:r w:rsidR="004C159E">
        <w:rPr>
          <w:rFonts w:ascii="Arial" w:hAnsi="Arial" w:cs="Arial"/>
          <w:sz w:val="17"/>
          <w:szCs w:val="17"/>
          <w:lang w:val="en-GB"/>
        </w:rPr>
        <w:t xml:space="preserve">(Scheme </w:t>
      </w:r>
      <w:r w:rsidR="001379F3">
        <w:rPr>
          <w:rFonts w:ascii="Arial" w:hAnsi="Arial" w:cs="Arial"/>
          <w:sz w:val="17"/>
          <w:szCs w:val="17"/>
          <w:lang w:val="en-GB"/>
        </w:rPr>
        <w:t>5</w:t>
      </w:r>
      <w:r w:rsidR="004C159E">
        <w:rPr>
          <w:rFonts w:ascii="Arial" w:hAnsi="Arial" w:cs="Arial"/>
          <w:sz w:val="17"/>
          <w:szCs w:val="17"/>
          <w:lang w:val="en-GB"/>
        </w:rPr>
        <w:t>)</w:t>
      </w:r>
      <w:r w:rsidR="00A55957">
        <w:rPr>
          <w:rFonts w:ascii="Arial" w:hAnsi="Arial" w:cs="Arial"/>
          <w:sz w:val="17"/>
          <w:szCs w:val="17"/>
          <w:lang w:val="en-GB"/>
        </w:rPr>
        <w:t xml:space="preserve">. </w:t>
      </w:r>
    </w:p>
    <w:p w:rsidR="00813072" w:rsidRDefault="00DC7E88" w:rsidP="009122C8">
      <w:pPr>
        <w:spacing w:line="276" w:lineRule="auto"/>
        <w:jc w:val="both"/>
        <w:rPr>
          <w:rFonts w:ascii="Arial" w:hAnsi="Arial" w:cs="Arial"/>
          <w:sz w:val="17"/>
          <w:szCs w:val="17"/>
          <w:lang w:val="en-GB"/>
        </w:rPr>
      </w:pPr>
      <w:r>
        <w:object w:dxaOrig="8479" w:dyaOrig="7831">
          <v:shape id="_x0000_i1029" type="#_x0000_t75" style="width:243pt;height:225pt" o:ole="">
            <v:imagedata r:id="rId22" o:title=""/>
          </v:shape>
          <o:OLEObject Type="Embed" ProgID="ChemDraw.Document.6.0" ShapeID="_x0000_i1029" DrawAspect="Content" ObjectID="_1547889022" r:id="rId23"/>
        </w:object>
      </w:r>
    </w:p>
    <w:p w:rsidR="00B361FD" w:rsidRDefault="00B361FD" w:rsidP="00B361FD">
      <w:pPr>
        <w:spacing w:before="230" w:line="276" w:lineRule="auto"/>
        <w:jc w:val="both"/>
        <w:rPr>
          <w:rFonts w:ascii="Arial" w:hAnsi="Arial" w:cs="Arial"/>
          <w:sz w:val="14"/>
          <w:szCs w:val="14"/>
        </w:rPr>
      </w:pPr>
      <w:r w:rsidRPr="00560F1B">
        <w:rPr>
          <w:rFonts w:ascii="Arial" w:hAnsi="Arial" w:cs="Arial"/>
          <w:b/>
          <w:i/>
          <w:sz w:val="14"/>
          <w:szCs w:val="14"/>
        </w:rPr>
        <w:t xml:space="preserve">Scheme </w:t>
      </w:r>
      <w:r w:rsidR="001379F3">
        <w:rPr>
          <w:rFonts w:ascii="Arial" w:hAnsi="Arial" w:cs="Arial"/>
          <w:b/>
          <w:i/>
          <w:sz w:val="14"/>
          <w:szCs w:val="14"/>
        </w:rPr>
        <w:t>5</w:t>
      </w:r>
      <w:r w:rsidRPr="00AD6845">
        <w:rPr>
          <w:rFonts w:ascii="Arial" w:hAnsi="Arial" w:cs="Arial"/>
          <w:b/>
          <w:sz w:val="14"/>
          <w:szCs w:val="14"/>
        </w:rPr>
        <w:t>.</w:t>
      </w:r>
      <w:r w:rsidRPr="00AD6845">
        <w:rPr>
          <w:rFonts w:ascii="Arial" w:hAnsi="Arial" w:cs="Arial"/>
          <w:sz w:val="14"/>
          <w:szCs w:val="14"/>
        </w:rPr>
        <w:t xml:space="preserve"> </w:t>
      </w:r>
      <w:r w:rsidR="00E55B50">
        <w:rPr>
          <w:rFonts w:ascii="Arial" w:hAnsi="Arial" w:cs="Arial"/>
          <w:sz w:val="14"/>
          <w:szCs w:val="14"/>
        </w:rPr>
        <w:t xml:space="preserve">Proposed mechanism for formation of the core structure </w:t>
      </w:r>
      <w:r w:rsidR="00E55B50" w:rsidRPr="00E55B50">
        <w:rPr>
          <w:rFonts w:ascii="Arial" w:hAnsi="Arial" w:cs="Arial"/>
          <w:b/>
          <w:sz w:val="14"/>
          <w:szCs w:val="14"/>
        </w:rPr>
        <w:t>9</w:t>
      </w:r>
      <w:r w:rsidR="00E55B50">
        <w:rPr>
          <w:rFonts w:ascii="Arial" w:hAnsi="Arial" w:cs="Arial"/>
          <w:sz w:val="14"/>
          <w:szCs w:val="14"/>
        </w:rPr>
        <w:t xml:space="preserve"> of clausenamide </w:t>
      </w:r>
      <w:r w:rsidR="0086718D">
        <w:rPr>
          <w:rFonts w:ascii="Arial" w:hAnsi="Arial" w:cs="Arial"/>
          <w:b/>
          <w:sz w:val="14"/>
          <w:szCs w:val="14"/>
        </w:rPr>
        <w:t>5</w:t>
      </w:r>
      <w:r w:rsidR="00E55B50">
        <w:rPr>
          <w:rFonts w:ascii="Arial" w:hAnsi="Arial" w:cs="Arial"/>
          <w:sz w:val="14"/>
          <w:szCs w:val="14"/>
        </w:rPr>
        <w:t>.</w:t>
      </w:r>
    </w:p>
    <w:p w:rsidR="00B43DA8" w:rsidRDefault="00B43DA8" w:rsidP="005471CB">
      <w:pPr>
        <w:pStyle w:val="P1"/>
        <w:spacing w:line="276" w:lineRule="auto"/>
        <w:ind w:firstLine="284"/>
        <w:rPr>
          <w:rFonts w:cs="Arial"/>
          <w:szCs w:val="17"/>
        </w:rPr>
      </w:pPr>
    </w:p>
    <w:p w:rsidR="00A20300" w:rsidRPr="009639EE" w:rsidRDefault="00E85104" w:rsidP="005471CB">
      <w:pPr>
        <w:pStyle w:val="P1"/>
        <w:spacing w:line="276" w:lineRule="auto"/>
        <w:ind w:firstLine="284"/>
        <w:rPr>
          <w:rFonts w:cs="Arial"/>
          <w:szCs w:val="17"/>
        </w:rPr>
      </w:pPr>
      <w:r>
        <w:rPr>
          <w:rFonts w:cs="Arial"/>
          <w:szCs w:val="17"/>
        </w:rPr>
        <w:t xml:space="preserve">Following the successful synthesis of the core structure </w:t>
      </w:r>
      <w:r w:rsidR="008D775F" w:rsidRPr="008D775F">
        <w:rPr>
          <w:rFonts w:cs="Arial"/>
          <w:b/>
          <w:szCs w:val="17"/>
        </w:rPr>
        <w:t>9</w:t>
      </w:r>
      <w:r w:rsidR="008D775F">
        <w:rPr>
          <w:rFonts w:cs="Arial"/>
          <w:szCs w:val="17"/>
        </w:rPr>
        <w:t xml:space="preserve"> </w:t>
      </w:r>
      <w:r>
        <w:rPr>
          <w:rFonts w:cs="Arial"/>
          <w:szCs w:val="17"/>
        </w:rPr>
        <w:t xml:space="preserve">of clausenamide </w:t>
      </w:r>
      <w:r w:rsidR="00551555">
        <w:rPr>
          <w:rFonts w:cs="Arial"/>
          <w:b/>
          <w:szCs w:val="17"/>
        </w:rPr>
        <w:t>5</w:t>
      </w:r>
      <w:r>
        <w:rPr>
          <w:rFonts w:cs="Arial"/>
          <w:szCs w:val="17"/>
        </w:rPr>
        <w:t xml:space="preserve"> from the diacetate cyclisation precursor </w:t>
      </w:r>
      <w:r w:rsidR="00551555">
        <w:rPr>
          <w:rFonts w:cs="Arial"/>
          <w:b/>
          <w:szCs w:val="17"/>
        </w:rPr>
        <w:t>11</w:t>
      </w:r>
      <w:r>
        <w:rPr>
          <w:rFonts w:cs="Arial"/>
          <w:szCs w:val="17"/>
        </w:rPr>
        <w:t xml:space="preserve">, we attempted to explore whether </w:t>
      </w:r>
      <w:r w:rsidR="00C43CE4">
        <w:rPr>
          <w:rFonts w:cs="Arial"/>
          <w:szCs w:val="17"/>
        </w:rPr>
        <w:t>we would be able to access the n</w:t>
      </w:r>
      <w:r>
        <w:rPr>
          <w:rFonts w:cs="Arial"/>
          <w:szCs w:val="17"/>
        </w:rPr>
        <w:t xml:space="preserve">atural product </w:t>
      </w:r>
      <w:r w:rsidR="00E55B50">
        <w:rPr>
          <w:rFonts w:cs="Arial"/>
          <w:szCs w:val="17"/>
        </w:rPr>
        <w:t>(±)-</w:t>
      </w:r>
      <w:r>
        <w:rPr>
          <w:rFonts w:cs="Arial"/>
          <w:szCs w:val="17"/>
        </w:rPr>
        <w:t xml:space="preserve">hyalodendrin </w:t>
      </w:r>
      <w:r w:rsidR="00A54E25">
        <w:rPr>
          <w:rFonts w:cs="Arial"/>
          <w:b/>
          <w:szCs w:val="17"/>
        </w:rPr>
        <w:t>3</w:t>
      </w:r>
      <w:r w:rsidR="0033609B">
        <w:rPr>
          <w:rFonts w:cs="Arial"/>
          <w:szCs w:val="17"/>
        </w:rPr>
        <w:t xml:space="preserve"> </w:t>
      </w:r>
      <w:r>
        <w:rPr>
          <w:rFonts w:cs="Arial"/>
          <w:szCs w:val="17"/>
        </w:rPr>
        <w:t xml:space="preserve">from the same </w:t>
      </w:r>
      <w:r w:rsidR="0033609B">
        <w:rPr>
          <w:rFonts w:cs="Arial"/>
          <w:szCs w:val="17"/>
        </w:rPr>
        <w:t xml:space="preserve">cyclisation </w:t>
      </w:r>
      <w:r>
        <w:rPr>
          <w:rFonts w:cs="Arial"/>
          <w:szCs w:val="17"/>
        </w:rPr>
        <w:t>precursor</w:t>
      </w:r>
      <w:r w:rsidR="0033609B">
        <w:rPr>
          <w:rFonts w:cs="Arial"/>
          <w:szCs w:val="17"/>
        </w:rPr>
        <w:t xml:space="preserve"> </w:t>
      </w:r>
      <w:r w:rsidR="00551555">
        <w:rPr>
          <w:rFonts w:cs="Arial"/>
          <w:b/>
          <w:szCs w:val="17"/>
        </w:rPr>
        <w:t>11</w:t>
      </w:r>
      <w:r>
        <w:rPr>
          <w:rFonts w:cs="Arial"/>
          <w:szCs w:val="17"/>
        </w:rPr>
        <w:t xml:space="preserve">. As such, </w:t>
      </w:r>
      <w:r w:rsidR="00551555">
        <w:rPr>
          <w:rFonts w:cs="Arial"/>
          <w:b/>
          <w:szCs w:val="17"/>
        </w:rPr>
        <w:t>11</w:t>
      </w:r>
      <w:r w:rsidR="0033609B">
        <w:rPr>
          <w:rFonts w:cs="Arial"/>
          <w:szCs w:val="17"/>
        </w:rPr>
        <w:t xml:space="preserve"> was reacted with a solution of methylamine in </w:t>
      </w:r>
      <w:r w:rsidR="006C13FF">
        <w:rPr>
          <w:rFonts w:cs="Arial"/>
          <w:szCs w:val="17"/>
        </w:rPr>
        <w:t>THF</w:t>
      </w:r>
      <w:r w:rsidR="0033609B">
        <w:rPr>
          <w:rFonts w:cs="Arial"/>
          <w:szCs w:val="17"/>
        </w:rPr>
        <w:t xml:space="preserve"> and </w:t>
      </w:r>
      <w:r w:rsidR="0033609B" w:rsidRPr="0033609B">
        <w:rPr>
          <w:rFonts w:cs="Arial"/>
          <w:i/>
          <w:szCs w:val="17"/>
        </w:rPr>
        <w:t>para</w:t>
      </w:r>
      <w:r w:rsidR="0033609B">
        <w:rPr>
          <w:rFonts w:cs="Arial"/>
          <w:szCs w:val="17"/>
        </w:rPr>
        <w:t xml:space="preserve">-methoxylbenzylmercaptan </w:t>
      </w:r>
      <w:r w:rsidR="00551555">
        <w:rPr>
          <w:rFonts w:cs="Arial"/>
          <w:b/>
          <w:szCs w:val="17"/>
        </w:rPr>
        <w:t>23</w:t>
      </w:r>
      <w:r w:rsidR="0033609B">
        <w:rPr>
          <w:rFonts w:cs="Arial"/>
          <w:szCs w:val="17"/>
        </w:rPr>
        <w:t xml:space="preserve"> with </w:t>
      </w:r>
      <w:r w:rsidR="006C13FF">
        <w:rPr>
          <w:rFonts w:cs="Arial"/>
          <w:szCs w:val="17"/>
        </w:rPr>
        <w:t>DMAP</w:t>
      </w:r>
      <w:r w:rsidR="0033609B">
        <w:rPr>
          <w:rFonts w:cs="Arial"/>
          <w:szCs w:val="17"/>
        </w:rPr>
        <w:t xml:space="preserve"> as a catalyst in </w:t>
      </w:r>
      <w:r w:rsidR="006C13FF">
        <w:rPr>
          <w:rFonts w:cs="Arial"/>
          <w:szCs w:val="17"/>
        </w:rPr>
        <w:t>acetonitrile</w:t>
      </w:r>
      <w:r w:rsidR="0033609B">
        <w:rPr>
          <w:rFonts w:cs="Arial"/>
          <w:szCs w:val="17"/>
        </w:rPr>
        <w:t xml:space="preserve"> for 16 hours, followed </w:t>
      </w:r>
      <w:r w:rsidR="00A54E25">
        <w:rPr>
          <w:rFonts w:cs="Arial"/>
          <w:szCs w:val="17"/>
        </w:rPr>
        <w:t xml:space="preserve">by </w:t>
      </w:r>
      <w:r w:rsidR="006C13FF">
        <w:rPr>
          <w:rFonts w:cs="Arial"/>
          <w:szCs w:val="17"/>
        </w:rPr>
        <w:t>purification</w:t>
      </w:r>
      <w:r w:rsidR="0033609B">
        <w:rPr>
          <w:rFonts w:cs="Arial"/>
          <w:szCs w:val="17"/>
        </w:rPr>
        <w:t xml:space="preserve"> to give the ETP cyclised product </w:t>
      </w:r>
      <w:r w:rsidR="00DC7E88">
        <w:rPr>
          <w:rFonts w:cs="Arial"/>
          <w:b/>
          <w:szCs w:val="17"/>
        </w:rPr>
        <w:t>10</w:t>
      </w:r>
      <w:r w:rsidR="0033609B">
        <w:rPr>
          <w:rFonts w:cs="Arial"/>
          <w:szCs w:val="17"/>
        </w:rPr>
        <w:t xml:space="preserve"> in </w:t>
      </w:r>
      <w:r w:rsidR="00D317EE">
        <w:rPr>
          <w:rFonts w:cs="Arial"/>
          <w:szCs w:val="17"/>
        </w:rPr>
        <w:t>46</w:t>
      </w:r>
      <w:r w:rsidR="0033609B">
        <w:rPr>
          <w:rFonts w:cs="Arial"/>
          <w:szCs w:val="17"/>
        </w:rPr>
        <w:t xml:space="preserve">% yield as a 2:1 mixture of </w:t>
      </w:r>
      <w:r w:rsidR="0033609B" w:rsidRPr="0033609B">
        <w:rPr>
          <w:rFonts w:cs="Arial"/>
          <w:i/>
          <w:szCs w:val="17"/>
        </w:rPr>
        <w:t>cis</w:t>
      </w:r>
      <w:r w:rsidR="0033609B">
        <w:rPr>
          <w:rFonts w:cs="Arial"/>
          <w:i/>
          <w:szCs w:val="17"/>
        </w:rPr>
        <w:t>-</w:t>
      </w:r>
      <w:r w:rsidR="0033609B">
        <w:rPr>
          <w:rFonts w:cs="Arial"/>
          <w:szCs w:val="17"/>
        </w:rPr>
        <w:t xml:space="preserve"> and </w:t>
      </w:r>
      <w:r w:rsidR="0033609B" w:rsidRPr="0033609B">
        <w:rPr>
          <w:rFonts w:cs="Arial"/>
          <w:i/>
          <w:szCs w:val="17"/>
        </w:rPr>
        <w:t>trans</w:t>
      </w:r>
      <w:r w:rsidR="0033609B">
        <w:rPr>
          <w:rFonts w:cs="Arial"/>
          <w:szCs w:val="17"/>
        </w:rPr>
        <w:t>-isomers.</w:t>
      </w:r>
      <w:r w:rsidR="007B4033" w:rsidRPr="007B4033">
        <w:rPr>
          <w:rFonts w:cs="Arial"/>
          <w:szCs w:val="17"/>
          <w:vertAlign w:val="superscript"/>
        </w:rPr>
        <w:t>[34]</w:t>
      </w:r>
      <w:r w:rsidR="0033609B">
        <w:rPr>
          <w:rFonts w:cs="Arial"/>
          <w:szCs w:val="17"/>
        </w:rPr>
        <w:t xml:space="preserve"> The low yield in this reaction was attributed to the volatility of methylamine which we had also encountered</w:t>
      </w:r>
      <w:r w:rsidR="008D775F">
        <w:rPr>
          <w:rFonts w:cs="Arial"/>
          <w:szCs w:val="17"/>
        </w:rPr>
        <w:t xml:space="preserve"> with methylamine</w:t>
      </w:r>
      <w:r w:rsidR="0033609B">
        <w:rPr>
          <w:rFonts w:cs="Arial"/>
          <w:szCs w:val="17"/>
        </w:rPr>
        <w:t xml:space="preserve"> in our previous synthetic approaches to the ETP core.</w:t>
      </w:r>
      <w:r w:rsidR="00551555" w:rsidRPr="00551555">
        <w:rPr>
          <w:rFonts w:cs="Arial"/>
          <w:szCs w:val="17"/>
          <w:vertAlign w:val="superscript"/>
        </w:rPr>
        <w:t>[33]</w:t>
      </w:r>
      <w:r w:rsidR="0033609B">
        <w:rPr>
          <w:rFonts w:cs="Arial"/>
          <w:szCs w:val="17"/>
        </w:rPr>
        <w:t xml:space="preserve"> </w:t>
      </w:r>
      <w:r w:rsidR="009639EE">
        <w:rPr>
          <w:rFonts w:cs="Arial"/>
          <w:szCs w:val="17"/>
        </w:rPr>
        <w:t xml:space="preserve">With the obtention of the dehydroamino acid containing monothiodiketopiperazine </w:t>
      </w:r>
      <w:r w:rsidR="00DC7E88">
        <w:rPr>
          <w:rFonts w:cs="Arial"/>
          <w:b/>
          <w:szCs w:val="17"/>
        </w:rPr>
        <w:t>10</w:t>
      </w:r>
      <w:r w:rsidR="009639EE">
        <w:rPr>
          <w:rFonts w:cs="Arial"/>
          <w:szCs w:val="17"/>
        </w:rPr>
        <w:t>, we next explore</w:t>
      </w:r>
      <w:r w:rsidR="00551555">
        <w:rPr>
          <w:rFonts w:cs="Arial"/>
          <w:szCs w:val="17"/>
        </w:rPr>
        <w:t>d</w:t>
      </w:r>
      <w:r w:rsidR="009639EE">
        <w:rPr>
          <w:rFonts w:cs="Arial"/>
          <w:szCs w:val="17"/>
        </w:rPr>
        <w:t xml:space="preserve"> the incorporation of a second sulfur atom required for the synthesis of the ETP core. Accordingly, reaction with </w:t>
      </w:r>
      <w:r w:rsidR="009639EE" w:rsidRPr="0033609B">
        <w:rPr>
          <w:rFonts w:cs="Arial"/>
          <w:i/>
          <w:szCs w:val="17"/>
        </w:rPr>
        <w:t>para</w:t>
      </w:r>
      <w:r w:rsidR="009639EE">
        <w:rPr>
          <w:rFonts w:cs="Arial"/>
          <w:szCs w:val="17"/>
        </w:rPr>
        <w:t xml:space="preserve">-methoxylbenzylmercaptan </w:t>
      </w:r>
      <w:r w:rsidR="00551555">
        <w:rPr>
          <w:rFonts w:cs="Arial"/>
          <w:b/>
          <w:szCs w:val="17"/>
        </w:rPr>
        <w:t>23</w:t>
      </w:r>
      <w:r w:rsidR="009639EE">
        <w:rPr>
          <w:rFonts w:cs="Arial"/>
          <w:b/>
          <w:szCs w:val="17"/>
        </w:rPr>
        <w:t xml:space="preserve"> </w:t>
      </w:r>
      <w:r w:rsidR="009639EE">
        <w:rPr>
          <w:rFonts w:cs="Arial"/>
          <w:szCs w:val="17"/>
        </w:rPr>
        <w:t xml:space="preserve">in dichloromethane with HBr as an acid catalyst led to efficient formation of the protected disulfide </w:t>
      </w:r>
      <w:r w:rsidR="00DC7E88">
        <w:rPr>
          <w:rFonts w:cs="Arial"/>
          <w:b/>
          <w:szCs w:val="17"/>
        </w:rPr>
        <w:t>24</w:t>
      </w:r>
      <w:r w:rsidR="009639EE">
        <w:rPr>
          <w:rFonts w:cs="Arial"/>
          <w:szCs w:val="17"/>
        </w:rPr>
        <w:t xml:space="preserve"> in </w:t>
      </w:r>
      <w:r w:rsidR="001306B5">
        <w:rPr>
          <w:rFonts w:cs="Arial"/>
          <w:szCs w:val="17"/>
        </w:rPr>
        <w:t>73</w:t>
      </w:r>
      <w:r w:rsidR="009639EE">
        <w:rPr>
          <w:rFonts w:cs="Arial"/>
          <w:szCs w:val="17"/>
        </w:rPr>
        <w:t xml:space="preserve">% yield as a 2:1 mixture of </w:t>
      </w:r>
      <w:r w:rsidR="009639EE" w:rsidRPr="009639EE">
        <w:rPr>
          <w:rFonts w:cs="Arial"/>
          <w:i/>
          <w:szCs w:val="17"/>
        </w:rPr>
        <w:t>cis</w:t>
      </w:r>
      <w:r w:rsidR="009639EE">
        <w:rPr>
          <w:rFonts w:cs="Arial"/>
          <w:szCs w:val="17"/>
        </w:rPr>
        <w:t xml:space="preserve">- and </w:t>
      </w:r>
      <w:r w:rsidR="009639EE" w:rsidRPr="009639EE">
        <w:rPr>
          <w:rFonts w:cs="Arial"/>
          <w:i/>
          <w:szCs w:val="17"/>
        </w:rPr>
        <w:t>trans</w:t>
      </w:r>
      <w:r w:rsidR="009639EE">
        <w:rPr>
          <w:rFonts w:cs="Arial"/>
          <w:szCs w:val="17"/>
        </w:rPr>
        <w:t>-isomers. Introduction of the CH</w:t>
      </w:r>
      <w:r w:rsidR="009639EE" w:rsidRPr="009639EE">
        <w:rPr>
          <w:rFonts w:cs="Arial"/>
          <w:szCs w:val="17"/>
          <w:vertAlign w:val="subscript"/>
        </w:rPr>
        <w:t>2</w:t>
      </w:r>
      <w:r w:rsidR="009639EE">
        <w:rPr>
          <w:rFonts w:cs="Arial"/>
          <w:szCs w:val="17"/>
        </w:rPr>
        <w:t>OH group was media</w:t>
      </w:r>
      <w:r w:rsidR="0086718D">
        <w:rPr>
          <w:rFonts w:cs="Arial"/>
          <w:szCs w:val="17"/>
        </w:rPr>
        <w:t>ted by simple reaction with MOM</w:t>
      </w:r>
      <w:r w:rsidR="009639EE">
        <w:rPr>
          <w:rFonts w:cs="Arial"/>
          <w:szCs w:val="17"/>
        </w:rPr>
        <w:t xml:space="preserve">Cl which gave the fully protected hyalodendrin precursor </w:t>
      </w:r>
      <w:r w:rsidR="00DC7E88">
        <w:rPr>
          <w:rFonts w:cs="Arial"/>
          <w:b/>
          <w:szCs w:val="17"/>
        </w:rPr>
        <w:t>25</w:t>
      </w:r>
      <w:r w:rsidR="00551555">
        <w:rPr>
          <w:rFonts w:cs="Arial"/>
          <w:szCs w:val="17"/>
        </w:rPr>
        <w:t xml:space="preserve"> </w:t>
      </w:r>
      <w:r w:rsidR="009639EE">
        <w:rPr>
          <w:rFonts w:cs="Arial"/>
          <w:szCs w:val="17"/>
        </w:rPr>
        <w:t xml:space="preserve">as </w:t>
      </w:r>
      <w:r w:rsidR="00E55B50">
        <w:rPr>
          <w:rFonts w:cs="Arial"/>
          <w:szCs w:val="17"/>
        </w:rPr>
        <w:t xml:space="preserve">the all </w:t>
      </w:r>
      <w:r w:rsidR="00E55B50" w:rsidRPr="00E55B50">
        <w:rPr>
          <w:rFonts w:cs="Arial"/>
          <w:i/>
          <w:szCs w:val="17"/>
        </w:rPr>
        <w:t>cis</w:t>
      </w:r>
      <w:r w:rsidR="00E55B50">
        <w:rPr>
          <w:rFonts w:cs="Arial"/>
          <w:szCs w:val="17"/>
        </w:rPr>
        <w:t>-</w:t>
      </w:r>
      <w:r w:rsidR="009639EE">
        <w:rPr>
          <w:rFonts w:cs="Arial"/>
          <w:szCs w:val="17"/>
        </w:rPr>
        <w:t xml:space="preserve">isomer in 76% yield (Scheme </w:t>
      </w:r>
      <w:r w:rsidR="001379F3">
        <w:rPr>
          <w:rFonts w:cs="Arial"/>
          <w:szCs w:val="17"/>
        </w:rPr>
        <w:t>6</w:t>
      </w:r>
      <w:r w:rsidR="009639EE">
        <w:rPr>
          <w:rFonts w:cs="Arial"/>
          <w:szCs w:val="17"/>
        </w:rPr>
        <w:t xml:space="preserve">). </w:t>
      </w:r>
    </w:p>
    <w:p w:rsidR="00440655" w:rsidRDefault="009D0A5C" w:rsidP="004C159E">
      <w:pPr>
        <w:spacing w:line="276" w:lineRule="auto"/>
        <w:jc w:val="center"/>
        <w:rPr>
          <w:rFonts w:ascii="Arial" w:hAnsi="Arial" w:cs="Arial"/>
          <w:sz w:val="17"/>
          <w:szCs w:val="17"/>
          <w:lang w:val="en-GB"/>
        </w:rPr>
      </w:pPr>
      <w:r>
        <w:object w:dxaOrig="7526" w:dyaOrig="7583">
          <v:shape id="_x0000_i1030" type="#_x0000_t75" style="width:243.75pt;height:246pt" o:ole="">
            <v:imagedata r:id="rId24" o:title=""/>
          </v:shape>
          <o:OLEObject Type="Embed" ProgID="ChemDraw.Document.6.0" ShapeID="_x0000_i1030" DrawAspect="Content" ObjectID="_1547889023" r:id="rId25"/>
        </w:object>
      </w:r>
    </w:p>
    <w:p w:rsidR="002E5A95" w:rsidRDefault="002E5A95" w:rsidP="002E5A95">
      <w:pPr>
        <w:spacing w:before="230" w:line="276" w:lineRule="auto"/>
        <w:jc w:val="both"/>
        <w:rPr>
          <w:rFonts w:ascii="Arial" w:hAnsi="Arial" w:cs="Arial"/>
          <w:sz w:val="14"/>
          <w:szCs w:val="14"/>
        </w:rPr>
      </w:pPr>
      <w:r w:rsidRPr="00560F1B">
        <w:rPr>
          <w:rFonts w:ascii="Arial" w:hAnsi="Arial" w:cs="Arial"/>
          <w:b/>
          <w:i/>
          <w:sz w:val="14"/>
          <w:szCs w:val="14"/>
        </w:rPr>
        <w:t xml:space="preserve">Scheme </w:t>
      </w:r>
      <w:r w:rsidR="001379F3">
        <w:rPr>
          <w:rFonts w:ascii="Arial" w:hAnsi="Arial" w:cs="Arial"/>
          <w:b/>
          <w:i/>
          <w:sz w:val="14"/>
          <w:szCs w:val="14"/>
        </w:rPr>
        <w:t>6</w:t>
      </w:r>
      <w:r w:rsidRPr="00AD6845">
        <w:rPr>
          <w:rFonts w:ascii="Arial" w:hAnsi="Arial" w:cs="Arial"/>
          <w:b/>
          <w:sz w:val="14"/>
          <w:szCs w:val="14"/>
        </w:rPr>
        <w:t>.</w:t>
      </w:r>
      <w:r w:rsidRPr="00AD6845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Formation of </w:t>
      </w:r>
      <w:r w:rsidR="00E55B50">
        <w:rPr>
          <w:rFonts w:ascii="Arial" w:hAnsi="Arial" w:cs="Arial"/>
          <w:sz w:val="14"/>
          <w:szCs w:val="14"/>
        </w:rPr>
        <w:t xml:space="preserve">the natural product (±)-hyalodendrin </w:t>
      </w:r>
      <w:r w:rsidR="00A54E25">
        <w:rPr>
          <w:rFonts w:ascii="Arial" w:hAnsi="Arial" w:cs="Arial"/>
          <w:b/>
          <w:sz w:val="14"/>
          <w:szCs w:val="14"/>
        </w:rPr>
        <w:t>3</w:t>
      </w:r>
      <w:r w:rsidRPr="00AD6845">
        <w:rPr>
          <w:rFonts w:ascii="Arial" w:hAnsi="Arial" w:cs="Arial"/>
          <w:sz w:val="14"/>
          <w:szCs w:val="14"/>
        </w:rPr>
        <w:t>.</w:t>
      </w:r>
    </w:p>
    <w:p w:rsidR="00552D12" w:rsidRPr="00AD6845" w:rsidRDefault="00552D12" w:rsidP="002E5A95">
      <w:pPr>
        <w:spacing w:before="230" w:line="276" w:lineRule="auto"/>
        <w:jc w:val="both"/>
        <w:rPr>
          <w:rFonts w:ascii="Arial" w:hAnsi="Arial" w:cs="Arial"/>
          <w:sz w:val="14"/>
          <w:szCs w:val="14"/>
        </w:rPr>
      </w:pPr>
    </w:p>
    <w:p w:rsidR="00D80305" w:rsidRDefault="009639EE" w:rsidP="000E76B8">
      <w:pPr>
        <w:pStyle w:val="P1withIndendation"/>
      </w:pPr>
      <w:r>
        <w:t xml:space="preserve">The conversion of a mixture of the </w:t>
      </w:r>
      <w:r w:rsidRPr="009639EE">
        <w:rPr>
          <w:i/>
        </w:rPr>
        <w:t>cis</w:t>
      </w:r>
      <w:r>
        <w:t xml:space="preserve">/ </w:t>
      </w:r>
      <w:r w:rsidRPr="009639EE">
        <w:rPr>
          <w:i/>
        </w:rPr>
        <w:t>trans</w:t>
      </w:r>
      <w:r>
        <w:t xml:space="preserve">-mixture of </w:t>
      </w:r>
      <w:r w:rsidR="00DC7E88">
        <w:rPr>
          <w:b/>
        </w:rPr>
        <w:t>24</w:t>
      </w:r>
      <w:r>
        <w:t xml:space="preserve"> to the single protected product </w:t>
      </w:r>
      <w:r w:rsidR="00DC7E88">
        <w:rPr>
          <w:b/>
        </w:rPr>
        <w:t>25</w:t>
      </w:r>
      <w:r>
        <w:t xml:space="preserve"> was facilitated by deprotonation with LHMDS to give a planar intermediate. Alkylation </w:t>
      </w:r>
      <w:r w:rsidR="00681539">
        <w:t>using</w:t>
      </w:r>
      <w:r w:rsidR="0086718D">
        <w:t xml:space="preserve"> MOM</w:t>
      </w:r>
      <w:r>
        <w:t xml:space="preserve">Cl </w:t>
      </w:r>
      <w:r w:rsidR="00681539">
        <w:t>occurred on</w:t>
      </w:r>
      <w:r>
        <w:t xml:space="preserve"> the same </w:t>
      </w:r>
      <w:r w:rsidR="00681539">
        <w:t>side of the ring</w:t>
      </w:r>
      <w:r>
        <w:t xml:space="preserve"> as the benzyl group on the opposite </w:t>
      </w:r>
      <w:r w:rsidR="00681539">
        <w:t>side of both protected thiols presumably due to steric effect</w:t>
      </w:r>
      <w:r w:rsidR="00E3090A">
        <w:t>s of the bulky thiol protecting groups</w:t>
      </w:r>
      <w:r w:rsidR="00681539">
        <w:t xml:space="preserve">. Finally, triple deprotection using three equivalents of boron tribromide unmasked both thiol groups and the OH of the </w:t>
      </w:r>
      <w:r w:rsidR="000F117C">
        <w:t>methyl</w:t>
      </w:r>
      <w:r w:rsidR="00681539">
        <w:t xml:space="preserve"> protected alcohol to give the </w:t>
      </w:r>
      <w:r w:rsidR="00E3090A">
        <w:t xml:space="preserve">intermediate </w:t>
      </w:r>
      <w:r w:rsidR="00681539">
        <w:t xml:space="preserve">dithiol </w:t>
      </w:r>
      <w:r w:rsidR="00E3090A" w:rsidRPr="00E3090A">
        <w:rPr>
          <w:b/>
        </w:rPr>
        <w:t>26</w:t>
      </w:r>
      <w:r w:rsidR="00E3090A" w:rsidRPr="00E3090A">
        <w:t>,</w:t>
      </w:r>
      <w:r w:rsidR="00E3090A">
        <w:t xml:space="preserve"> </w:t>
      </w:r>
      <w:r w:rsidR="00681539">
        <w:t>which was oxidi</w:t>
      </w:r>
      <w:r w:rsidR="004E5D40">
        <w:t>z</w:t>
      </w:r>
      <w:r w:rsidR="00681539">
        <w:t xml:space="preserve">ed to </w:t>
      </w:r>
      <w:r w:rsidR="00551555">
        <w:t>(</w:t>
      </w:r>
      <w:r w:rsidR="00551555">
        <w:rPr>
          <w:rFonts w:cs="Arial"/>
        </w:rPr>
        <w:t>±</w:t>
      </w:r>
      <w:r w:rsidR="00551555">
        <w:t>)-</w:t>
      </w:r>
      <w:r w:rsidR="00681539">
        <w:t xml:space="preserve">hyalodendrin </w:t>
      </w:r>
      <w:r w:rsidR="00A54E25">
        <w:rPr>
          <w:b/>
        </w:rPr>
        <w:t>3</w:t>
      </w:r>
      <w:r w:rsidR="00E3090A">
        <w:t xml:space="preserve"> in good yield (55%) using iodine as oxidant</w:t>
      </w:r>
      <w:r w:rsidR="000F117C">
        <w:t>. Com</w:t>
      </w:r>
      <w:r w:rsidR="00681539">
        <w:t>parison with the published data for hyalodendrin</w:t>
      </w:r>
      <w:r w:rsidR="009D0A5C">
        <w:t xml:space="preserve"> </w:t>
      </w:r>
      <w:r w:rsidR="009D0A5C" w:rsidRPr="009D0A5C">
        <w:rPr>
          <w:b/>
        </w:rPr>
        <w:t>3</w:t>
      </w:r>
      <w:r w:rsidR="00681539">
        <w:t xml:space="preserve"> was in good agreement</w:t>
      </w:r>
      <w:r w:rsidR="008D775F">
        <w:t>,</w:t>
      </w:r>
      <w:r w:rsidR="00681539">
        <w:t xml:space="preserve"> confirming that we had</w:t>
      </w:r>
      <w:r w:rsidR="00E3090A">
        <w:t xml:space="preserve"> indeed</w:t>
      </w:r>
      <w:r w:rsidR="00681539">
        <w:t xml:space="preserve"> </w:t>
      </w:r>
      <w:r w:rsidR="00C43CE4">
        <w:t>synthesised the n</w:t>
      </w:r>
      <w:r w:rsidR="00681539">
        <w:t>atural product.</w:t>
      </w:r>
      <w:r w:rsidR="000F117C">
        <w:rPr>
          <w:vertAlign w:val="superscript"/>
        </w:rPr>
        <w:t>[18]</w:t>
      </w:r>
      <w:r w:rsidR="00681539">
        <w:t xml:space="preserve"> </w:t>
      </w:r>
    </w:p>
    <w:p w:rsidR="00DD5E12" w:rsidRDefault="00DD5E12" w:rsidP="000E76B8">
      <w:pPr>
        <w:pStyle w:val="P1withIndendation"/>
      </w:pPr>
      <w:r>
        <w:t xml:space="preserve">In summary, we have developed </w:t>
      </w:r>
      <w:r w:rsidR="00681539">
        <w:t>a</w:t>
      </w:r>
      <w:r w:rsidR="00E3090A">
        <w:t xml:space="preserve"> unique</w:t>
      </w:r>
      <w:r w:rsidR="00681539">
        <w:t xml:space="preserve"> novel approach to two distinct </w:t>
      </w:r>
      <w:r w:rsidR="00750DEF">
        <w:t xml:space="preserve">and structurally separate </w:t>
      </w:r>
      <w:r w:rsidR="00C43CE4">
        <w:t>n</w:t>
      </w:r>
      <w:r w:rsidR="00681539">
        <w:t>atural product classes starting from a single precursor based on a phenylalanine derivative and in good yield</w:t>
      </w:r>
      <w:r w:rsidR="00E3090A">
        <w:t xml:space="preserve"> for both product classes</w:t>
      </w:r>
      <w:r w:rsidR="00681539">
        <w:t xml:space="preserve">. Further </w:t>
      </w:r>
      <w:r w:rsidR="00171CF9">
        <w:t xml:space="preserve">studies </w:t>
      </w:r>
      <w:r w:rsidR="00681539">
        <w:t xml:space="preserve">into the total synthesis of clausenamide </w:t>
      </w:r>
      <w:r w:rsidR="00551555">
        <w:rPr>
          <w:b/>
        </w:rPr>
        <w:t>5</w:t>
      </w:r>
      <w:r w:rsidR="00681539">
        <w:t xml:space="preserve"> and examination of its biological activity will be reported in due course. </w:t>
      </w:r>
    </w:p>
    <w:p w:rsidR="00E4350D" w:rsidRDefault="00E4350D" w:rsidP="00E4350D">
      <w:pPr>
        <w:pStyle w:val="HAcknowledgements"/>
        <w:rPr>
          <w:color w:val="FF0000"/>
        </w:rPr>
      </w:pPr>
      <w:r>
        <w:t xml:space="preserve">Acknowledgements </w:t>
      </w:r>
    </w:p>
    <w:p w:rsidR="00E4350D" w:rsidRDefault="005D65E7" w:rsidP="00EB27E9">
      <w:pPr>
        <w:pStyle w:val="Acknowledgements"/>
      </w:pPr>
      <w:r w:rsidRPr="005D2A50">
        <w:t xml:space="preserve">This work was gratefully supported by </w:t>
      </w:r>
      <w:r w:rsidR="00DB672F">
        <w:t>a</w:t>
      </w:r>
      <w:r>
        <w:t xml:space="preserve"> </w:t>
      </w:r>
      <w:r w:rsidR="00DB672F">
        <w:t>Leverhulme Trust project grant</w:t>
      </w:r>
      <w:r>
        <w:t xml:space="preserve"> </w:t>
      </w:r>
      <w:r w:rsidRPr="005D2A50">
        <w:t>[</w:t>
      </w:r>
      <w:r w:rsidR="00DB672F">
        <w:t>F/01 232/A</w:t>
      </w:r>
      <w:r w:rsidRPr="005D2A50">
        <w:t>]. We thank the EPSRC UK National Mass Spectrometry Facility at Swansea Univer</w:t>
      </w:r>
      <w:r>
        <w:t>sity for spectroscopic services</w:t>
      </w:r>
      <w:r w:rsidR="004556E1">
        <w:t>.</w:t>
      </w:r>
    </w:p>
    <w:p w:rsidR="004556E1" w:rsidRDefault="00F45722" w:rsidP="001F4B8D">
      <w:pPr>
        <w:pStyle w:val="Keywords"/>
        <w:jc w:val="both"/>
      </w:pPr>
      <w:r w:rsidRPr="009B7AB7">
        <w:rPr>
          <w:b/>
        </w:rPr>
        <w:t>Keywords:</w:t>
      </w:r>
      <w:r w:rsidRPr="009B7AB7">
        <w:t xml:space="preserve"> </w:t>
      </w:r>
      <w:r w:rsidR="00484C4B" w:rsidRPr="00484C4B">
        <w:t>clausenamide</w:t>
      </w:r>
      <w:r w:rsidR="006B4056" w:rsidRPr="006410E0">
        <w:rPr>
          <w:i/>
        </w:rPr>
        <w:t xml:space="preserve"> </w:t>
      </w:r>
      <w:r>
        <w:t>•</w:t>
      </w:r>
      <w:r w:rsidRPr="009B7AB7">
        <w:t xml:space="preserve"> </w:t>
      </w:r>
      <w:r w:rsidR="00484C4B">
        <w:t>Natural Products</w:t>
      </w:r>
      <w:r w:rsidRPr="009B7AB7">
        <w:t xml:space="preserve"> </w:t>
      </w:r>
      <w:r>
        <w:t>•</w:t>
      </w:r>
      <w:r w:rsidRPr="009B7AB7">
        <w:t xml:space="preserve"> </w:t>
      </w:r>
      <w:r w:rsidR="00484C4B">
        <w:t>hyalodendrin</w:t>
      </w:r>
      <w:r w:rsidRPr="009B7AB7">
        <w:t xml:space="preserve"> </w:t>
      </w:r>
      <w:r>
        <w:t>•</w:t>
      </w:r>
      <w:r w:rsidRPr="009B7AB7">
        <w:t xml:space="preserve"> </w:t>
      </w:r>
      <w:r w:rsidR="00247656">
        <w:t>cyclisation</w:t>
      </w:r>
      <w:r w:rsidRPr="009B7AB7">
        <w:t xml:space="preserve"> </w:t>
      </w:r>
      <w:r>
        <w:t>•</w:t>
      </w:r>
      <w:r w:rsidRPr="009B7AB7">
        <w:t xml:space="preserve"> </w:t>
      </w:r>
      <w:r w:rsidR="00484C4B">
        <w:t>electrophilic cyclisation</w:t>
      </w:r>
    </w:p>
    <w:p w:rsidR="000444C8" w:rsidRDefault="00A33868" w:rsidP="004D62A0">
      <w:pPr>
        <w:pStyle w:val="References"/>
        <w:spacing w:line="360" w:lineRule="auto"/>
      </w:pPr>
      <w:r w:rsidRPr="00390DD7">
        <w:lastRenderedPageBreak/>
        <w:t>[1]</w:t>
      </w:r>
      <w:r w:rsidRPr="00390DD7">
        <w:tab/>
      </w:r>
      <w:r w:rsidR="00735415">
        <w:t xml:space="preserve">a) </w:t>
      </w:r>
      <w:r w:rsidR="00735415" w:rsidRPr="00735415">
        <w:rPr>
          <w:rFonts w:cs="Arial"/>
        </w:rPr>
        <w:t xml:space="preserve">P. Waring, C. L. L. Chai, </w:t>
      </w:r>
      <w:r w:rsidR="00735415" w:rsidRPr="00735415">
        <w:rPr>
          <w:rFonts w:cs="Arial"/>
          <w:i/>
          <w:iCs/>
          <w:lang w:eastAsia="en-GB"/>
        </w:rPr>
        <w:t xml:space="preserve">Aust. J. Chem. </w:t>
      </w:r>
      <w:r w:rsidR="00735415" w:rsidRPr="00735415">
        <w:rPr>
          <w:rFonts w:cs="Arial"/>
          <w:b/>
          <w:bCs/>
          <w:lang w:eastAsia="en-GB"/>
        </w:rPr>
        <w:t>2015</w:t>
      </w:r>
      <w:r w:rsidR="00735415" w:rsidRPr="00735415">
        <w:rPr>
          <w:rFonts w:cs="Arial"/>
          <w:lang w:eastAsia="en-GB"/>
        </w:rPr>
        <w:t xml:space="preserve">, </w:t>
      </w:r>
      <w:r w:rsidR="00735415" w:rsidRPr="00735415">
        <w:rPr>
          <w:rFonts w:cs="Arial"/>
          <w:i/>
          <w:iCs/>
          <w:lang w:eastAsia="en-GB"/>
        </w:rPr>
        <w:t>68</w:t>
      </w:r>
      <w:r w:rsidR="00735415" w:rsidRPr="00735415">
        <w:rPr>
          <w:rFonts w:cs="Arial"/>
          <w:lang w:eastAsia="en-GB"/>
        </w:rPr>
        <w:t>, 178–183;</w:t>
      </w:r>
      <w:r w:rsidR="00735415" w:rsidRPr="00735415">
        <w:rPr>
          <w:rFonts w:ascii="AdvTNR" w:hAnsi="AdvTNR" w:cs="AdvTNR"/>
          <w:lang w:eastAsia="en-GB"/>
        </w:rPr>
        <w:t xml:space="preserve"> </w:t>
      </w:r>
      <w:r w:rsidR="000E7EFF">
        <w:t xml:space="preserve">b) </w:t>
      </w:r>
      <w:r w:rsidR="00735415">
        <w:t>K. M. Cook, S. T. Hilton, J. Mecinovic, W. B. Motherwell,</w:t>
      </w:r>
      <w:r w:rsidR="00735415" w:rsidRPr="00735415">
        <w:t xml:space="preserve"> </w:t>
      </w:r>
      <w:r w:rsidR="00735415">
        <w:t xml:space="preserve">W. D. Figg, C. J. Schofield, </w:t>
      </w:r>
      <w:r w:rsidR="00735415">
        <w:rPr>
          <w:i/>
        </w:rPr>
        <w:t>J. Biol. Chem.</w:t>
      </w:r>
      <w:r w:rsidR="00735415" w:rsidRPr="00BE680D">
        <w:rPr>
          <w:i/>
        </w:rPr>
        <w:t xml:space="preserve"> </w:t>
      </w:r>
      <w:r w:rsidR="00735415" w:rsidRPr="00BE680D">
        <w:rPr>
          <w:b/>
        </w:rPr>
        <w:t>2009,</w:t>
      </w:r>
      <w:r w:rsidR="00735415">
        <w:t xml:space="preserve"> </w:t>
      </w:r>
      <w:r w:rsidR="00735415" w:rsidRPr="00765BBC">
        <w:rPr>
          <w:i/>
        </w:rPr>
        <w:t>284</w:t>
      </w:r>
      <w:r w:rsidR="00735415">
        <w:t xml:space="preserve">, 26831-26838; </w:t>
      </w:r>
      <w:r w:rsidR="009F36F4">
        <w:t>c</w:t>
      </w:r>
      <w:r w:rsidR="00735415">
        <w:t xml:space="preserve">) </w:t>
      </w:r>
      <w:r w:rsidR="00D0290F">
        <w:t xml:space="preserve">S. T. Hilton, W. B. Motherwell, P. </w:t>
      </w:r>
      <w:r w:rsidR="00735415">
        <w:t>Potier,</w:t>
      </w:r>
      <w:r w:rsidR="00D0290F">
        <w:t xml:space="preserve"> C. Pradet, D. L.</w:t>
      </w:r>
      <w:r w:rsidR="00735415">
        <w:t xml:space="preserve"> Selwood, </w:t>
      </w:r>
      <w:r w:rsidR="00735415">
        <w:rPr>
          <w:i/>
        </w:rPr>
        <w:t>Bioorg. Med. Chem. Lett.</w:t>
      </w:r>
      <w:r w:rsidR="00735415" w:rsidRPr="00BE680D">
        <w:rPr>
          <w:i/>
        </w:rPr>
        <w:t xml:space="preserve"> </w:t>
      </w:r>
      <w:r w:rsidR="00735415" w:rsidRPr="00BE680D">
        <w:rPr>
          <w:b/>
        </w:rPr>
        <w:t>2005</w:t>
      </w:r>
      <w:r w:rsidR="00735415" w:rsidRPr="00D0290F">
        <w:t xml:space="preserve">, </w:t>
      </w:r>
      <w:r w:rsidR="00735415" w:rsidRPr="00765BBC">
        <w:rPr>
          <w:i/>
        </w:rPr>
        <w:t>15</w:t>
      </w:r>
      <w:r w:rsidR="00735415">
        <w:t xml:space="preserve">, 2239-2242; </w:t>
      </w:r>
      <w:r w:rsidR="009F36F4">
        <w:t>d</w:t>
      </w:r>
      <w:r w:rsidR="00735415">
        <w:t xml:space="preserve">) </w:t>
      </w:r>
      <w:r w:rsidR="00D0290F">
        <w:t xml:space="preserve">P. </w:t>
      </w:r>
      <w:r w:rsidR="00735415">
        <w:t>Waring,</w:t>
      </w:r>
      <w:r w:rsidR="00D0290F">
        <w:t xml:space="preserve"> J.</w:t>
      </w:r>
      <w:r w:rsidR="00735415">
        <w:t xml:space="preserve"> Beaver, </w:t>
      </w:r>
      <w:r w:rsidR="00735415" w:rsidRPr="00BE680D">
        <w:rPr>
          <w:i/>
        </w:rPr>
        <w:t>Gen</w:t>
      </w:r>
      <w:r w:rsidR="00735415">
        <w:rPr>
          <w:i/>
        </w:rPr>
        <w:t>.</w:t>
      </w:r>
      <w:r w:rsidR="00735415" w:rsidRPr="00BE680D">
        <w:rPr>
          <w:i/>
        </w:rPr>
        <w:t xml:space="preserve"> Pharmacol</w:t>
      </w:r>
      <w:r w:rsidR="00735415">
        <w:rPr>
          <w:i/>
        </w:rPr>
        <w:t>.</w:t>
      </w:r>
      <w:r w:rsidR="00735415" w:rsidRPr="00BE680D">
        <w:rPr>
          <w:i/>
        </w:rPr>
        <w:t xml:space="preserve"> </w:t>
      </w:r>
      <w:r w:rsidR="00735415" w:rsidRPr="00BE680D">
        <w:rPr>
          <w:b/>
        </w:rPr>
        <w:t>1996</w:t>
      </w:r>
      <w:r w:rsidR="00735415" w:rsidRPr="00D0290F">
        <w:t>,</w:t>
      </w:r>
      <w:r w:rsidR="00735415">
        <w:t xml:space="preserve"> </w:t>
      </w:r>
      <w:r w:rsidR="00735415" w:rsidRPr="00765BBC">
        <w:rPr>
          <w:i/>
        </w:rPr>
        <w:t>27</w:t>
      </w:r>
      <w:r w:rsidR="00735415">
        <w:t xml:space="preserve">, 1311-1316; </w:t>
      </w:r>
      <w:r w:rsidR="009F36F4">
        <w:t>e</w:t>
      </w:r>
      <w:r w:rsidR="00735415">
        <w:t xml:space="preserve">) </w:t>
      </w:r>
      <w:r w:rsidR="00D0290F">
        <w:t xml:space="preserve">C. L. L. </w:t>
      </w:r>
      <w:r w:rsidR="00735415">
        <w:t xml:space="preserve">Chai, </w:t>
      </w:r>
      <w:r w:rsidR="00D0290F">
        <w:t xml:space="preserve">P. </w:t>
      </w:r>
      <w:r w:rsidR="00735415">
        <w:t xml:space="preserve">Waring, </w:t>
      </w:r>
      <w:r w:rsidR="00735415" w:rsidRPr="00BE680D">
        <w:rPr>
          <w:i/>
        </w:rPr>
        <w:t>Redox report</w:t>
      </w:r>
      <w:r w:rsidR="00735415">
        <w:rPr>
          <w:i/>
        </w:rPr>
        <w:t>s</w:t>
      </w:r>
      <w:r w:rsidR="00735415" w:rsidRPr="00BE680D">
        <w:rPr>
          <w:i/>
        </w:rPr>
        <w:t xml:space="preserve"> </w:t>
      </w:r>
      <w:r w:rsidR="00735415" w:rsidRPr="00BE680D">
        <w:rPr>
          <w:b/>
        </w:rPr>
        <w:t>2000,</w:t>
      </w:r>
      <w:r w:rsidR="00735415">
        <w:t xml:space="preserve"> </w:t>
      </w:r>
      <w:r w:rsidR="00735415" w:rsidRPr="00765BBC">
        <w:rPr>
          <w:i/>
        </w:rPr>
        <w:t>5</w:t>
      </w:r>
      <w:r w:rsidR="00735415">
        <w:t xml:space="preserve">, 257; </w:t>
      </w:r>
      <w:r w:rsidR="009F36F4">
        <w:t>f</w:t>
      </w:r>
      <w:r w:rsidR="00735415">
        <w:t xml:space="preserve">) </w:t>
      </w:r>
      <w:r w:rsidR="00D0290F">
        <w:t xml:space="preserve">P. </w:t>
      </w:r>
      <w:r w:rsidR="00735415">
        <w:t xml:space="preserve">Waring, </w:t>
      </w:r>
      <w:r w:rsidR="00D0290F">
        <w:t xml:space="preserve">R. D. </w:t>
      </w:r>
      <w:r w:rsidR="00735415">
        <w:t>Eichner,</w:t>
      </w:r>
      <w:r w:rsidR="00D0290F">
        <w:t xml:space="preserve"> A. Müllbacher,</w:t>
      </w:r>
      <w:r w:rsidR="00735415">
        <w:t xml:space="preserve"> </w:t>
      </w:r>
      <w:r w:rsidR="00735415">
        <w:rPr>
          <w:i/>
        </w:rPr>
        <w:t>Med. Res. Rev.</w:t>
      </w:r>
      <w:r w:rsidR="00735415" w:rsidRPr="00BE680D">
        <w:rPr>
          <w:i/>
        </w:rPr>
        <w:t xml:space="preserve"> </w:t>
      </w:r>
      <w:r w:rsidR="00735415" w:rsidRPr="00BE680D">
        <w:rPr>
          <w:b/>
        </w:rPr>
        <w:t>1988</w:t>
      </w:r>
      <w:r w:rsidR="00735415" w:rsidRPr="00D0290F">
        <w:t>,</w:t>
      </w:r>
      <w:r w:rsidR="00735415">
        <w:t xml:space="preserve"> </w:t>
      </w:r>
      <w:r w:rsidR="00735415" w:rsidRPr="00765BBC">
        <w:rPr>
          <w:i/>
        </w:rPr>
        <w:t>8</w:t>
      </w:r>
      <w:r w:rsidR="000444C8">
        <w:t>, 499-524.</w:t>
      </w:r>
      <w:r w:rsidR="00735415">
        <w:t xml:space="preserve"> </w:t>
      </w:r>
    </w:p>
    <w:p w:rsidR="00A33868" w:rsidRDefault="000444C8" w:rsidP="004D62A0">
      <w:pPr>
        <w:pStyle w:val="References"/>
        <w:spacing w:line="360" w:lineRule="auto"/>
      </w:pPr>
      <w:r>
        <w:t>[2]</w:t>
      </w:r>
      <w:r>
        <w:tab/>
        <w:t>a)</w:t>
      </w:r>
      <w:r w:rsidR="00735415">
        <w:t xml:space="preserve"> </w:t>
      </w:r>
      <w:r w:rsidR="00D0290F">
        <w:t xml:space="preserve">J. R. </w:t>
      </w:r>
      <w:r w:rsidR="00735415">
        <w:t xml:space="preserve">Johnson, </w:t>
      </w:r>
      <w:r w:rsidR="00D0290F">
        <w:t xml:space="preserve">W. F. </w:t>
      </w:r>
      <w:r w:rsidR="00735415">
        <w:t xml:space="preserve">Bruce, </w:t>
      </w:r>
      <w:r w:rsidR="00D0290F">
        <w:t xml:space="preserve">J. D. </w:t>
      </w:r>
      <w:r w:rsidR="00735415">
        <w:t xml:space="preserve">Dutcher, </w:t>
      </w:r>
      <w:r w:rsidR="00735415">
        <w:rPr>
          <w:i/>
        </w:rPr>
        <w:t>J. Am.</w:t>
      </w:r>
      <w:r w:rsidR="00735415" w:rsidRPr="00BE680D">
        <w:rPr>
          <w:i/>
        </w:rPr>
        <w:t xml:space="preserve"> Chem</w:t>
      </w:r>
      <w:r w:rsidR="00735415">
        <w:rPr>
          <w:i/>
        </w:rPr>
        <w:t>. Soc.</w:t>
      </w:r>
      <w:r w:rsidR="00735415" w:rsidRPr="00BE680D">
        <w:rPr>
          <w:i/>
        </w:rPr>
        <w:t xml:space="preserve"> </w:t>
      </w:r>
      <w:r w:rsidR="00735415" w:rsidRPr="00BE680D">
        <w:rPr>
          <w:b/>
        </w:rPr>
        <w:t>1943</w:t>
      </w:r>
      <w:r w:rsidR="00735415" w:rsidRPr="00D0290F">
        <w:t>,</w:t>
      </w:r>
      <w:r w:rsidR="00735415">
        <w:t xml:space="preserve"> </w:t>
      </w:r>
      <w:r w:rsidR="00735415" w:rsidRPr="00765BBC">
        <w:rPr>
          <w:i/>
        </w:rPr>
        <w:t>65</w:t>
      </w:r>
      <w:r w:rsidR="00735415">
        <w:t>, 2005-</w:t>
      </w:r>
      <w:r w:rsidR="00D0290F">
        <w:t>200</w:t>
      </w:r>
      <w:r w:rsidR="00735415">
        <w:t xml:space="preserve">9; </w:t>
      </w:r>
      <w:r>
        <w:t>b</w:t>
      </w:r>
      <w:r w:rsidR="00735415">
        <w:t xml:space="preserve">) </w:t>
      </w:r>
      <w:r w:rsidR="00D0290F">
        <w:t xml:space="preserve">D. M. </w:t>
      </w:r>
      <w:r w:rsidR="00735415">
        <w:t xml:space="preserve">Gardiner, </w:t>
      </w:r>
      <w:r w:rsidR="00D0290F">
        <w:t xml:space="preserve">P. </w:t>
      </w:r>
      <w:r w:rsidR="00735415">
        <w:t xml:space="preserve">Waring, </w:t>
      </w:r>
      <w:r w:rsidR="00D0290F">
        <w:t xml:space="preserve">B. J. </w:t>
      </w:r>
      <w:r w:rsidR="00735415">
        <w:t xml:space="preserve">Howlett, </w:t>
      </w:r>
      <w:r w:rsidR="00735415" w:rsidRPr="00BE680D">
        <w:rPr>
          <w:i/>
        </w:rPr>
        <w:t xml:space="preserve">Microbiology </w:t>
      </w:r>
      <w:r w:rsidR="00735415" w:rsidRPr="00BE680D">
        <w:rPr>
          <w:b/>
        </w:rPr>
        <w:t>2005</w:t>
      </w:r>
      <w:r w:rsidR="00735415" w:rsidRPr="00D0290F">
        <w:t>,</w:t>
      </w:r>
      <w:r w:rsidR="00735415">
        <w:t xml:space="preserve"> </w:t>
      </w:r>
      <w:r w:rsidR="00735415" w:rsidRPr="00765BBC">
        <w:rPr>
          <w:i/>
        </w:rPr>
        <w:t>151</w:t>
      </w:r>
      <w:r w:rsidR="00F84B6E">
        <w:t xml:space="preserve">, 1021-1032; </w:t>
      </w:r>
      <w:r>
        <w:t>c</w:t>
      </w:r>
      <w:r w:rsidR="00F84B6E">
        <w:t xml:space="preserve">) T. R. Welch, R. M. Williams, </w:t>
      </w:r>
      <w:r w:rsidR="00F84B6E" w:rsidRPr="00F84B6E">
        <w:rPr>
          <w:i/>
        </w:rPr>
        <w:t>Nat. Prod. Rep</w:t>
      </w:r>
      <w:r w:rsidR="00D0290F">
        <w:t>.</w:t>
      </w:r>
      <w:r w:rsidR="00F84B6E">
        <w:t xml:space="preserve"> </w:t>
      </w:r>
      <w:r w:rsidR="00F84B6E" w:rsidRPr="00F84B6E">
        <w:rPr>
          <w:b/>
        </w:rPr>
        <w:t>2014</w:t>
      </w:r>
      <w:r w:rsidR="00F84B6E">
        <w:t xml:space="preserve">, </w:t>
      </w:r>
      <w:r w:rsidR="00F84B6E" w:rsidRPr="00F84B6E">
        <w:rPr>
          <w:i/>
        </w:rPr>
        <w:t>31</w:t>
      </w:r>
      <w:r w:rsidR="00F84B6E">
        <w:t xml:space="preserve">, 1376-1404; </w:t>
      </w:r>
      <w:r>
        <w:t>d</w:t>
      </w:r>
      <w:r w:rsidR="00F84B6E">
        <w:t xml:space="preserve">) N. Boyer, K. C. Morrison, J. Kim, P. J. Hergenrother, M. Movassaghi, </w:t>
      </w:r>
      <w:r w:rsidR="00F84B6E" w:rsidRPr="00305CB7">
        <w:rPr>
          <w:i/>
        </w:rPr>
        <w:t>Chem. Sci</w:t>
      </w:r>
      <w:r w:rsidR="00D0290F">
        <w:t>.</w:t>
      </w:r>
      <w:r w:rsidR="00F84B6E">
        <w:t xml:space="preserve"> </w:t>
      </w:r>
      <w:r w:rsidR="00F84B6E" w:rsidRPr="00305CB7">
        <w:rPr>
          <w:b/>
        </w:rPr>
        <w:t>2013</w:t>
      </w:r>
      <w:r w:rsidR="00F84B6E">
        <w:t xml:space="preserve">, </w:t>
      </w:r>
      <w:r w:rsidR="00F84B6E" w:rsidRPr="00305CB7">
        <w:rPr>
          <w:i/>
        </w:rPr>
        <w:t>4</w:t>
      </w:r>
      <w:r>
        <w:t>, 1646-1657; e</w:t>
      </w:r>
      <w:r w:rsidR="00F84B6E">
        <w:t xml:space="preserve">) J. Kim, M. Movassaghi, </w:t>
      </w:r>
      <w:r w:rsidR="00F84B6E" w:rsidRPr="00305CB7">
        <w:rPr>
          <w:i/>
        </w:rPr>
        <w:t>Acc. Chem. Res</w:t>
      </w:r>
      <w:r w:rsidR="00F84B6E">
        <w:t xml:space="preserve">. </w:t>
      </w:r>
      <w:r w:rsidR="00F84B6E" w:rsidRPr="00305CB7">
        <w:rPr>
          <w:b/>
        </w:rPr>
        <w:t>2015</w:t>
      </w:r>
      <w:r w:rsidR="00F84B6E">
        <w:t xml:space="preserve">, </w:t>
      </w:r>
      <w:r w:rsidR="00F84B6E" w:rsidRPr="00305CB7">
        <w:rPr>
          <w:i/>
        </w:rPr>
        <w:t>48</w:t>
      </w:r>
      <w:r w:rsidR="00F84B6E">
        <w:t xml:space="preserve">, 1159-1171. </w:t>
      </w:r>
    </w:p>
    <w:p w:rsidR="000444C8" w:rsidRDefault="000444C8" w:rsidP="004D62A0">
      <w:pPr>
        <w:pStyle w:val="References"/>
        <w:spacing w:line="360" w:lineRule="auto"/>
        <w:rPr>
          <w:rFonts w:cs="Arial"/>
        </w:rPr>
      </w:pPr>
      <w:r>
        <w:t xml:space="preserve"> [3</w:t>
      </w:r>
      <w:r w:rsidR="006F3A7B">
        <w:t>]</w:t>
      </w:r>
      <w:r w:rsidR="006F3A7B">
        <w:tab/>
      </w:r>
      <w:r w:rsidR="00120573">
        <w:t xml:space="preserve">a) F. Cherblanc, K. L. Chapman, J. Reid, A. J. Borg, S. Sundriyal, L. Alcazar-Fuoli, E. Bignell, M. Demetriades, C. J. Schofield, P. A. DiMaggio, R. Brown, M. J. Fuchter, </w:t>
      </w:r>
      <w:r w:rsidR="00120573" w:rsidRPr="00120573">
        <w:rPr>
          <w:i/>
        </w:rPr>
        <w:t>J. Med. Chem</w:t>
      </w:r>
      <w:r w:rsidR="00120573">
        <w:t xml:space="preserve">., </w:t>
      </w:r>
      <w:r w:rsidR="00120573" w:rsidRPr="00120573">
        <w:rPr>
          <w:b/>
        </w:rPr>
        <w:t>2013</w:t>
      </w:r>
      <w:r w:rsidR="00120573">
        <w:t xml:space="preserve">, </w:t>
      </w:r>
      <w:r w:rsidR="00120573" w:rsidRPr="00120573">
        <w:rPr>
          <w:i/>
        </w:rPr>
        <w:t>56</w:t>
      </w:r>
      <w:r w:rsidR="00120573">
        <w:t xml:space="preserve">, 8616-8625; b) R. Dubey, M. D. Levin, L. Z. Szabo, C. F. </w:t>
      </w:r>
      <w:r w:rsidR="00911ECE">
        <w:rPr>
          <w:rFonts w:cs="Arial"/>
        </w:rPr>
        <w:t>László</w:t>
      </w:r>
      <w:r w:rsidR="00120573">
        <w:t>, S. Kushal, J. B. Singh, P. Oh, J. E. Schnit</w:t>
      </w:r>
      <w:r w:rsidR="00911ECE">
        <w:t xml:space="preserve">zer, B. Z. Olenyuk, </w:t>
      </w:r>
      <w:r w:rsidR="00911ECE" w:rsidRPr="00F84B6E">
        <w:rPr>
          <w:i/>
        </w:rPr>
        <w:t>J. Am. Chem. Soc</w:t>
      </w:r>
      <w:r w:rsidR="00D0290F">
        <w:t>.</w:t>
      </w:r>
      <w:r w:rsidR="00911ECE">
        <w:t xml:space="preserve"> </w:t>
      </w:r>
      <w:r w:rsidR="00911ECE" w:rsidRPr="00F84B6E">
        <w:rPr>
          <w:b/>
        </w:rPr>
        <w:t>2013</w:t>
      </w:r>
      <w:r w:rsidR="00911ECE">
        <w:t xml:space="preserve">, </w:t>
      </w:r>
      <w:r w:rsidR="00911ECE" w:rsidRPr="00F84B6E">
        <w:rPr>
          <w:i/>
        </w:rPr>
        <w:t>135</w:t>
      </w:r>
      <w:r w:rsidR="00911ECE">
        <w:t>, 4537-4539; c) K. M .Block, H. Wang, L. Z. Szab</w:t>
      </w:r>
      <w:r w:rsidR="00911ECE">
        <w:rPr>
          <w:rFonts w:cs="Arial"/>
        </w:rPr>
        <w:t xml:space="preserve">ó, N. W. Polaske, L. K. Henchley, R. Dubey, S. Kushal, C. F. László, J. Makhoul, Z. Song, E. J. Meuillet, B. Z. Olenyuk, </w:t>
      </w:r>
      <w:r w:rsidR="00911ECE" w:rsidRPr="00F84B6E">
        <w:rPr>
          <w:rFonts w:cs="Arial"/>
          <w:i/>
        </w:rPr>
        <w:t>J. Am. Chem. Soc</w:t>
      </w:r>
      <w:r w:rsidR="00D0290F">
        <w:rPr>
          <w:rFonts w:cs="Arial"/>
        </w:rPr>
        <w:t>.</w:t>
      </w:r>
      <w:r w:rsidR="00911ECE">
        <w:rPr>
          <w:rFonts w:cs="Arial"/>
        </w:rPr>
        <w:t xml:space="preserve"> </w:t>
      </w:r>
      <w:r w:rsidR="00911ECE" w:rsidRPr="00F84B6E">
        <w:rPr>
          <w:rFonts w:cs="Arial"/>
          <w:b/>
        </w:rPr>
        <w:t>2009</w:t>
      </w:r>
      <w:r w:rsidR="00911ECE">
        <w:rPr>
          <w:rFonts w:cs="Arial"/>
        </w:rPr>
        <w:t xml:space="preserve">, </w:t>
      </w:r>
      <w:r w:rsidR="00911ECE" w:rsidRPr="00F84B6E">
        <w:rPr>
          <w:rFonts w:cs="Arial"/>
          <w:i/>
        </w:rPr>
        <w:t>131</w:t>
      </w:r>
      <w:r w:rsidR="00911ECE">
        <w:rPr>
          <w:rFonts w:cs="Arial"/>
        </w:rPr>
        <w:t>, 18078-</w:t>
      </w:r>
      <w:r w:rsidR="00D0290F">
        <w:rPr>
          <w:rFonts w:cs="Arial"/>
        </w:rPr>
        <w:t>18088; d) F. Wang, Q. Tong, H. M</w:t>
      </w:r>
      <w:r w:rsidR="00911ECE">
        <w:rPr>
          <w:rFonts w:cs="Arial"/>
        </w:rPr>
        <w:t xml:space="preserve">a, H. Xu, S. Hu, W. Ma, Y. Xue, J. Liu, J. Wang, H. Song, J. Zhang, G. Zhang, Y. Zhang, </w:t>
      </w:r>
      <w:r w:rsidR="00911ECE" w:rsidRPr="00F84B6E">
        <w:rPr>
          <w:rFonts w:cs="Arial"/>
          <w:i/>
        </w:rPr>
        <w:t>Sci. Rep</w:t>
      </w:r>
      <w:r w:rsidR="00911ECE">
        <w:rPr>
          <w:rFonts w:cs="Arial"/>
        </w:rPr>
        <w:t xml:space="preserve">., </w:t>
      </w:r>
      <w:r w:rsidR="00911ECE" w:rsidRPr="00F84B6E">
        <w:rPr>
          <w:rFonts w:cs="Arial"/>
          <w:b/>
        </w:rPr>
        <w:t>2015</w:t>
      </w:r>
      <w:r w:rsidR="00911ECE">
        <w:rPr>
          <w:rFonts w:cs="Arial"/>
        </w:rPr>
        <w:t xml:space="preserve">, </w:t>
      </w:r>
      <w:r w:rsidR="00911ECE" w:rsidRPr="00F84B6E">
        <w:rPr>
          <w:rFonts w:cs="Arial"/>
          <w:i/>
        </w:rPr>
        <w:t>5</w:t>
      </w:r>
      <w:r w:rsidR="00911ECE">
        <w:rPr>
          <w:rFonts w:cs="Arial"/>
        </w:rPr>
        <w:t>, 9294-9302</w:t>
      </w:r>
      <w:r>
        <w:rPr>
          <w:rFonts w:cs="Arial"/>
        </w:rPr>
        <w:t>.</w:t>
      </w:r>
      <w:r w:rsidR="00911ECE">
        <w:rPr>
          <w:rFonts w:cs="Arial"/>
        </w:rPr>
        <w:t xml:space="preserve"> </w:t>
      </w:r>
    </w:p>
    <w:p w:rsidR="006F3A7B" w:rsidRDefault="000444C8" w:rsidP="004D62A0">
      <w:pPr>
        <w:pStyle w:val="References"/>
        <w:spacing w:line="360" w:lineRule="auto"/>
      </w:pPr>
      <w:r>
        <w:rPr>
          <w:rFonts w:cs="Arial"/>
        </w:rPr>
        <w:t>[4]</w:t>
      </w:r>
      <w:r>
        <w:rPr>
          <w:rFonts w:cs="Arial"/>
        </w:rPr>
        <w:tab/>
        <w:t>a</w:t>
      </w:r>
      <w:r w:rsidR="00911ECE">
        <w:rPr>
          <w:rFonts w:cs="Arial"/>
        </w:rPr>
        <w:t xml:space="preserve">) E. V. Fernandez, K. M. Reece, A. M. Ley, S. M. Troutman, T. M. Sissung, D. K. Price, C. H. Chau, W. D. Figg, </w:t>
      </w:r>
      <w:r w:rsidR="00911ECE" w:rsidRPr="00F84B6E">
        <w:rPr>
          <w:rFonts w:cs="Arial"/>
          <w:i/>
        </w:rPr>
        <w:t>Mol. Pharmacol</w:t>
      </w:r>
      <w:r w:rsidR="00D0290F">
        <w:rPr>
          <w:rFonts w:cs="Arial"/>
        </w:rPr>
        <w:t>.</w:t>
      </w:r>
      <w:r w:rsidR="00911ECE">
        <w:rPr>
          <w:rFonts w:cs="Arial"/>
        </w:rPr>
        <w:t xml:space="preserve"> </w:t>
      </w:r>
      <w:r w:rsidR="00911ECE" w:rsidRPr="00F84B6E">
        <w:rPr>
          <w:rFonts w:cs="Arial"/>
          <w:b/>
        </w:rPr>
        <w:t>2015</w:t>
      </w:r>
      <w:r w:rsidR="00911ECE">
        <w:rPr>
          <w:rFonts w:cs="Arial"/>
        </w:rPr>
        <w:t xml:space="preserve">, </w:t>
      </w:r>
      <w:r w:rsidR="00911ECE" w:rsidRPr="00F84B6E">
        <w:rPr>
          <w:rFonts w:cs="Arial"/>
          <w:i/>
        </w:rPr>
        <w:t>87</w:t>
      </w:r>
      <w:r w:rsidR="00911ECE">
        <w:rPr>
          <w:rFonts w:cs="Arial"/>
        </w:rPr>
        <w:t xml:space="preserve">, 1006-1012; </w:t>
      </w:r>
      <w:r>
        <w:rPr>
          <w:rFonts w:cs="Arial"/>
        </w:rPr>
        <w:t>b</w:t>
      </w:r>
      <w:r w:rsidR="00911ECE">
        <w:rPr>
          <w:rFonts w:cs="Arial"/>
        </w:rPr>
        <w:t xml:space="preserve">) </w:t>
      </w:r>
      <w:r w:rsidR="003C2F45">
        <w:rPr>
          <w:rFonts w:cs="Arial"/>
        </w:rPr>
        <w:t xml:space="preserve">K. M. Reece, E. D. Richardson, K. M. Cook, T. J. Campbell, S. T. Pisle, A. J. Holly, D. J. Venzon, D. J. Liewehr, C. H. Chau, D. K. Price, W. D. Figg, </w:t>
      </w:r>
      <w:r w:rsidR="00F84B6E" w:rsidRPr="00F84B6E">
        <w:rPr>
          <w:rFonts w:cs="Arial"/>
          <w:i/>
        </w:rPr>
        <w:t>Molecular</w:t>
      </w:r>
      <w:r w:rsidR="003C2F45" w:rsidRPr="00F84B6E">
        <w:rPr>
          <w:rFonts w:cs="Arial"/>
          <w:i/>
        </w:rPr>
        <w:t xml:space="preserve"> Cancer</w:t>
      </w:r>
      <w:r w:rsidR="003C2F45">
        <w:rPr>
          <w:rFonts w:cs="Arial"/>
        </w:rPr>
        <w:t xml:space="preserve"> </w:t>
      </w:r>
      <w:r w:rsidR="003C2F45" w:rsidRPr="00F84B6E">
        <w:rPr>
          <w:rFonts w:cs="Arial"/>
          <w:b/>
        </w:rPr>
        <w:t>2014</w:t>
      </w:r>
      <w:r w:rsidR="003C2F45">
        <w:rPr>
          <w:rFonts w:cs="Arial"/>
        </w:rPr>
        <w:t xml:space="preserve">, </w:t>
      </w:r>
      <w:r w:rsidR="003C2F45" w:rsidRPr="00F84B6E">
        <w:rPr>
          <w:rFonts w:cs="Arial"/>
          <w:i/>
        </w:rPr>
        <w:t>13</w:t>
      </w:r>
      <w:r w:rsidR="003C2F45">
        <w:rPr>
          <w:rFonts w:cs="Arial"/>
        </w:rPr>
        <w:t xml:space="preserve">, 91-102; </w:t>
      </w:r>
      <w:r>
        <w:rPr>
          <w:rFonts w:cs="Arial"/>
        </w:rPr>
        <w:t>c</w:t>
      </w:r>
      <w:r w:rsidR="003C2F45">
        <w:rPr>
          <w:rFonts w:cs="Arial"/>
        </w:rPr>
        <w:t xml:space="preserve">) T. R. Welch, R. M. Williams, </w:t>
      </w:r>
      <w:r w:rsidR="003C2F45" w:rsidRPr="00F84B6E">
        <w:rPr>
          <w:rFonts w:cs="Arial"/>
          <w:i/>
        </w:rPr>
        <w:t>Tetrahedron</w:t>
      </w:r>
      <w:r w:rsidR="003C2F45">
        <w:rPr>
          <w:rFonts w:cs="Arial"/>
        </w:rPr>
        <w:t xml:space="preserve"> </w:t>
      </w:r>
      <w:r w:rsidR="003C2F45" w:rsidRPr="00F84B6E">
        <w:rPr>
          <w:rFonts w:cs="Arial"/>
          <w:b/>
        </w:rPr>
        <w:t>2013</w:t>
      </w:r>
      <w:r w:rsidR="003C2F45">
        <w:rPr>
          <w:rFonts w:cs="Arial"/>
        </w:rPr>
        <w:t xml:space="preserve">, </w:t>
      </w:r>
      <w:r w:rsidR="003C2F45" w:rsidRPr="00F84B6E">
        <w:rPr>
          <w:rFonts w:cs="Arial"/>
          <w:i/>
        </w:rPr>
        <w:t>69</w:t>
      </w:r>
      <w:r w:rsidR="003C2F45">
        <w:rPr>
          <w:rFonts w:cs="Arial"/>
        </w:rPr>
        <w:t xml:space="preserve">, 770-773; </w:t>
      </w:r>
      <w:r>
        <w:rPr>
          <w:rFonts w:cs="Arial"/>
        </w:rPr>
        <w:t>d</w:t>
      </w:r>
      <w:r w:rsidR="003C2F45">
        <w:rPr>
          <w:rFonts w:cs="Arial"/>
        </w:rPr>
        <w:t xml:space="preserve">) M. Takahashi, Y. Takemoto, T. Shimazu, H. Kawasaki, M. Tachibana, </w:t>
      </w:r>
      <w:r w:rsidR="00D0290F">
        <w:rPr>
          <w:rFonts w:cs="Arial"/>
        </w:rPr>
        <w:t>Y. Shinkai, M. Takagi, K. Shin-Y</w:t>
      </w:r>
      <w:r w:rsidR="003C2F45">
        <w:rPr>
          <w:rFonts w:cs="Arial"/>
        </w:rPr>
        <w:t xml:space="preserve">a, Y. Igarashi, A. Ito, M. Yoshida, </w:t>
      </w:r>
      <w:r w:rsidR="003C2F45" w:rsidRPr="00F84B6E">
        <w:rPr>
          <w:rFonts w:cs="Arial"/>
          <w:i/>
        </w:rPr>
        <w:t>J. Antibiotics</w:t>
      </w:r>
      <w:r w:rsidR="003C2F45">
        <w:rPr>
          <w:rFonts w:cs="Arial"/>
        </w:rPr>
        <w:t xml:space="preserve"> </w:t>
      </w:r>
      <w:r w:rsidR="003C2F45" w:rsidRPr="00F84B6E">
        <w:rPr>
          <w:rFonts w:cs="Arial"/>
          <w:b/>
        </w:rPr>
        <w:t>2012</w:t>
      </w:r>
      <w:r w:rsidR="003C2F45">
        <w:rPr>
          <w:rFonts w:cs="Arial"/>
        </w:rPr>
        <w:t xml:space="preserve">, </w:t>
      </w:r>
      <w:r w:rsidR="003C2F45" w:rsidRPr="00F84B6E">
        <w:rPr>
          <w:rFonts w:cs="Arial"/>
          <w:i/>
        </w:rPr>
        <w:t>65</w:t>
      </w:r>
      <w:r w:rsidR="003C2F45">
        <w:rPr>
          <w:rFonts w:cs="Arial"/>
        </w:rPr>
        <w:t xml:space="preserve">, 263-265; </w:t>
      </w:r>
      <w:r>
        <w:rPr>
          <w:rFonts w:cs="Arial"/>
        </w:rPr>
        <w:t>e</w:t>
      </w:r>
      <w:r w:rsidR="003C2F45">
        <w:rPr>
          <w:rFonts w:cs="Arial"/>
        </w:rPr>
        <w:t xml:space="preserve">) J. Kessler, A. Hahnel, H. Wichmann, S. Rot, M. Kappler, M. Bache, D. Vordermark, </w:t>
      </w:r>
      <w:r w:rsidR="003C2F45" w:rsidRPr="00F84B6E">
        <w:rPr>
          <w:rFonts w:cs="Arial"/>
          <w:i/>
        </w:rPr>
        <w:t>BMC Cancer</w:t>
      </w:r>
      <w:r w:rsidR="003C2F45">
        <w:rPr>
          <w:rFonts w:cs="Arial"/>
        </w:rPr>
        <w:t xml:space="preserve"> </w:t>
      </w:r>
      <w:r w:rsidR="003C2F45" w:rsidRPr="00F84B6E">
        <w:rPr>
          <w:rFonts w:cs="Arial"/>
          <w:b/>
        </w:rPr>
        <w:t>2010</w:t>
      </w:r>
      <w:r w:rsidR="003C2F45">
        <w:rPr>
          <w:rFonts w:cs="Arial"/>
        </w:rPr>
        <w:t xml:space="preserve">, </w:t>
      </w:r>
      <w:r w:rsidR="003C2F45" w:rsidRPr="00F84B6E">
        <w:rPr>
          <w:rFonts w:cs="Arial"/>
          <w:i/>
        </w:rPr>
        <w:t>10</w:t>
      </w:r>
      <w:r w:rsidR="003C2F45">
        <w:rPr>
          <w:rFonts w:cs="Arial"/>
        </w:rPr>
        <w:t xml:space="preserve">, 605-611; </w:t>
      </w:r>
      <w:r>
        <w:rPr>
          <w:rFonts w:cs="Arial"/>
        </w:rPr>
        <w:t>f</w:t>
      </w:r>
      <w:r w:rsidR="003C2F45">
        <w:rPr>
          <w:rFonts w:cs="Arial"/>
        </w:rPr>
        <w:t xml:space="preserve">) A. Staab, J. Loeffler, H. M. Said, D. Diehlmann, A. Katzer, M. Beyer, M. Fleischer, F. Schwab, K. Baier, H. Einsele, M. Flentje, D. Vordermark, </w:t>
      </w:r>
      <w:r w:rsidR="003C2F45" w:rsidRPr="000444C8">
        <w:rPr>
          <w:rFonts w:cs="Arial"/>
          <w:i/>
        </w:rPr>
        <w:t>BMC Cancer</w:t>
      </w:r>
      <w:r w:rsidR="003C2F45">
        <w:rPr>
          <w:rFonts w:cs="Arial"/>
        </w:rPr>
        <w:t xml:space="preserve"> </w:t>
      </w:r>
      <w:r w:rsidR="003C2F45" w:rsidRPr="000444C8">
        <w:rPr>
          <w:rFonts w:cs="Arial"/>
          <w:b/>
        </w:rPr>
        <w:t>2007</w:t>
      </w:r>
      <w:r w:rsidR="003C2F45">
        <w:rPr>
          <w:rFonts w:cs="Arial"/>
        </w:rPr>
        <w:t xml:space="preserve">, 1-7; </w:t>
      </w:r>
      <w:r>
        <w:rPr>
          <w:rFonts w:cs="Arial"/>
        </w:rPr>
        <w:t>g</w:t>
      </w:r>
      <w:r w:rsidR="00F84B6E">
        <w:rPr>
          <w:rFonts w:cs="Arial"/>
        </w:rPr>
        <w:t xml:space="preserve">) </w:t>
      </w:r>
      <w:r w:rsidR="003C2F45">
        <w:rPr>
          <w:rFonts w:cs="Arial"/>
        </w:rPr>
        <w:t>A. L. Kung, S. D. Zabludoff, D. S.</w:t>
      </w:r>
      <w:r w:rsidR="00D0290F">
        <w:rPr>
          <w:rFonts w:cs="Arial"/>
        </w:rPr>
        <w:t xml:space="preserve"> France, S. J. Freedman, E. A. T</w:t>
      </w:r>
      <w:r w:rsidR="003C2F45">
        <w:rPr>
          <w:rFonts w:cs="Arial"/>
        </w:rPr>
        <w:t xml:space="preserve">anner, A. Viera, S. Cornell-Kennon, J. Lee, B. Wang, J. Wang, K. Memmert, H. Nageli, F. Peterson, M. J. Eck, K. W. Bair, A. W. Wood, D. M. Livingston, </w:t>
      </w:r>
      <w:r w:rsidR="003C2F45" w:rsidRPr="00F84B6E">
        <w:rPr>
          <w:rFonts w:cs="Arial"/>
          <w:i/>
        </w:rPr>
        <w:t>Cancer Cell</w:t>
      </w:r>
      <w:r w:rsidR="003C2F45">
        <w:rPr>
          <w:rFonts w:cs="Arial"/>
        </w:rPr>
        <w:t xml:space="preserve"> </w:t>
      </w:r>
      <w:r w:rsidR="003C2F45" w:rsidRPr="00F84B6E">
        <w:rPr>
          <w:rFonts w:cs="Arial"/>
          <w:b/>
        </w:rPr>
        <w:t>2004</w:t>
      </w:r>
      <w:r w:rsidR="003C2F45">
        <w:rPr>
          <w:rFonts w:cs="Arial"/>
        </w:rPr>
        <w:t xml:space="preserve">, </w:t>
      </w:r>
      <w:r w:rsidR="003C2F45" w:rsidRPr="00F84B6E">
        <w:rPr>
          <w:rFonts w:cs="Arial"/>
          <w:i/>
        </w:rPr>
        <w:t>6</w:t>
      </w:r>
      <w:r w:rsidR="003C2F45">
        <w:rPr>
          <w:rFonts w:cs="Arial"/>
        </w:rPr>
        <w:t>, 33-</w:t>
      </w:r>
      <w:r w:rsidR="00F84B6E">
        <w:rPr>
          <w:rFonts w:cs="Arial"/>
        </w:rPr>
        <w:t xml:space="preserve">43; </w:t>
      </w:r>
      <w:r>
        <w:rPr>
          <w:rFonts w:cs="Arial"/>
        </w:rPr>
        <w:t>h</w:t>
      </w:r>
      <w:r w:rsidR="00F84B6E">
        <w:rPr>
          <w:rFonts w:cs="Arial"/>
        </w:rPr>
        <w:t xml:space="preserve">) C. R. Isham, J. D. Tibodeau, W. Jin, R. F. Xu, M. M. Timm, K. C. Bible, </w:t>
      </w:r>
      <w:r w:rsidR="00F84B6E" w:rsidRPr="00F84B6E">
        <w:rPr>
          <w:rFonts w:cs="Arial"/>
          <w:i/>
        </w:rPr>
        <w:t>Blood</w:t>
      </w:r>
      <w:r w:rsidR="00F84B6E">
        <w:rPr>
          <w:rFonts w:cs="Arial"/>
        </w:rPr>
        <w:t xml:space="preserve"> </w:t>
      </w:r>
      <w:r w:rsidR="00F84B6E" w:rsidRPr="00F84B6E">
        <w:rPr>
          <w:rFonts w:cs="Arial"/>
          <w:b/>
        </w:rPr>
        <w:t>2009</w:t>
      </w:r>
      <w:r w:rsidR="00F84B6E">
        <w:rPr>
          <w:rFonts w:cs="Arial"/>
        </w:rPr>
        <w:t xml:space="preserve">, </w:t>
      </w:r>
      <w:r w:rsidR="00F84B6E" w:rsidRPr="00F84B6E">
        <w:rPr>
          <w:rFonts w:cs="Arial"/>
          <w:i/>
        </w:rPr>
        <w:t>109</w:t>
      </w:r>
      <w:r w:rsidR="00F84B6E">
        <w:rPr>
          <w:rFonts w:cs="Arial"/>
        </w:rPr>
        <w:t xml:space="preserve">, 2579-2588. </w:t>
      </w:r>
    </w:p>
    <w:p w:rsidR="000444C8" w:rsidRDefault="000444C8" w:rsidP="004D62A0">
      <w:pPr>
        <w:pStyle w:val="References"/>
        <w:spacing w:line="360" w:lineRule="auto"/>
      </w:pPr>
      <w:r>
        <w:t>[5</w:t>
      </w:r>
      <w:r w:rsidR="00305CB7">
        <w:t>]</w:t>
      </w:r>
      <w:r w:rsidR="00305CB7">
        <w:tab/>
      </w:r>
      <w:r w:rsidR="003B23FB">
        <w:t xml:space="preserve">G. M. Strunz, M. Kakushima, M. A. Stillwell, C. J. Heissner, </w:t>
      </w:r>
      <w:r w:rsidR="003B23FB" w:rsidRPr="003B23FB">
        <w:rPr>
          <w:i/>
        </w:rPr>
        <w:t>J. Chem. Soc. Perkin Trans I</w:t>
      </w:r>
      <w:r w:rsidR="003B23FB">
        <w:t xml:space="preserve"> </w:t>
      </w:r>
      <w:r w:rsidR="003B23FB" w:rsidRPr="003B23FB">
        <w:rPr>
          <w:b/>
        </w:rPr>
        <w:t>1973</w:t>
      </w:r>
      <w:r>
        <w:t>, 2600-2602.</w:t>
      </w:r>
    </w:p>
    <w:p w:rsidR="000444C8" w:rsidRDefault="000444C8" w:rsidP="004D62A0">
      <w:pPr>
        <w:pStyle w:val="References"/>
        <w:spacing w:line="360" w:lineRule="auto"/>
      </w:pPr>
      <w:r>
        <w:t>[6]</w:t>
      </w:r>
      <w:r>
        <w:tab/>
      </w:r>
      <w:r w:rsidR="003B23FB">
        <w:t xml:space="preserve">G. M. Strunz, M. Kakushima </w:t>
      </w:r>
      <w:r w:rsidR="003B23FB" w:rsidRPr="003B23FB">
        <w:rPr>
          <w:i/>
        </w:rPr>
        <w:t>Experientia</w:t>
      </w:r>
      <w:r w:rsidR="003B23FB">
        <w:t xml:space="preserve"> </w:t>
      </w:r>
      <w:r w:rsidR="003B23FB" w:rsidRPr="003B23FB">
        <w:rPr>
          <w:b/>
        </w:rPr>
        <w:t>1974</w:t>
      </w:r>
      <w:r>
        <w:t>, 719-720.</w:t>
      </w:r>
      <w:r w:rsidR="003B23FB">
        <w:t xml:space="preserve"> </w:t>
      </w:r>
    </w:p>
    <w:p w:rsidR="000444C8" w:rsidRDefault="000444C8" w:rsidP="004D62A0">
      <w:pPr>
        <w:pStyle w:val="References"/>
        <w:spacing w:line="360" w:lineRule="auto"/>
      </w:pPr>
      <w:r>
        <w:t>[7]</w:t>
      </w:r>
      <w:r>
        <w:tab/>
      </w:r>
      <w:r w:rsidR="00C43CE4">
        <w:t xml:space="preserve">M. I. P. Boente, G. W. Kirby, G. L. Patrick, D. J. Robins, </w:t>
      </w:r>
      <w:r w:rsidR="00C43CE4" w:rsidRPr="003B23FB">
        <w:rPr>
          <w:i/>
        </w:rPr>
        <w:t>J. Chem. Soc. Perkin Trans I</w:t>
      </w:r>
      <w:r w:rsidR="00C43CE4">
        <w:t xml:space="preserve"> </w:t>
      </w:r>
      <w:r w:rsidR="00C43CE4" w:rsidRPr="003B23FB">
        <w:rPr>
          <w:b/>
        </w:rPr>
        <w:t>1991</w:t>
      </w:r>
      <w:r w:rsidR="00C43CE4">
        <w:t>, 1283-1290.</w:t>
      </w:r>
    </w:p>
    <w:p w:rsidR="00C43CE4" w:rsidRDefault="000444C8" w:rsidP="004D62A0">
      <w:pPr>
        <w:pStyle w:val="References"/>
        <w:spacing w:line="360" w:lineRule="auto"/>
      </w:pPr>
      <w:r>
        <w:t>[8]</w:t>
      </w:r>
      <w:r>
        <w:tab/>
      </w:r>
      <w:r w:rsidR="00C43CE4">
        <w:t xml:space="preserve">a) </w:t>
      </w:r>
      <w:r w:rsidR="00C43CE4" w:rsidRPr="006F3A7B">
        <w:rPr>
          <w:rFonts w:cs="Arial"/>
        </w:rPr>
        <w:t xml:space="preserve">K. Tanda, A. Toyao, A. Watanabe, M. Sakamoto, T. Yamasaki, </w:t>
      </w:r>
      <w:r w:rsidR="00C43CE4" w:rsidRPr="006F3A7B">
        <w:rPr>
          <w:rFonts w:cs="Arial"/>
          <w:i/>
        </w:rPr>
        <w:t>Synlett</w:t>
      </w:r>
      <w:r w:rsidR="00C43CE4" w:rsidRPr="006F3A7B">
        <w:rPr>
          <w:rFonts w:cs="Arial"/>
        </w:rPr>
        <w:t xml:space="preserve">, </w:t>
      </w:r>
      <w:r w:rsidR="00C43CE4" w:rsidRPr="006F3A7B">
        <w:rPr>
          <w:rFonts w:cs="Arial"/>
          <w:b/>
        </w:rPr>
        <w:t>201</w:t>
      </w:r>
      <w:r w:rsidR="0035293C">
        <w:rPr>
          <w:rFonts w:cs="Arial"/>
          <w:b/>
        </w:rPr>
        <w:t>4</w:t>
      </w:r>
      <w:r w:rsidR="00C43CE4" w:rsidRPr="006F3A7B">
        <w:rPr>
          <w:rFonts w:cs="Arial"/>
        </w:rPr>
        <w:t xml:space="preserve">, </w:t>
      </w:r>
      <w:r w:rsidR="00C43CE4" w:rsidRPr="006F3A7B">
        <w:rPr>
          <w:rFonts w:cs="Arial"/>
          <w:i/>
        </w:rPr>
        <w:t>25</w:t>
      </w:r>
      <w:r w:rsidR="00C43CE4" w:rsidRPr="006F3A7B">
        <w:rPr>
          <w:rFonts w:cs="Arial"/>
        </w:rPr>
        <w:t>, 2953- 2956</w:t>
      </w:r>
      <w:r w:rsidR="00C43CE4">
        <w:rPr>
          <w:rFonts w:cs="Arial"/>
        </w:rPr>
        <w:t>;</w:t>
      </w:r>
      <w:r w:rsidR="00C43CE4" w:rsidRPr="006F3A7B">
        <w:rPr>
          <w:rFonts w:cs="Arial"/>
        </w:rPr>
        <w:t xml:space="preserve"> b) S. Chu, J. Zhang, </w:t>
      </w:r>
      <w:r w:rsidR="00C43CE4" w:rsidRPr="006F3A7B">
        <w:rPr>
          <w:rFonts w:cs="Arial"/>
          <w:i/>
        </w:rPr>
        <w:t>Acta Pharm. Sin.</w:t>
      </w:r>
      <w:r w:rsidR="00C43CE4" w:rsidRPr="006F3A7B">
        <w:rPr>
          <w:rFonts w:cs="Arial"/>
        </w:rPr>
        <w:t xml:space="preserve"> </w:t>
      </w:r>
      <w:r w:rsidR="00C43CE4" w:rsidRPr="006F3A7B">
        <w:rPr>
          <w:rFonts w:cs="Arial"/>
          <w:b/>
        </w:rPr>
        <w:t>2014</w:t>
      </w:r>
      <w:r w:rsidR="00C43CE4" w:rsidRPr="006F3A7B">
        <w:rPr>
          <w:rFonts w:cs="Arial"/>
        </w:rPr>
        <w:t xml:space="preserve">, </w:t>
      </w:r>
      <w:r w:rsidR="00C43CE4" w:rsidRPr="006F3A7B">
        <w:rPr>
          <w:rFonts w:cs="Arial"/>
          <w:i/>
        </w:rPr>
        <w:t>4</w:t>
      </w:r>
      <w:r w:rsidR="00C43CE4" w:rsidRPr="006F3A7B">
        <w:rPr>
          <w:rFonts w:cs="Arial"/>
        </w:rPr>
        <w:t>, 417–423; c) X. Li, K. Lai, K. Wu, D. Huang, L. Huang</w:t>
      </w:r>
      <w:r w:rsidR="00C43CE4" w:rsidRPr="006F3A7B">
        <w:rPr>
          <w:rFonts w:cs="Arial"/>
          <w:i/>
        </w:rPr>
        <w:t xml:space="preserve">, </w:t>
      </w:r>
      <w:r w:rsidR="00C43CE4" w:rsidRPr="006F3A7B">
        <w:rPr>
          <w:rFonts w:cs="Arial"/>
          <w:i/>
          <w:lang w:eastAsia="en-GB"/>
        </w:rPr>
        <w:t>Eur. J. Med. Chem</w:t>
      </w:r>
      <w:r w:rsidR="00C43CE4" w:rsidRPr="006F3A7B">
        <w:rPr>
          <w:rFonts w:cs="Arial"/>
          <w:lang w:eastAsia="en-GB"/>
        </w:rPr>
        <w:t xml:space="preserve">. </w:t>
      </w:r>
      <w:r w:rsidR="00C43CE4" w:rsidRPr="006F3A7B">
        <w:rPr>
          <w:rFonts w:cs="Arial"/>
          <w:b/>
          <w:lang w:eastAsia="en-GB"/>
        </w:rPr>
        <w:t>2014</w:t>
      </w:r>
      <w:r w:rsidR="00C43CE4" w:rsidRPr="006F3A7B">
        <w:rPr>
          <w:rFonts w:cs="Arial"/>
          <w:lang w:eastAsia="en-GB"/>
        </w:rPr>
        <w:t xml:space="preserve">, </w:t>
      </w:r>
      <w:r w:rsidR="00C43CE4" w:rsidRPr="00D0290F">
        <w:rPr>
          <w:rFonts w:cs="Arial"/>
          <w:i/>
          <w:lang w:eastAsia="en-GB"/>
        </w:rPr>
        <w:t>74</w:t>
      </w:r>
      <w:r w:rsidR="00C43CE4" w:rsidRPr="006F3A7B">
        <w:rPr>
          <w:rFonts w:cs="Arial"/>
          <w:lang w:eastAsia="en-GB"/>
        </w:rPr>
        <w:t xml:space="preserve">, 736-741; d) C. Zhu, L. Wang, F. Hua, X. Yu, J. Zhang, </w:t>
      </w:r>
      <w:r w:rsidR="00C43CE4" w:rsidRPr="006F3A7B">
        <w:rPr>
          <w:rFonts w:cs="Arial"/>
          <w:i/>
          <w:lang w:eastAsia="en-GB"/>
        </w:rPr>
        <w:t>Eur. J. Pharm. Sci.</w:t>
      </w:r>
      <w:r w:rsidR="00C43CE4" w:rsidRPr="006F3A7B">
        <w:rPr>
          <w:rFonts w:cs="Arial"/>
          <w:lang w:eastAsia="en-GB"/>
        </w:rPr>
        <w:t xml:space="preserve"> </w:t>
      </w:r>
      <w:r w:rsidR="00C43CE4" w:rsidRPr="006F3A7B">
        <w:rPr>
          <w:rFonts w:cs="Arial"/>
          <w:b/>
          <w:lang w:eastAsia="en-GB"/>
        </w:rPr>
        <w:t>2013</w:t>
      </w:r>
      <w:r w:rsidR="00C43CE4" w:rsidRPr="006F3A7B">
        <w:rPr>
          <w:rFonts w:cs="Arial"/>
          <w:lang w:eastAsia="en-GB"/>
        </w:rPr>
        <w:t xml:space="preserve">, </w:t>
      </w:r>
      <w:r w:rsidR="00C43CE4" w:rsidRPr="006F3A7B">
        <w:rPr>
          <w:rFonts w:cs="Arial"/>
          <w:i/>
          <w:lang w:eastAsia="en-GB"/>
        </w:rPr>
        <w:t>49</w:t>
      </w:r>
      <w:r w:rsidR="00C43CE4" w:rsidRPr="006F3A7B">
        <w:rPr>
          <w:rFonts w:cs="Arial"/>
          <w:lang w:eastAsia="en-GB"/>
        </w:rPr>
        <w:t xml:space="preserve">, 761-766; </w:t>
      </w:r>
      <w:r w:rsidR="00C43CE4">
        <w:rPr>
          <w:rFonts w:cs="Arial"/>
          <w:lang w:eastAsia="en-GB"/>
        </w:rPr>
        <w:t>e</w:t>
      </w:r>
      <w:r w:rsidR="00C43CE4" w:rsidRPr="006F3A7B">
        <w:rPr>
          <w:rFonts w:cs="Arial"/>
          <w:color w:val="333333"/>
        </w:rPr>
        <w:t xml:space="preserve">) N. Ning, J. Sun, G. Du, N. Han, J. Zhang, N. Chen, </w:t>
      </w:r>
      <w:r w:rsidR="0054539A">
        <w:rPr>
          <w:rFonts w:cs="Arial"/>
          <w:i/>
          <w:color w:val="333333"/>
        </w:rPr>
        <w:t>Neurosci.</w:t>
      </w:r>
      <w:r w:rsidR="00C43CE4" w:rsidRPr="006F3A7B">
        <w:rPr>
          <w:rFonts w:cs="Arial"/>
          <w:i/>
          <w:color w:val="333333"/>
        </w:rPr>
        <w:t xml:space="preserve"> Lett</w:t>
      </w:r>
      <w:r w:rsidR="0054539A">
        <w:rPr>
          <w:rFonts w:cs="Arial"/>
          <w:i/>
          <w:color w:val="333333"/>
        </w:rPr>
        <w:t>.</w:t>
      </w:r>
      <w:r w:rsidR="00C43CE4" w:rsidRPr="006F3A7B">
        <w:rPr>
          <w:rFonts w:cs="Arial"/>
          <w:color w:val="333333"/>
        </w:rPr>
        <w:t xml:space="preserve"> </w:t>
      </w:r>
      <w:r w:rsidR="00C43CE4" w:rsidRPr="006F3A7B">
        <w:rPr>
          <w:rFonts w:cs="Arial"/>
          <w:b/>
          <w:color w:val="333333"/>
        </w:rPr>
        <w:t>2012</w:t>
      </w:r>
      <w:r w:rsidR="00C43CE4" w:rsidRPr="006F3A7B">
        <w:rPr>
          <w:rFonts w:cs="Arial"/>
          <w:color w:val="333333"/>
        </w:rPr>
        <w:t xml:space="preserve">, </w:t>
      </w:r>
      <w:r w:rsidR="00C43CE4" w:rsidRPr="006F3A7B">
        <w:rPr>
          <w:rFonts w:cs="Arial"/>
          <w:i/>
          <w:color w:val="333333"/>
        </w:rPr>
        <w:t>523</w:t>
      </w:r>
      <w:r w:rsidR="00C43CE4" w:rsidRPr="006F3A7B">
        <w:rPr>
          <w:rFonts w:cs="Arial"/>
          <w:color w:val="333333"/>
        </w:rPr>
        <w:t xml:space="preserve">, 99-103; </w:t>
      </w:r>
      <w:r w:rsidR="00C43CE4">
        <w:rPr>
          <w:rFonts w:cs="Arial"/>
          <w:color w:val="333333"/>
        </w:rPr>
        <w:t xml:space="preserve">f) </w:t>
      </w:r>
      <w:r w:rsidR="00C43CE4" w:rsidRPr="006F3A7B">
        <w:rPr>
          <w:rFonts w:cs="Arial"/>
          <w:color w:val="333333"/>
        </w:rPr>
        <w:t>N. Ning, J. Hu, J. Sun, N. Han, J. Zhang, N. Chen</w:t>
      </w:r>
      <w:r w:rsidR="00C43CE4" w:rsidRPr="006F3A7B">
        <w:rPr>
          <w:rFonts w:cs="Arial"/>
          <w:i/>
          <w:color w:val="333333"/>
        </w:rPr>
        <w:t>, Eur. J. Pharmacol</w:t>
      </w:r>
      <w:r w:rsidR="00C43CE4" w:rsidRPr="006F3A7B">
        <w:rPr>
          <w:rFonts w:cs="Arial"/>
          <w:color w:val="333333"/>
        </w:rPr>
        <w:t xml:space="preserve">. </w:t>
      </w:r>
      <w:r w:rsidR="00C43CE4" w:rsidRPr="006F3A7B">
        <w:rPr>
          <w:rFonts w:cs="Arial"/>
          <w:b/>
          <w:color w:val="333333"/>
        </w:rPr>
        <w:t>2012</w:t>
      </w:r>
      <w:r w:rsidR="00C43CE4" w:rsidRPr="006F3A7B">
        <w:rPr>
          <w:rFonts w:cs="Arial"/>
          <w:color w:val="333333"/>
        </w:rPr>
        <w:t xml:space="preserve">, </w:t>
      </w:r>
      <w:r w:rsidR="00C43CE4" w:rsidRPr="006F3A7B">
        <w:rPr>
          <w:rFonts w:cs="Arial"/>
          <w:i/>
          <w:color w:val="333333"/>
        </w:rPr>
        <w:t>682</w:t>
      </w:r>
      <w:r w:rsidR="00C43CE4" w:rsidRPr="006F3A7B">
        <w:rPr>
          <w:rFonts w:cs="Arial"/>
          <w:color w:val="333333"/>
        </w:rPr>
        <w:t xml:space="preserve">, 50-55; </w:t>
      </w:r>
      <w:r w:rsidR="00C43CE4">
        <w:rPr>
          <w:rFonts w:cs="Arial"/>
          <w:color w:val="333333"/>
        </w:rPr>
        <w:t xml:space="preserve">g) J. Hu, S. Chu, N. Ning, Y. Yuan, W. Xue, N. Chen, J. Zhang </w:t>
      </w:r>
      <w:r w:rsidR="0054539A">
        <w:rPr>
          <w:rFonts w:cs="Arial"/>
          <w:i/>
          <w:color w:val="333333"/>
        </w:rPr>
        <w:t>Neurosci.</w:t>
      </w:r>
      <w:r w:rsidR="00C43CE4" w:rsidRPr="00D86C09">
        <w:rPr>
          <w:rFonts w:cs="Arial"/>
          <w:i/>
          <w:color w:val="333333"/>
        </w:rPr>
        <w:t xml:space="preserve"> Lett</w:t>
      </w:r>
      <w:r w:rsidR="0054539A">
        <w:rPr>
          <w:rFonts w:cs="Arial"/>
          <w:i/>
          <w:color w:val="333333"/>
        </w:rPr>
        <w:t>.</w:t>
      </w:r>
      <w:r w:rsidR="00C43CE4">
        <w:rPr>
          <w:rFonts w:cs="Arial"/>
          <w:color w:val="333333"/>
        </w:rPr>
        <w:t xml:space="preserve"> </w:t>
      </w:r>
      <w:r w:rsidR="00C43CE4" w:rsidRPr="00D86C09">
        <w:rPr>
          <w:rFonts w:cs="Arial"/>
          <w:b/>
          <w:color w:val="333333"/>
        </w:rPr>
        <w:t>2010</w:t>
      </w:r>
      <w:r w:rsidR="00C43CE4">
        <w:rPr>
          <w:rFonts w:cs="Arial"/>
          <w:color w:val="333333"/>
        </w:rPr>
        <w:t xml:space="preserve">, </w:t>
      </w:r>
      <w:r w:rsidR="00C43CE4" w:rsidRPr="00D86C09">
        <w:rPr>
          <w:rFonts w:cs="Arial"/>
          <w:i/>
          <w:color w:val="333333"/>
        </w:rPr>
        <w:t>483</w:t>
      </w:r>
      <w:r w:rsidR="00C43CE4">
        <w:rPr>
          <w:rFonts w:cs="Arial"/>
          <w:color w:val="333333"/>
        </w:rPr>
        <w:t>, 78-82.</w:t>
      </w:r>
    </w:p>
    <w:p w:rsidR="000444C8" w:rsidRDefault="000444C8" w:rsidP="004D62A0">
      <w:pPr>
        <w:pStyle w:val="References"/>
        <w:spacing w:line="360" w:lineRule="auto"/>
      </w:pPr>
      <w:r>
        <w:t>[9]</w:t>
      </w:r>
      <w:r>
        <w:tab/>
      </w:r>
      <w:r w:rsidR="004B4B79">
        <w:rPr>
          <w:rFonts w:cs="Arial"/>
          <w:color w:val="333333"/>
        </w:rPr>
        <w:t xml:space="preserve">a) A. Coste, J. Kim, T. C. Adams, M. Movassaghi, </w:t>
      </w:r>
      <w:r w:rsidR="004B4B79" w:rsidRPr="002F510E">
        <w:rPr>
          <w:rFonts w:cs="Arial"/>
          <w:i/>
          <w:color w:val="333333"/>
        </w:rPr>
        <w:t>Chem. Sci.,</w:t>
      </w:r>
      <w:r w:rsidR="004B4B79">
        <w:rPr>
          <w:rFonts w:cs="Arial"/>
          <w:color w:val="333333"/>
        </w:rPr>
        <w:t xml:space="preserve"> </w:t>
      </w:r>
      <w:r w:rsidR="004B4B79" w:rsidRPr="002F510E">
        <w:rPr>
          <w:rFonts w:cs="Arial"/>
          <w:b/>
          <w:color w:val="333333"/>
        </w:rPr>
        <w:t>2013</w:t>
      </w:r>
      <w:r w:rsidR="004B4B79">
        <w:rPr>
          <w:rFonts w:cs="Arial"/>
          <w:color w:val="333333"/>
        </w:rPr>
        <w:t xml:space="preserve">, </w:t>
      </w:r>
      <w:r w:rsidR="004B4B79" w:rsidRPr="002F510E">
        <w:rPr>
          <w:rFonts w:cs="Arial"/>
          <w:i/>
          <w:color w:val="333333"/>
        </w:rPr>
        <w:t>4</w:t>
      </w:r>
      <w:r w:rsidR="004B4B79">
        <w:rPr>
          <w:rFonts w:cs="Arial"/>
          <w:color w:val="333333"/>
        </w:rPr>
        <w:t xml:space="preserve">, 3191-3197. b) N. Boyer, M. Movassaghi, </w:t>
      </w:r>
      <w:r w:rsidR="004B4B79" w:rsidRPr="002F510E">
        <w:rPr>
          <w:rFonts w:cs="Arial"/>
          <w:i/>
          <w:color w:val="333333"/>
        </w:rPr>
        <w:t>Chem. Sci</w:t>
      </w:r>
      <w:r w:rsidR="004B4B79">
        <w:rPr>
          <w:rFonts w:cs="Arial"/>
          <w:color w:val="333333"/>
        </w:rPr>
        <w:t xml:space="preserve">. </w:t>
      </w:r>
      <w:r w:rsidR="004B4B79" w:rsidRPr="002F510E">
        <w:rPr>
          <w:rFonts w:cs="Arial"/>
          <w:b/>
          <w:color w:val="333333"/>
        </w:rPr>
        <w:t>2012</w:t>
      </w:r>
      <w:r w:rsidR="004B4B79">
        <w:rPr>
          <w:rFonts w:cs="Arial"/>
          <w:color w:val="333333"/>
        </w:rPr>
        <w:t xml:space="preserve">, </w:t>
      </w:r>
      <w:r w:rsidR="004B4B79" w:rsidRPr="002F510E">
        <w:rPr>
          <w:rFonts w:cs="Arial"/>
          <w:i/>
          <w:color w:val="333333"/>
        </w:rPr>
        <w:t>3</w:t>
      </w:r>
      <w:r w:rsidR="004B4B79">
        <w:rPr>
          <w:rFonts w:cs="Arial"/>
          <w:color w:val="333333"/>
        </w:rPr>
        <w:t>, 1798-1803;</w:t>
      </w:r>
    </w:p>
    <w:p w:rsidR="003B23FB" w:rsidRPr="00390DD7" w:rsidRDefault="000444C8" w:rsidP="004D62A0">
      <w:pPr>
        <w:pStyle w:val="References"/>
        <w:spacing w:line="360" w:lineRule="auto"/>
      </w:pPr>
      <w:r>
        <w:t>[10]</w:t>
      </w:r>
      <w:r>
        <w:tab/>
      </w:r>
      <w:r w:rsidR="004B4B79">
        <w:t xml:space="preserve">a) </w:t>
      </w:r>
      <w:r w:rsidR="00D0290F">
        <w:rPr>
          <w:rFonts w:cs="Arial"/>
          <w:color w:val="333333"/>
        </w:rPr>
        <w:t>J. E. Del</w:t>
      </w:r>
      <w:r w:rsidR="004B4B79">
        <w:rPr>
          <w:rFonts w:cs="Arial"/>
          <w:color w:val="333333"/>
        </w:rPr>
        <w:t xml:space="preserve">orbe, D. Horne, R. Jove, S. M. Mennen, S. Nam, F. Zhang, L. E. Overman, </w:t>
      </w:r>
      <w:r w:rsidR="004B4B79" w:rsidRPr="002F510E">
        <w:rPr>
          <w:rFonts w:cs="Arial"/>
          <w:i/>
          <w:color w:val="333333"/>
        </w:rPr>
        <w:t>J. Am. Chem. Soc</w:t>
      </w:r>
      <w:r w:rsidR="004B4B79">
        <w:rPr>
          <w:rFonts w:cs="Arial"/>
          <w:color w:val="333333"/>
        </w:rPr>
        <w:t xml:space="preserve">. </w:t>
      </w:r>
      <w:r w:rsidR="004B4B79" w:rsidRPr="002F510E">
        <w:rPr>
          <w:rFonts w:cs="Arial"/>
          <w:b/>
          <w:color w:val="333333"/>
        </w:rPr>
        <w:t>2013</w:t>
      </w:r>
      <w:r w:rsidR="004B4B79">
        <w:rPr>
          <w:rFonts w:cs="Arial"/>
          <w:color w:val="333333"/>
        </w:rPr>
        <w:t xml:space="preserve">, </w:t>
      </w:r>
      <w:r w:rsidR="004B4B79" w:rsidRPr="002F510E">
        <w:rPr>
          <w:rFonts w:cs="Arial"/>
          <w:i/>
          <w:color w:val="333333"/>
        </w:rPr>
        <w:t>135</w:t>
      </w:r>
      <w:r w:rsidR="004B4B79">
        <w:rPr>
          <w:rFonts w:cs="Arial"/>
          <w:color w:val="333333"/>
        </w:rPr>
        <w:t xml:space="preserve">, 4117-4128; b) S. Y. Jabri, L. E. Overman, </w:t>
      </w:r>
      <w:r w:rsidR="004B4B79" w:rsidRPr="002F510E">
        <w:rPr>
          <w:rFonts w:cs="Arial"/>
          <w:i/>
          <w:color w:val="333333"/>
        </w:rPr>
        <w:t>J. Org. Chem.</w:t>
      </w:r>
      <w:r w:rsidR="004B4B79">
        <w:rPr>
          <w:rFonts w:cs="Arial"/>
          <w:color w:val="333333"/>
        </w:rPr>
        <w:t xml:space="preserve"> </w:t>
      </w:r>
      <w:r w:rsidR="004B4B79" w:rsidRPr="002F510E">
        <w:rPr>
          <w:rFonts w:cs="Arial"/>
          <w:b/>
          <w:color w:val="333333"/>
        </w:rPr>
        <w:t>2013</w:t>
      </w:r>
      <w:r w:rsidR="004B4B79">
        <w:rPr>
          <w:rFonts w:cs="Arial"/>
          <w:color w:val="333333"/>
        </w:rPr>
        <w:t xml:space="preserve">, </w:t>
      </w:r>
      <w:r w:rsidR="004B4B79" w:rsidRPr="002F510E">
        <w:rPr>
          <w:rFonts w:cs="Arial"/>
          <w:i/>
          <w:color w:val="333333"/>
        </w:rPr>
        <w:t>78</w:t>
      </w:r>
      <w:r w:rsidR="004B4B79">
        <w:rPr>
          <w:rFonts w:cs="Arial"/>
          <w:color w:val="333333"/>
        </w:rPr>
        <w:t>, 8766-8788.</w:t>
      </w:r>
    </w:p>
    <w:p w:rsidR="00FB1109" w:rsidRDefault="000444C8" w:rsidP="00FB1109">
      <w:pPr>
        <w:pStyle w:val="References"/>
        <w:spacing w:line="360" w:lineRule="auto"/>
        <w:rPr>
          <w:rFonts w:cs="Arial"/>
          <w:color w:val="333333"/>
        </w:rPr>
      </w:pPr>
      <w:r>
        <w:t>[11</w:t>
      </w:r>
      <w:r w:rsidR="00A33868">
        <w:t>]</w:t>
      </w:r>
      <w:r w:rsidR="005E3783">
        <w:tab/>
      </w:r>
      <w:r w:rsidR="004B4B79">
        <w:rPr>
          <w:rFonts w:cs="Arial"/>
          <w:color w:val="333333"/>
        </w:rPr>
        <w:t xml:space="preserve">a) K. C. Nicolaou, M. Lu, S. Totokotsopoulos, P. Heretsch, D. Giguère, Y. Sun, D. Sarlah, T. H. Nguyen, I. C. Wolf, D. F. Smee, C. W. Day, S. Bopp, E. A. Winzeler, </w:t>
      </w:r>
      <w:r w:rsidR="004B4B79" w:rsidRPr="002F510E">
        <w:rPr>
          <w:rFonts w:cs="Arial"/>
          <w:i/>
          <w:color w:val="333333"/>
        </w:rPr>
        <w:t>J. Am. Chem. Soc</w:t>
      </w:r>
      <w:r w:rsidR="00D0290F">
        <w:rPr>
          <w:rFonts w:cs="Arial"/>
          <w:color w:val="333333"/>
        </w:rPr>
        <w:t>.</w:t>
      </w:r>
      <w:r w:rsidR="004B4B79">
        <w:rPr>
          <w:rFonts w:cs="Arial"/>
          <w:color w:val="333333"/>
        </w:rPr>
        <w:t xml:space="preserve"> </w:t>
      </w:r>
      <w:r w:rsidR="004B4B79" w:rsidRPr="002F510E">
        <w:rPr>
          <w:rFonts w:cs="Arial"/>
          <w:b/>
          <w:color w:val="333333"/>
        </w:rPr>
        <w:t>2012</w:t>
      </w:r>
      <w:r w:rsidR="004B4B79">
        <w:rPr>
          <w:rFonts w:cs="Arial"/>
          <w:color w:val="333333"/>
        </w:rPr>
        <w:t xml:space="preserve">, </w:t>
      </w:r>
      <w:r w:rsidR="004B4B79" w:rsidRPr="002F510E">
        <w:rPr>
          <w:rFonts w:cs="Arial"/>
          <w:i/>
          <w:color w:val="333333"/>
        </w:rPr>
        <w:t>134</w:t>
      </w:r>
      <w:r w:rsidR="004B4B79">
        <w:rPr>
          <w:rFonts w:cs="Arial"/>
          <w:color w:val="333333"/>
        </w:rPr>
        <w:t>, 17320-17322; b)</w:t>
      </w:r>
      <w:r w:rsidR="004B4B79" w:rsidRPr="000444C8">
        <w:rPr>
          <w:rFonts w:cs="Arial"/>
          <w:color w:val="333333"/>
        </w:rPr>
        <w:t xml:space="preserve"> </w:t>
      </w:r>
      <w:r w:rsidR="004B4B79">
        <w:rPr>
          <w:rFonts w:cs="Arial"/>
          <w:color w:val="333333"/>
        </w:rPr>
        <w:t xml:space="preserve">K. C. Nicolaou, D. Giguère, S. Totokotsopoulos, Y. Sun, </w:t>
      </w:r>
      <w:r w:rsidR="004B4B79" w:rsidRPr="002F510E">
        <w:rPr>
          <w:rFonts w:cs="Arial"/>
          <w:i/>
          <w:color w:val="333333"/>
        </w:rPr>
        <w:t>Angew, Chem. Int. Ed.</w:t>
      </w:r>
      <w:r w:rsidR="004B4B79">
        <w:rPr>
          <w:rFonts w:cs="Arial"/>
          <w:color w:val="333333"/>
        </w:rPr>
        <w:t xml:space="preserve"> </w:t>
      </w:r>
      <w:r w:rsidR="004B4B79" w:rsidRPr="002F510E">
        <w:rPr>
          <w:rFonts w:cs="Arial"/>
          <w:b/>
          <w:color w:val="333333"/>
        </w:rPr>
        <w:t>2012</w:t>
      </w:r>
      <w:r w:rsidR="004B4B79">
        <w:rPr>
          <w:rFonts w:cs="Arial"/>
          <w:color w:val="333333"/>
        </w:rPr>
        <w:t xml:space="preserve">, </w:t>
      </w:r>
      <w:r w:rsidR="004B4B79" w:rsidRPr="002F510E">
        <w:rPr>
          <w:rFonts w:cs="Arial"/>
          <w:i/>
          <w:color w:val="333333"/>
        </w:rPr>
        <w:t>51</w:t>
      </w:r>
      <w:r w:rsidR="004B4B79">
        <w:rPr>
          <w:rFonts w:cs="Arial"/>
          <w:color w:val="333333"/>
        </w:rPr>
        <w:t>, 728-732;</w:t>
      </w:r>
      <w:r w:rsidR="004B4B79" w:rsidRPr="000444C8">
        <w:rPr>
          <w:rFonts w:cs="Arial"/>
          <w:color w:val="333333"/>
        </w:rPr>
        <w:t xml:space="preserve"> </w:t>
      </w:r>
      <w:r w:rsidR="004B4B79">
        <w:rPr>
          <w:rFonts w:cs="Arial"/>
          <w:color w:val="333333"/>
        </w:rPr>
        <w:t xml:space="preserve">c) K. C. Nicolaou, S. Totokotsopoulos, D. Giguère, Y. Sun, D. Sarlah, </w:t>
      </w:r>
      <w:r w:rsidR="004B4B79" w:rsidRPr="002F510E">
        <w:rPr>
          <w:rFonts w:cs="Arial"/>
          <w:i/>
          <w:color w:val="333333"/>
        </w:rPr>
        <w:t>J. Am. Chem. Soc</w:t>
      </w:r>
      <w:r w:rsidR="00D0290F">
        <w:rPr>
          <w:rFonts w:cs="Arial"/>
          <w:color w:val="333333"/>
        </w:rPr>
        <w:t>.</w:t>
      </w:r>
      <w:r w:rsidR="004B4B79">
        <w:rPr>
          <w:rFonts w:cs="Arial"/>
          <w:color w:val="333333"/>
        </w:rPr>
        <w:t xml:space="preserve"> </w:t>
      </w:r>
      <w:r w:rsidR="004B4B79" w:rsidRPr="002F510E">
        <w:rPr>
          <w:rFonts w:cs="Arial"/>
          <w:b/>
          <w:color w:val="333333"/>
        </w:rPr>
        <w:t>2011</w:t>
      </w:r>
      <w:r w:rsidR="004B4B79">
        <w:rPr>
          <w:rFonts w:cs="Arial"/>
          <w:color w:val="333333"/>
        </w:rPr>
        <w:t xml:space="preserve">, </w:t>
      </w:r>
      <w:r w:rsidR="004B4B79" w:rsidRPr="002F510E">
        <w:rPr>
          <w:rFonts w:cs="Arial"/>
          <w:i/>
          <w:color w:val="333333"/>
        </w:rPr>
        <w:t>133</w:t>
      </w:r>
      <w:r w:rsidR="004B4B79">
        <w:rPr>
          <w:rFonts w:cs="Arial"/>
          <w:color w:val="333333"/>
        </w:rPr>
        <w:t>, 8150-8153.</w:t>
      </w:r>
    </w:p>
    <w:p w:rsidR="000444C8" w:rsidRDefault="00305CB7" w:rsidP="00FB1109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</w:t>
      </w:r>
      <w:r w:rsidR="000444C8">
        <w:rPr>
          <w:rFonts w:cs="Arial"/>
          <w:color w:val="333333"/>
        </w:rPr>
        <w:t>12</w:t>
      </w:r>
      <w:r>
        <w:rPr>
          <w:rFonts w:cs="Arial"/>
          <w:color w:val="333333"/>
        </w:rPr>
        <w:t>]</w:t>
      </w:r>
      <w:r>
        <w:rPr>
          <w:rFonts w:cs="Arial"/>
          <w:color w:val="333333"/>
        </w:rPr>
        <w:tab/>
      </w:r>
      <w:r w:rsidR="004B4B79">
        <w:rPr>
          <w:rFonts w:cs="Arial"/>
          <w:color w:val="333333"/>
        </w:rPr>
        <w:t xml:space="preserve">L. Wang, D. L. J. Clive, </w:t>
      </w:r>
      <w:r w:rsidR="004B4B79" w:rsidRPr="000444C8">
        <w:rPr>
          <w:rFonts w:cs="Arial"/>
          <w:i/>
          <w:color w:val="333333"/>
        </w:rPr>
        <w:t>Tetrahedron Lett</w:t>
      </w:r>
      <w:r w:rsidR="004B4B79">
        <w:rPr>
          <w:rFonts w:cs="Arial"/>
          <w:color w:val="333333"/>
        </w:rPr>
        <w:t xml:space="preserve">. </w:t>
      </w:r>
      <w:r w:rsidR="004B4B79" w:rsidRPr="002F510E">
        <w:rPr>
          <w:rFonts w:cs="Arial"/>
          <w:b/>
          <w:color w:val="333333"/>
        </w:rPr>
        <w:t>2012</w:t>
      </w:r>
      <w:r w:rsidR="004B4B79">
        <w:rPr>
          <w:rFonts w:cs="Arial"/>
          <w:color w:val="333333"/>
        </w:rPr>
        <w:t xml:space="preserve">, </w:t>
      </w:r>
      <w:r w:rsidR="004B4B79" w:rsidRPr="002F510E">
        <w:rPr>
          <w:rFonts w:cs="Arial"/>
          <w:i/>
          <w:color w:val="333333"/>
        </w:rPr>
        <w:t>53</w:t>
      </w:r>
      <w:r w:rsidR="004B4B79">
        <w:rPr>
          <w:rFonts w:cs="Arial"/>
          <w:color w:val="333333"/>
        </w:rPr>
        <w:t>, 1504-1506.</w:t>
      </w:r>
    </w:p>
    <w:p w:rsidR="000444C8" w:rsidRDefault="000444C8" w:rsidP="00FB1109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[13]</w:t>
      </w:r>
      <w:r>
        <w:rPr>
          <w:rFonts w:cs="Arial"/>
          <w:color w:val="333333"/>
        </w:rPr>
        <w:tab/>
      </w:r>
      <w:r w:rsidR="004B4B79">
        <w:rPr>
          <w:rFonts w:cs="Arial"/>
          <w:color w:val="333333"/>
        </w:rPr>
        <w:t xml:space="preserve">J. A. Codelli, A. L. A. Puchlopek, S. E. Reisman, </w:t>
      </w:r>
      <w:r w:rsidR="004B4B79" w:rsidRPr="002F510E">
        <w:rPr>
          <w:rFonts w:cs="Arial"/>
          <w:i/>
          <w:color w:val="333333"/>
        </w:rPr>
        <w:t xml:space="preserve">J. Am. Chem. Soc. </w:t>
      </w:r>
      <w:r w:rsidR="004B4B79" w:rsidRPr="002F510E">
        <w:rPr>
          <w:rFonts w:cs="Arial"/>
          <w:b/>
          <w:color w:val="333333"/>
        </w:rPr>
        <w:t>2012</w:t>
      </w:r>
      <w:r w:rsidR="004B4B79">
        <w:rPr>
          <w:rFonts w:cs="Arial"/>
          <w:color w:val="333333"/>
        </w:rPr>
        <w:t xml:space="preserve">, </w:t>
      </w:r>
      <w:r w:rsidR="004B4B79" w:rsidRPr="002F510E">
        <w:rPr>
          <w:rFonts w:cs="Arial"/>
          <w:i/>
          <w:color w:val="333333"/>
        </w:rPr>
        <w:t>134</w:t>
      </w:r>
      <w:r w:rsidR="004B4B79">
        <w:rPr>
          <w:rFonts w:cs="Arial"/>
          <w:color w:val="333333"/>
        </w:rPr>
        <w:t>, 1930-1933.</w:t>
      </w:r>
    </w:p>
    <w:p w:rsidR="000444C8" w:rsidRDefault="000444C8" w:rsidP="00FB1109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[14]</w:t>
      </w:r>
      <w:r>
        <w:rPr>
          <w:rFonts w:cs="Arial"/>
          <w:color w:val="333333"/>
        </w:rPr>
        <w:tab/>
      </w:r>
      <w:r w:rsidR="004B4B79">
        <w:rPr>
          <w:rFonts w:cs="Arial"/>
          <w:color w:val="333333"/>
        </w:rPr>
        <w:t xml:space="preserve">M. Sodeoka, K. Dodo, Y. Teng, K. Iuchi, Y. Hamashima, E. Iwasa, S. Fujishiro, </w:t>
      </w:r>
      <w:r w:rsidR="004B4B79" w:rsidRPr="002F510E">
        <w:rPr>
          <w:rFonts w:cs="Arial"/>
          <w:i/>
          <w:color w:val="333333"/>
        </w:rPr>
        <w:t>Pure Appl. Chem</w:t>
      </w:r>
      <w:r w:rsidR="004B4B79">
        <w:rPr>
          <w:rFonts w:cs="Arial"/>
          <w:color w:val="333333"/>
        </w:rPr>
        <w:t xml:space="preserve">. </w:t>
      </w:r>
      <w:r w:rsidR="004B4B79" w:rsidRPr="002F510E">
        <w:rPr>
          <w:rFonts w:cs="Arial"/>
          <w:b/>
          <w:color w:val="333333"/>
        </w:rPr>
        <w:t>2012</w:t>
      </w:r>
      <w:r w:rsidR="004B4B79">
        <w:rPr>
          <w:rFonts w:cs="Arial"/>
          <w:color w:val="333333"/>
        </w:rPr>
        <w:t xml:space="preserve">, </w:t>
      </w:r>
      <w:r w:rsidR="004B4B79" w:rsidRPr="002F510E">
        <w:rPr>
          <w:rFonts w:cs="Arial"/>
          <w:i/>
          <w:color w:val="333333"/>
        </w:rPr>
        <w:t>84</w:t>
      </w:r>
      <w:r w:rsidR="004B4B79">
        <w:rPr>
          <w:rFonts w:cs="Arial"/>
          <w:color w:val="333333"/>
        </w:rPr>
        <w:t>, 1369-1378.</w:t>
      </w:r>
    </w:p>
    <w:p w:rsidR="000444C8" w:rsidRDefault="000444C8" w:rsidP="00FB1109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[15]</w:t>
      </w:r>
      <w:r>
        <w:rPr>
          <w:rFonts w:cs="Arial"/>
          <w:color w:val="333333"/>
        </w:rPr>
        <w:tab/>
      </w:r>
      <w:r w:rsidR="004B4B79">
        <w:rPr>
          <w:rFonts w:cs="Arial"/>
          <w:color w:val="333333"/>
        </w:rPr>
        <w:t>B. M. Ruff, S. Zhong, M. Nieger, S. Bräse</w:t>
      </w:r>
      <w:r w:rsidR="00D0290F">
        <w:rPr>
          <w:rFonts w:cs="Arial"/>
          <w:color w:val="333333"/>
        </w:rPr>
        <w:t>,</w:t>
      </w:r>
      <w:r w:rsidR="004B4B79">
        <w:rPr>
          <w:rFonts w:cs="Arial"/>
          <w:color w:val="333333"/>
        </w:rPr>
        <w:t xml:space="preserve"> </w:t>
      </w:r>
      <w:r w:rsidR="004B4B79" w:rsidRPr="002F510E">
        <w:rPr>
          <w:rFonts w:cs="Arial"/>
          <w:i/>
          <w:color w:val="333333"/>
        </w:rPr>
        <w:t>Org. Biomol. Chem</w:t>
      </w:r>
      <w:r w:rsidR="004B4B79">
        <w:rPr>
          <w:rFonts w:cs="Arial"/>
          <w:color w:val="333333"/>
        </w:rPr>
        <w:t xml:space="preserve">. </w:t>
      </w:r>
      <w:r w:rsidR="004B4B79" w:rsidRPr="002F510E">
        <w:rPr>
          <w:rFonts w:cs="Arial"/>
          <w:b/>
          <w:color w:val="333333"/>
        </w:rPr>
        <w:t>2012</w:t>
      </w:r>
      <w:r w:rsidR="004B4B79">
        <w:rPr>
          <w:rFonts w:cs="Arial"/>
          <w:color w:val="333333"/>
        </w:rPr>
        <w:t xml:space="preserve">, </w:t>
      </w:r>
      <w:r w:rsidR="004B4B79" w:rsidRPr="002F510E">
        <w:rPr>
          <w:rFonts w:cs="Arial"/>
          <w:i/>
          <w:color w:val="333333"/>
        </w:rPr>
        <w:t>10</w:t>
      </w:r>
      <w:r w:rsidR="004B4B79">
        <w:rPr>
          <w:rFonts w:cs="Arial"/>
          <w:color w:val="333333"/>
        </w:rPr>
        <w:t>, 935.</w:t>
      </w:r>
    </w:p>
    <w:p w:rsidR="000444C8" w:rsidRDefault="000444C8" w:rsidP="00FB1109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[16]</w:t>
      </w:r>
      <w:r>
        <w:rPr>
          <w:rFonts w:cs="Arial"/>
          <w:color w:val="333333"/>
        </w:rPr>
        <w:tab/>
      </w:r>
      <w:r w:rsidR="004B4B79">
        <w:rPr>
          <w:rFonts w:cs="Arial"/>
          <w:color w:val="333333"/>
        </w:rPr>
        <w:t xml:space="preserve">H. F. Zipfel, E. M. </w:t>
      </w:r>
      <w:r w:rsidR="004B4B79" w:rsidRPr="000444C8">
        <w:rPr>
          <w:rFonts w:cs="Arial"/>
          <w:color w:val="333333"/>
        </w:rPr>
        <w:t>Carreira</w:t>
      </w:r>
      <w:r w:rsidR="004B4B79">
        <w:rPr>
          <w:rFonts w:cs="Arial"/>
          <w:color w:val="333333"/>
        </w:rPr>
        <w:t>,</w:t>
      </w:r>
      <w:r w:rsidR="004B4B79" w:rsidRPr="002F510E">
        <w:rPr>
          <w:rFonts w:cs="Arial"/>
          <w:i/>
          <w:color w:val="333333"/>
        </w:rPr>
        <w:t xml:space="preserve"> Org. Lett</w:t>
      </w:r>
      <w:r w:rsidR="004B4B79">
        <w:rPr>
          <w:rFonts w:cs="Arial"/>
          <w:color w:val="333333"/>
        </w:rPr>
        <w:t xml:space="preserve">. </w:t>
      </w:r>
      <w:r w:rsidR="004B4B79" w:rsidRPr="002F510E">
        <w:rPr>
          <w:rFonts w:cs="Arial"/>
          <w:b/>
          <w:color w:val="333333"/>
        </w:rPr>
        <w:t>2014</w:t>
      </w:r>
      <w:r w:rsidR="004B4B79">
        <w:rPr>
          <w:rFonts w:cs="Arial"/>
          <w:color w:val="333333"/>
        </w:rPr>
        <w:t xml:space="preserve">, </w:t>
      </w:r>
      <w:r w:rsidR="004B4B79" w:rsidRPr="002F510E">
        <w:rPr>
          <w:rFonts w:cs="Arial"/>
          <w:i/>
          <w:color w:val="333333"/>
        </w:rPr>
        <w:t>16</w:t>
      </w:r>
      <w:r w:rsidR="004B4B79">
        <w:rPr>
          <w:rFonts w:cs="Arial"/>
          <w:color w:val="333333"/>
        </w:rPr>
        <w:t>, 2854-2857.</w:t>
      </w:r>
    </w:p>
    <w:p w:rsidR="000444C8" w:rsidRDefault="000444C8" w:rsidP="00FB1109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[17]</w:t>
      </w:r>
      <w:r>
        <w:rPr>
          <w:rFonts w:cs="Arial"/>
          <w:color w:val="333333"/>
        </w:rPr>
        <w:tab/>
      </w:r>
      <w:r w:rsidR="004B4B79">
        <w:t xml:space="preserve">T. Fukuyama, S. Nakatsuka, Y. Kishi </w:t>
      </w:r>
      <w:r w:rsidR="004B4B79" w:rsidRPr="003B23FB">
        <w:rPr>
          <w:i/>
        </w:rPr>
        <w:t>Tetrahedron</w:t>
      </w:r>
      <w:r w:rsidR="004B4B79">
        <w:t xml:space="preserve"> </w:t>
      </w:r>
      <w:r w:rsidR="004B4B79" w:rsidRPr="003B23FB">
        <w:rPr>
          <w:b/>
        </w:rPr>
        <w:t>1981</w:t>
      </w:r>
      <w:r w:rsidR="004B4B79">
        <w:t xml:space="preserve">, </w:t>
      </w:r>
      <w:r w:rsidR="004B4B79" w:rsidRPr="003B23FB">
        <w:rPr>
          <w:i/>
        </w:rPr>
        <w:t>37</w:t>
      </w:r>
      <w:r w:rsidR="004B4B79">
        <w:t>, 2045-2078.</w:t>
      </w:r>
    </w:p>
    <w:p w:rsidR="000444C8" w:rsidRDefault="000444C8" w:rsidP="00FB1109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[18]</w:t>
      </w:r>
      <w:r>
        <w:rPr>
          <w:rFonts w:cs="Arial"/>
          <w:color w:val="333333"/>
        </w:rPr>
        <w:tab/>
      </w:r>
      <w:r w:rsidR="004B4B79">
        <w:t xml:space="preserve">R. Takeuchi, J. Shimokawa, T. Fukuyama, </w:t>
      </w:r>
      <w:r w:rsidR="004B4B79" w:rsidRPr="000444C8">
        <w:rPr>
          <w:i/>
        </w:rPr>
        <w:t>Chem. Sci</w:t>
      </w:r>
      <w:r w:rsidR="004B4B79">
        <w:t xml:space="preserve">., </w:t>
      </w:r>
      <w:r w:rsidR="004B4B79" w:rsidRPr="003B23FB">
        <w:rPr>
          <w:b/>
        </w:rPr>
        <w:t>2014</w:t>
      </w:r>
      <w:r w:rsidR="004B4B79">
        <w:t xml:space="preserve">, </w:t>
      </w:r>
      <w:r w:rsidR="004B4B79" w:rsidRPr="003B23FB">
        <w:rPr>
          <w:i/>
        </w:rPr>
        <w:t>5</w:t>
      </w:r>
      <w:r w:rsidR="004B4B79">
        <w:t>, 2003-2006.</w:t>
      </w:r>
    </w:p>
    <w:p w:rsidR="00305CB7" w:rsidRDefault="000444C8" w:rsidP="00FB1109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[19]</w:t>
      </w:r>
      <w:r>
        <w:rPr>
          <w:rFonts w:cs="Arial"/>
          <w:color w:val="333333"/>
        </w:rPr>
        <w:tab/>
      </w:r>
      <w:r w:rsidR="004B4B79">
        <w:rPr>
          <w:rFonts w:cs="Arial"/>
          <w:color w:val="333333"/>
        </w:rPr>
        <w:t xml:space="preserve">J. Kim, J. A. Ashenhurst, M. Movassaghi, </w:t>
      </w:r>
      <w:r w:rsidR="004B4B79" w:rsidRPr="00C43CE4">
        <w:rPr>
          <w:rFonts w:cs="Arial"/>
          <w:i/>
          <w:color w:val="333333"/>
        </w:rPr>
        <w:t>Science</w:t>
      </w:r>
      <w:r w:rsidR="004B4B79">
        <w:rPr>
          <w:rFonts w:cs="Arial"/>
          <w:color w:val="333333"/>
        </w:rPr>
        <w:t xml:space="preserve"> </w:t>
      </w:r>
      <w:r w:rsidR="004B4B79" w:rsidRPr="00C43CE4">
        <w:rPr>
          <w:rFonts w:cs="Arial"/>
          <w:b/>
          <w:color w:val="333333"/>
        </w:rPr>
        <w:t>2009</w:t>
      </w:r>
      <w:r w:rsidR="004B4B79">
        <w:rPr>
          <w:rFonts w:cs="Arial"/>
          <w:color w:val="333333"/>
        </w:rPr>
        <w:t xml:space="preserve">, </w:t>
      </w:r>
      <w:r w:rsidR="004B4B79" w:rsidRPr="00C43CE4">
        <w:rPr>
          <w:rFonts w:cs="Arial"/>
          <w:i/>
          <w:color w:val="333333"/>
        </w:rPr>
        <w:t>324</w:t>
      </w:r>
      <w:r w:rsidR="004B4B79">
        <w:rPr>
          <w:rFonts w:cs="Arial"/>
          <w:color w:val="333333"/>
        </w:rPr>
        <w:t>, 238-241.</w:t>
      </w:r>
    </w:p>
    <w:p w:rsidR="00C43CE4" w:rsidRDefault="00C43CE4" w:rsidP="00C43CE4">
      <w:pPr>
        <w:pStyle w:val="References"/>
        <w:spacing w:line="360" w:lineRule="auto"/>
      </w:pPr>
      <w:r>
        <w:rPr>
          <w:rFonts w:cs="Arial"/>
          <w:color w:val="333333"/>
        </w:rPr>
        <w:t>[20]</w:t>
      </w:r>
      <w:r>
        <w:rPr>
          <w:rFonts w:cs="Arial"/>
          <w:color w:val="333333"/>
        </w:rPr>
        <w:tab/>
      </w:r>
      <w:r w:rsidR="004B4B79">
        <w:t>R. M. Williams, W. H. Rastetter</w:t>
      </w:r>
      <w:r w:rsidR="00D0290F">
        <w:t>,</w:t>
      </w:r>
      <w:r w:rsidR="004B4B79">
        <w:t xml:space="preserve"> </w:t>
      </w:r>
      <w:r w:rsidR="004B4B79" w:rsidRPr="00D0290F">
        <w:rPr>
          <w:i/>
        </w:rPr>
        <w:t>J.</w:t>
      </w:r>
      <w:r w:rsidR="004B4B79" w:rsidRPr="003B23FB">
        <w:rPr>
          <w:i/>
        </w:rPr>
        <w:t xml:space="preserve"> Org. Chem</w:t>
      </w:r>
      <w:r w:rsidR="004B4B79">
        <w:t xml:space="preserve">. </w:t>
      </w:r>
      <w:r w:rsidR="004B4B79" w:rsidRPr="003B23FB">
        <w:rPr>
          <w:b/>
        </w:rPr>
        <w:t>1980</w:t>
      </w:r>
      <w:r w:rsidR="004B4B79">
        <w:t xml:space="preserve">, </w:t>
      </w:r>
      <w:r w:rsidR="004B4B79" w:rsidRPr="003B23FB">
        <w:rPr>
          <w:i/>
        </w:rPr>
        <w:t>45</w:t>
      </w:r>
      <w:r w:rsidR="004B4B79">
        <w:t>, 2625-2631</w:t>
      </w:r>
    </w:p>
    <w:p w:rsidR="00C43CE4" w:rsidRPr="00390DD7" w:rsidRDefault="00C43CE4" w:rsidP="00C43CE4">
      <w:pPr>
        <w:pStyle w:val="References"/>
        <w:spacing w:line="360" w:lineRule="auto"/>
      </w:pPr>
      <w:r>
        <w:t>[21]</w:t>
      </w:r>
      <w:r>
        <w:tab/>
      </w:r>
      <w:r w:rsidR="004B4B79">
        <w:rPr>
          <w:rFonts w:cs="Arial"/>
          <w:color w:val="333333"/>
        </w:rPr>
        <w:t xml:space="preserve">W. Hartwig, L. Born, </w:t>
      </w:r>
      <w:r w:rsidR="004B4B79" w:rsidRPr="0006207D">
        <w:rPr>
          <w:rFonts w:cs="Arial"/>
          <w:i/>
          <w:color w:val="333333"/>
        </w:rPr>
        <w:t>J. Org. Chem</w:t>
      </w:r>
      <w:r w:rsidR="004B4B79">
        <w:rPr>
          <w:rFonts w:cs="Arial"/>
          <w:color w:val="333333"/>
        </w:rPr>
        <w:t xml:space="preserve">. </w:t>
      </w:r>
      <w:r w:rsidR="004B4B79" w:rsidRPr="0006207D">
        <w:rPr>
          <w:rFonts w:cs="Arial"/>
          <w:b/>
          <w:color w:val="333333"/>
        </w:rPr>
        <w:t>1987</w:t>
      </w:r>
      <w:r w:rsidR="004B4B79">
        <w:rPr>
          <w:rFonts w:cs="Arial"/>
          <w:color w:val="333333"/>
        </w:rPr>
        <w:t xml:space="preserve">, </w:t>
      </w:r>
      <w:r w:rsidR="004B4B79" w:rsidRPr="0006207D">
        <w:rPr>
          <w:rFonts w:cs="Arial"/>
          <w:i/>
          <w:color w:val="333333"/>
        </w:rPr>
        <w:t>52</w:t>
      </w:r>
      <w:r w:rsidR="004B4B79">
        <w:rPr>
          <w:rFonts w:cs="Arial"/>
          <w:color w:val="333333"/>
        </w:rPr>
        <w:t>, 4352-4358.</w:t>
      </w:r>
    </w:p>
    <w:p w:rsidR="00C43CE4" w:rsidRDefault="00C43CE4" w:rsidP="00FB1109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[2</w:t>
      </w:r>
      <w:r w:rsidR="004B4B79">
        <w:rPr>
          <w:rFonts w:cs="Arial"/>
          <w:color w:val="333333"/>
        </w:rPr>
        <w:t>2</w:t>
      </w:r>
      <w:r>
        <w:rPr>
          <w:rFonts w:cs="Arial"/>
          <w:color w:val="333333"/>
        </w:rPr>
        <w:t>]</w:t>
      </w:r>
      <w:r>
        <w:rPr>
          <w:rFonts w:cs="Arial"/>
          <w:color w:val="333333"/>
        </w:rPr>
        <w:tab/>
      </w:r>
      <w:r w:rsidR="004B4B79">
        <w:rPr>
          <w:rFonts w:cs="Arial"/>
          <w:color w:val="333333"/>
        </w:rPr>
        <w:t xml:space="preserve">L. Zhang, Y. Zhou, X. Yu, </w:t>
      </w:r>
      <w:r w:rsidR="004B4B79" w:rsidRPr="0006207D">
        <w:rPr>
          <w:rFonts w:cs="Arial"/>
          <w:i/>
          <w:color w:val="333333"/>
        </w:rPr>
        <w:t>Synlett</w:t>
      </w:r>
      <w:r w:rsidR="004B4B79">
        <w:rPr>
          <w:rFonts w:cs="Arial"/>
          <w:color w:val="333333"/>
        </w:rPr>
        <w:t xml:space="preserve"> </w:t>
      </w:r>
      <w:r w:rsidR="004B4B79" w:rsidRPr="0006207D">
        <w:rPr>
          <w:rFonts w:cs="Arial"/>
          <w:b/>
          <w:color w:val="333333"/>
        </w:rPr>
        <w:t>2012</w:t>
      </w:r>
      <w:r w:rsidR="004B4B79">
        <w:rPr>
          <w:rFonts w:cs="Arial"/>
          <w:color w:val="333333"/>
        </w:rPr>
        <w:t xml:space="preserve">, </w:t>
      </w:r>
      <w:r w:rsidR="004B4B79" w:rsidRPr="0006207D">
        <w:rPr>
          <w:rFonts w:cs="Arial"/>
          <w:i/>
          <w:color w:val="333333"/>
        </w:rPr>
        <w:t>23</w:t>
      </w:r>
      <w:r w:rsidR="004B4B79">
        <w:rPr>
          <w:rFonts w:cs="Arial"/>
          <w:color w:val="333333"/>
        </w:rPr>
        <w:t>, 1217-1220.</w:t>
      </w:r>
    </w:p>
    <w:p w:rsidR="00C43CE4" w:rsidRDefault="004B4B79" w:rsidP="00FB1109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[23</w:t>
      </w:r>
      <w:r w:rsidR="00C43CE4">
        <w:rPr>
          <w:rFonts w:cs="Arial"/>
          <w:color w:val="333333"/>
        </w:rPr>
        <w:t>]</w:t>
      </w:r>
      <w:r w:rsidR="00C43CE4">
        <w:rPr>
          <w:rFonts w:cs="Arial"/>
          <w:color w:val="333333"/>
        </w:rPr>
        <w:tab/>
      </w:r>
      <w:r>
        <w:rPr>
          <w:rFonts w:cs="Arial"/>
          <w:color w:val="333333"/>
        </w:rPr>
        <w:t>T. Yakura, Y. Matsumura, M. Ikeda</w:t>
      </w:r>
      <w:r w:rsidR="00D0290F">
        <w:rPr>
          <w:rFonts w:cs="Arial"/>
          <w:color w:val="333333"/>
        </w:rPr>
        <w:t>,</w:t>
      </w:r>
      <w:r>
        <w:rPr>
          <w:rFonts w:cs="Arial"/>
          <w:color w:val="333333"/>
        </w:rPr>
        <w:t xml:space="preserve"> </w:t>
      </w:r>
      <w:r w:rsidRPr="0006207D">
        <w:rPr>
          <w:rFonts w:cs="Arial"/>
          <w:i/>
          <w:color w:val="333333"/>
        </w:rPr>
        <w:t>Synlett</w:t>
      </w:r>
      <w:r>
        <w:rPr>
          <w:rFonts w:cs="Arial"/>
          <w:color w:val="333333"/>
        </w:rPr>
        <w:t xml:space="preserve">, </w:t>
      </w:r>
      <w:r w:rsidRPr="0006207D">
        <w:rPr>
          <w:rFonts w:cs="Arial"/>
          <w:b/>
          <w:color w:val="333333"/>
        </w:rPr>
        <w:t>1991</w:t>
      </w:r>
      <w:r>
        <w:rPr>
          <w:rFonts w:cs="Arial"/>
          <w:color w:val="333333"/>
        </w:rPr>
        <w:t>, 343-344.</w:t>
      </w:r>
    </w:p>
    <w:p w:rsidR="000444C8" w:rsidRDefault="004B4B79" w:rsidP="006F3A7B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[24</w:t>
      </w:r>
      <w:r w:rsidR="006F3A7B">
        <w:rPr>
          <w:rFonts w:cs="Arial"/>
          <w:color w:val="333333"/>
        </w:rPr>
        <w:t>]</w:t>
      </w:r>
      <w:r w:rsidR="006F3A7B">
        <w:rPr>
          <w:rFonts w:cs="Arial"/>
          <w:color w:val="333333"/>
        </w:rPr>
        <w:tab/>
      </w:r>
      <w:r>
        <w:rPr>
          <w:rFonts w:cs="Arial"/>
          <w:color w:val="333333"/>
        </w:rPr>
        <w:t xml:space="preserve">M. W. Cappi, W. Chen, R. W. Flood, Y. Liao, S. M. Roberts, J. Skidmore, J. A. Smith, N. M. Williamson, </w:t>
      </w:r>
      <w:r w:rsidRPr="0006207D">
        <w:rPr>
          <w:rFonts w:cs="Arial"/>
          <w:i/>
          <w:color w:val="333333"/>
        </w:rPr>
        <w:t>Chem. Commun</w:t>
      </w:r>
      <w:r w:rsidR="00D0290F">
        <w:rPr>
          <w:rFonts w:cs="Arial"/>
          <w:color w:val="333333"/>
        </w:rPr>
        <w:t>.</w:t>
      </w:r>
      <w:r>
        <w:rPr>
          <w:rFonts w:cs="Arial"/>
          <w:color w:val="333333"/>
        </w:rPr>
        <w:t xml:space="preserve"> </w:t>
      </w:r>
      <w:r w:rsidRPr="0006207D">
        <w:rPr>
          <w:rFonts w:cs="Arial"/>
          <w:b/>
          <w:color w:val="333333"/>
        </w:rPr>
        <w:t>1998</w:t>
      </w:r>
      <w:r>
        <w:rPr>
          <w:rFonts w:cs="Arial"/>
          <w:color w:val="333333"/>
        </w:rPr>
        <w:t>, 1159-1160.</w:t>
      </w:r>
    </w:p>
    <w:p w:rsidR="000444C8" w:rsidRDefault="004B4B79" w:rsidP="006F3A7B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[25</w:t>
      </w:r>
      <w:r w:rsidR="000444C8">
        <w:rPr>
          <w:rFonts w:cs="Arial"/>
          <w:color w:val="333333"/>
        </w:rPr>
        <w:t>]</w:t>
      </w:r>
      <w:r w:rsidR="000444C8">
        <w:rPr>
          <w:rFonts w:cs="Arial"/>
          <w:color w:val="333333"/>
        </w:rPr>
        <w:tab/>
      </w:r>
      <w:r>
        <w:rPr>
          <w:rFonts w:cs="Arial"/>
          <w:color w:val="333333"/>
        </w:rPr>
        <w:t xml:space="preserve">N. Ma, K. Wu, L. Huang, </w:t>
      </w:r>
      <w:r w:rsidRPr="0006207D">
        <w:rPr>
          <w:rFonts w:cs="Arial"/>
          <w:i/>
          <w:color w:val="333333"/>
        </w:rPr>
        <w:t>Eur. J. Med. Chem</w:t>
      </w:r>
      <w:r>
        <w:rPr>
          <w:rFonts w:cs="Arial"/>
          <w:color w:val="333333"/>
        </w:rPr>
        <w:t xml:space="preserve">. </w:t>
      </w:r>
      <w:r w:rsidRPr="0006207D">
        <w:rPr>
          <w:rFonts w:cs="Arial"/>
          <w:b/>
          <w:color w:val="333333"/>
        </w:rPr>
        <w:t>2008</w:t>
      </w:r>
      <w:r>
        <w:rPr>
          <w:rFonts w:cs="Arial"/>
          <w:color w:val="333333"/>
        </w:rPr>
        <w:t xml:space="preserve">, </w:t>
      </w:r>
      <w:r w:rsidRPr="0006207D">
        <w:rPr>
          <w:rFonts w:cs="Arial"/>
          <w:i/>
          <w:color w:val="333333"/>
        </w:rPr>
        <w:t>43</w:t>
      </w:r>
      <w:r>
        <w:rPr>
          <w:rFonts w:cs="Arial"/>
          <w:color w:val="333333"/>
        </w:rPr>
        <w:t>, 1781-1784.</w:t>
      </w:r>
    </w:p>
    <w:p w:rsidR="000444C8" w:rsidRDefault="004B4B79" w:rsidP="006F3A7B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[26</w:t>
      </w:r>
      <w:r w:rsidR="000444C8">
        <w:rPr>
          <w:rFonts w:cs="Arial"/>
          <w:color w:val="333333"/>
        </w:rPr>
        <w:t>]</w:t>
      </w:r>
      <w:r w:rsidR="000444C8">
        <w:rPr>
          <w:rFonts w:cs="Arial"/>
          <w:color w:val="333333"/>
        </w:rPr>
        <w:tab/>
      </w:r>
      <w:r>
        <w:rPr>
          <w:rFonts w:cs="Arial"/>
          <w:color w:val="333333"/>
        </w:rPr>
        <w:t xml:space="preserve">Z. Feng, X. Li, G. Zheng, L. Huang, </w:t>
      </w:r>
      <w:r w:rsidRPr="0006207D">
        <w:rPr>
          <w:rFonts w:cs="Arial"/>
          <w:i/>
          <w:color w:val="333333"/>
        </w:rPr>
        <w:t>Bioorg. Med. Chem. Lett</w:t>
      </w:r>
      <w:r>
        <w:rPr>
          <w:rFonts w:cs="Arial"/>
          <w:color w:val="333333"/>
        </w:rPr>
        <w:t xml:space="preserve">. </w:t>
      </w:r>
      <w:r w:rsidRPr="0006207D">
        <w:rPr>
          <w:rFonts w:cs="Arial"/>
          <w:b/>
          <w:color w:val="333333"/>
        </w:rPr>
        <w:t>2009</w:t>
      </w:r>
      <w:r>
        <w:rPr>
          <w:rFonts w:cs="Arial"/>
          <w:color w:val="333333"/>
        </w:rPr>
        <w:t xml:space="preserve">, </w:t>
      </w:r>
      <w:r w:rsidRPr="0006207D">
        <w:rPr>
          <w:rFonts w:cs="Arial"/>
          <w:i/>
          <w:color w:val="333333"/>
        </w:rPr>
        <w:t>19</w:t>
      </w:r>
      <w:r>
        <w:rPr>
          <w:rFonts w:cs="Arial"/>
          <w:color w:val="333333"/>
        </w:rPr>
        <w:t>, 2112-2115.</w:t>
      </w:r>
    </w:p>
    <w:p w:rsidR="000444C8" w:rsidRDefault="004B4B79" w:rsidP="006F3A7B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[27</w:t>
      </w:r>
      <w:r w:rsidR="000444C8">
        <w:rPr>
          <w:rFonts w:cs="Arial"/>
          <w:color w:val="333333"/>
        </w:rPr>
        <w:t>]</w:t>
      </w:r>
      <w:r w:rsidR="000444C8">
        <w:rPr>
          <w:rFonts w:cs="Arial"/>
          <w:color w:val="333333"/>
        </w:rPr>
        <w:tab/>
      </w:r>
      <w:r>
        <w:rPr>
          <w:rFonts w:cs="Arial"/>
          <w:color w:val="333333"/>
        </w:rPr>
        <w:t xml:space="preserve">L. Yang, D. Wang, Q. Zheng, J. Pan, Z. Huang, M. Wang, </w:t>
      </w:r>
      <w:r w:rsidRPr="0039180A">
        <w:rPr>
          <w:rFonts w:cs="Arial"/>
          <w:i/>
          <w:color w:val="333333"/>
        </w:rPr>
        <w:t>Org. Biomol. Chem</w:t>
      </w:r>
      <w:r>
        <w:rPr>
          <w:rFonts w:cs="Arial"/>
          <w:color w:val="333333"/>
        </w:rPr>
        <w:t xml:space="preserve">. </w:t>
      </w:r>
      <w:r w:rsidRPr="0039180A">
        <w:rPr>
          <w:rFonts w:cs="Arial"/>
          <w:b/>
          <w:color w:val="333333"/>
        </w:rPr>
        <w:t>2009</w:t>
      </w:r>
      <w:r>
        <w:rPr>
          <w:rFonts w:cs="Arial"/>
          <w:color w:val="333333"/>
        </w:rPr>
        <w:t xml:space="preserve">, </w:t>
      </w:r>
      <w:r w:rsidRPr="0039180A">
        <w:rPr>
          <w:rFonts w:cs="Arial"/>
          <w:i/>
          <w:color w:val="333333"/>
        </w:rPr>
        <w:t>7</w:t>
      </w:r>
      <w:r>
        <w:rPr>
          <w:rFonts w:cs="Arial"/>
          <w:color w:val="333333"/>
        </w:rPr>
        <w:t>, 2628-2634.</w:t>
      </w:r>
    </w:p>
    <w:p w:rsidR="000444C8" w:rsidRDefault="004B4B79" w:rsidP="006F3A7B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[28</w:t>
      </w:r>
      <w:r w:rsidR="000444C8">
        <w:rPr>
          <w:rFonts w:cs="Arial"/>
          <w:color w:val="333333"/>
        </w:rPr>
        <w:t>]</w:t>
      </w:r>
      <w:r w:rsidR="000444C8">
        <w:rPr>
          <w:rFonts w:cs="Arial"/>
          <w:color w:val="333333"/>
        </w:rPr>
        <w:tab/>
      </w:r>
      <w:r>
        <w:rPr>
          <w:rFonts w:cs="Arial"/>
          <w:color w:val="333333"/>
        </w:rPr>
        <w:t xml:space="preserve">I. Tellitu, S. Serna, E. Dominguez, </w:t>
      </w:r>
      <w:r w:rsidRPr="0039180A">
        <w:rPr>
          <w:rFonts w:cs="Arial"/>
          <w:i/>
          <w:color w:val="333333"/>
        </w:rPr>
        <w:t>Arkivoc</w:t>
      </w:r>
      <w:r>
        <w:rPr>
          <w:rFonts w:cs="Arial"/>
          <w:color w:val="333333"/>
        </w:rPr>
        <w:t xml:space="preserve"> </w:t>
      </w:r>
      <w:r w:rsidRPr="0039180A">
        <w:rPr>
          <w:rFonts w:cs="Arial"/>
          <w:b/>
          <w:color w:val="333333"/>
        </w:rPr>
        <w:t>2010</w:t>
      </w:r>
      <w:r>
        <w:rPr>
          <w:rFonts w:cs="Arial"/>
          <w:color w:val="333333"/>
        </w:rPr>
        <w:t>, 7-14.</w:t>
      </w:r>
    </w:p>
    <w:p w:rsidR="000444C8" w:rsidRDefault="004B4B79" w:rsidP="006F3A7B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[29</w:t>
      </w:r>
      <w:r w:rsidR="000444C8">
        <w:rPr>
          <w:rFonts w:cs="Arial"/>
          <w:color w:val="333333"/>
        </w:rPr>
        <w:t>]</w:t>
      </w:r>
      <w:r w:rsidR="000444C8">
        <w:rPr>
          <w:rFonts w:cs="Arial"/>
          <w:color w:val="333333"/>
        </w:rPr>
        <w:tab/>
      </w:r>
      <w:r>
        <w:rPr>
          <w:rFonts w:cs="Arial"/>
          <w:color w:val="333333"/>
        </w:rPr>
        <w:t xml:space="preserve">X. Li, C. Zhu, C. Li, K. Wu, D. Huang, L. Huang, </w:t>
      </w:r>
      <w:r w:rsidRPr="0039180A">
        <w:rPr>
          <w:rFonts w:cs="Arial"/>
          <w:i/>
          <w:color w:val="333333"/>
        </w:rPr>
        <w:t>Eur. J. Med. Chem</w:t>
      </w:r>
      <w:r>
        <w:rPr>
          <w:rFonts w:cs="Arial"/>
          <w:color w:val="333333"/>
        </w:rPr>
        <w:t xml:space="preserve">. </w:t>
      </w:r>
      <w:r w:rsidRPr="0039180A">
        <w:rPr>
          <w:rFonts w:cs="Arial"/>
          <w:b/>
          <w:color w:val="333333"/>
        </w:rPr>
        <w:t>2010</w:t>
      </w:r>
      <w:r>
        <w:rPr>
          <w:rFonts w:cs="Arial"/>
          <w:color w:val="333333"/>
        </w:rPr>
        <w:t xml:space="preserve">, </w:t>
      </w:r>
      <w:r w:rsidRPr="0039180A">
        <w:rPr>
          <w:rFonts w:cs="Arial"/>
          <w:i/>
          <w:color w:val="333333"/>
        </w:rPr>
        <w:t>45</w:t>
      </w:r>
      <w:r>
        <w:rPr>
          <w:rFonts w:cs="Arial"/>
          <w:color w:val="333333"/>
        </w:rPr>
        <w:t>, 5531-5538.</w:t>
      </w:r>
    </w:p>
    <w:p w:rsidR="000444C8" w:rsidRDefault="004B4B79" w:rsidP="006F3A7B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[30</w:t>
      </w:r>
      <w:r w:rsidR="000444C8">
        <w:rPr>
          <w:rFonts w:cs="Arial"/>
          <w:color w:val="333333"/>
        </w:rPr>
        <w:t>]</w:t>
      </w:r>
      <w:r w:rsidR="000444C8">
        <w:rPr>
          <w:rFonts w:cs="Arial"/>
          <w:color w:val="333333"/>
        </w:rPr>
        <w:tab/>
      </w:r>
      <w:r>
        <w:rPr>
          <w:rFonts w:cs="Arial"/>
          <w:color w:val="333333"/>
        </w:rPr>
        <w:t xml:space="preserve">J. J. Xue, X. M. Yu, </w:t>
      </w:r>
      <w:r w:rsidRPr="0039180A">
        <w:rPr>
          <w:rFonts w:cs="Arial"/>
          <w:i/>
          <w:color w:val="333333"/>
        </w:rPr>
        <w:t>Chin. Chem. Lett</w:t>
      </w:r>
      <w:r>
        <w:rPr>
          <w:rFonts w:cs="Arial"/>
          <w:color w:val="333333"/>
        </w:rPr>
        <w:t xml:space="preserve">. </w:t>
      </w:r>
      <w:r w:rsidRPr="0039180A">
        <w:rPr>
          <w:rFonts w:cs="Arial"/>
          <w:b/>
          <w:color w:val="333333"/>
        </w:rPr>
        <w:t>2011</w:t>
      </w:r>
      <w:r>
        <w:rPr>
          <w:rFonts w:cs="Arial"/>
          <w:color w:val="333333"/>
        </w:rPr>
        <w:t xml:space="preserve">, </w:t>
      </w:r>
      <w:r w:rsidRPr="0039180A">
        <w:rPr>
          <w:rFonts w:cs="Arial"/>
          <w:i/>
          <w:color w:val="333333"/>
        </w:rPr>
        <w:t>22</w:t>
      </w:r>
      <w:r>
        <w:rPr>
          <w:rFonts w:cs="Arial"/>
          <w:color w:val="333333"/>
        </w:rPr>
        <w:t>, 761-764.</w:t>
      </w:r>
    </w:p>
    <w:p w:rsidR="000444C8" w:rsidRDefault="000444C8" w:rsidP="006F3A7B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</w:t>
      </w:r>
      <w:r w:rsidR="004B4B79">
        <w:rPr>
          <w:rFonts w:cs="Arial"/>
          <w:color w:val="333333"/>
        </w:rPr>
        <w:t>31</w:t>
      </w:r>
      <w:r>
        <w:rPr>
          <w:rFonts w:cs="Arial"/>
          <w:color w:val="333333"/>
        </w:rPr>
        <w:t>]</w:t>
      </w:r>
      <w:r>
        <w:rPr>
          <w:rFonts w:cs="Arial"/>
          <w:color w:val="333333"/>
        </w:rPr>
        <w:tab/>
      </w:r>
      <w:r w:rsidR="004B4B79">
        <w:rPr>
          <w:rStyle w:val="current-selection"/>
          <w:rFonts w:cs="Arial"/>
        </w:rPr>
        <w:t xml:space="preserve">M. He, M. Rommel, J. W. Bode, </w:t>
      </w:r>
      <w:r w:rsidR="004B4B79" w:rsidRPr="001256B0">
        <w:rPr>
          <w:rFonts w:cs="Arial"/>
          <w:i/>
          <w:color w:val="333333"/>
        </w:rPr>
        <w:t>Heterocycles</w:t>
      </w:r>
      <w:r w:rsidR="004B4B79">
        <w:rPr>
          <w:rStyle w:val="label2"/>
          <w:rFonts w:cs="Arial"/>
          <w:color w:val="333333"/>
        </w:rPr>
        <w:t xml:space="preserve"> </w:t>
      </w:r>
      <w:r w:rsidR="004B4B79" w:rsidRPr="001256B0">
        <w:rPr>
          <w:rStyle w:val="label2"/>
          <w:rFonts w:cs="Arial"/>
          <w:b/>
          <w:color w:val="333333"/>
        </w:rPr>
        <w:t>2012</w:t>
      </w:r>
      <w:r w:rsidR="004B4B79">
        <w:rPr>
          <w:rStyle w:val="label2"/>
          <w:rFonts w:cs="Arial"/>
          <w:color w:val="333333"/>
        </w:rPr>
        <w:t xml:space="preserve">, </w:t>
      </w:r>
      <w:r w:rsidR="004B4B79" w:rsidRPr="001256B0">
        <w:rPr>
          <w:rStyle w:val="databold"/>
          <w:rFonts w:cs="Arial"/>
          <w:i/>
          <w:color w:val="333333"/>
        </w:rPr>
        <w:t>86</w:t>
      </w:r>
      <w:r w:rsidR="004B4B79">
        <w:rPr>
          <w:rFonts w:cs="Arial"/>
          <w:color w:val="333333"/>
        </w:rPr>
        <w:t>,</w:t>
      </w:r>
      <w:r w:rsidR="004B4B79">
        <w:rPr>
          <w:rStyle w:val="label2"/>
          <w:rFonts w:cs="Arial"/>
          <w:color w:val="333333"/>
        </w:rPr>
        <w:t xml:space="preserve"> </w:t>
      </w:r>
      <w:r w:rsidR="004B4B79">
        <w:rPr>
          <w:rStyle w:val="databold"/>
          <w:rFonts w:cs="Arial"/>
          <w:color w:val="333333"/>
        </w:rPr>
        <w:t>1689-1696.</w:t>
      </w:r>
    </w:p>
    <w:p w:rsidR="000444C8" w:rsidRDefault="000444C8" w:rsidP="006F3A7B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</w:t>
      </w:r>
      <w:r w:rsidR="004B4B79">
        <w:rPr>
          <w:rFonts w:cs="Arial"/>
          <w:color w:val="333333"/>
        </w:rPr>
        <w:t>32</w:t>
      </w:r>
      <w:r>
        <w:rPr>
          <w:rFonts w:cs="Arial"/>
          <w:color w:val="333333"/>
        </w:rPr>
        <w:t>]</w:t>
      </w:r>
      <w:r>
        <w:rPr>
          <w:rFonts w:cs="Arial"/>
          <w:color w:val="333333"/>
        </w:rPr>
        <w:tab/>
      </w:r>
      <w:r w:rsidR="004B4B79">
        <w:rPr>
          <w:rFonts w:cs="Arial"/>
          <w:lang w:eastAsia="en-GB"/>
        </w:rPr>
        <w:t xml:space="preserve">D. Liu, X. Yu, L. </w:t>
      </w:r>
      <w:r w:rsidR="004B4B79" w:rsidRPr="00FB1109">
        <w:rPr>
          <w:rFonts w:cs="Arial"/>
          <w:lang w:eastAsia="en-GB"/>
        </w:rPr>
        <w:t xml:space="preserve">Huang </w:t>
      </w:r>
      <w:r w:rsidR="004B4B79" w:rsidRPr="00FB1109">
        <w:rPr>
          <w:rStyle w:val="current-selection"/>
          <w:rFonts w:cs="Arial"/>
          <w:i/>
        </w:rPr>
        <w:t>Chin. J. Chem</w:t>
      </w:r>
      <w:r w:rsidR="004B4B79" w:rsidRPr="00FB1109">
        <w:rPr>
          <w:rStyle w:val="current-selection"/>
          <w:rFonts w:cs="Arial"/>
        </w:rPr>
        <w:t xml:space="preserve">. </w:t>
      </w:r>
      <w:r w:rsidR="004B4B79" w:rsidRPr="00FB1109">
        <w:rPr>
          <w:rStyle w:val="ff5"/>
          <w:rFonts w:cs="Arial"/>
          <w:b/>
        </w:rPr>
        <w:t>2013</w:t>
      </w:r>
      <w:r w:rsidR="004B4B79" w:rsidRPr="00FB1109">
        <w:rPr>
          <w:rStyle w:val="current-selection"/>
          <w:rFonts w:cs="Arial"/>
        </w:rPr>
        <w:t xml:space="preserve">, </w:t>
      </w:r>
      <w:r w:rsidR="004B4B79" w:rsidRPr="00FB1109">
        <w:rPr>
          <w:rStyle w:val="current-selection"/>
          <w:rFonts w:cs="Arial"/>
          <w:i/>
        </w:rPr>
        <w:t>31</w:t>
      </w:r>
      <w:r w:rsidR="004B4B79">
        <w:rPr>
          <w:rStyle w:val="current-selection"/>
          <w:rFonts w:cs="Arial"/>
        </w:rPr>
        <w:t>, 344-</w:t>
      </w:r>
      <w:r w:rsidR="004B4B79" w:rsidRPr="00FB1109">
        <w:rPr>
          <w:rStyle w:val="current-selection"/>
          <w:rFonts w:cs="Arial"/>
        </w:rPr>
        <w:t>348</w:t>
      </w:r>
      <w:r w:rsidR="004B4B79">
        <w:rPr>
          <w:rStyle w:val="current-selection"/>
          <w:rFonts w:cs="Arial"/>
        </w:rPr>
        <w:t>.</w:t>
      </w:r>
    </w:p>
    <w:p w:rsidR="000444C8" w:rsidRDefault="000444C8" w:rsidP="006F3A7B">
      <w:pPr>
        <w:pStyle w:val="References"/>
        <w:spacing w:line="360" w:lineRule="auto"/>
        <w:rPr>
          <w:rFonts w:cs="Arial"/>
          <w:color w:val="333333"/>
        </w:rPr>
      </w:pPr>
      <w:r>
        <w:rPr>
          <w:rFonts w:cs="Arial"/>
          <w:color w:val="333333"/>
        </w:rPr>
        <w:t>[</w:t>
      </w:r>
      <w:r w:rsidR="004B4B79">
        <w:rPr>
          <w:rFonts w:cs="Arial"/>
          <w:color w:val="333333"/>
        </w:rPr>
        <w:t>33</w:t>
      </w:r>
      <w:r>
        <w:rPr>
          <w:rFonts w:cs="Arial"/>
          <w:color w:val="333333"/>
        </w:rPr>
        <w:t>]</w:t>
      </w:r>
      <w:r>
        <w:rPr>
          <w:rFonts w:cs="Arial"/>
          <w:color w:val="333333"/>
        </w:rPr>
        <w:tab/>
      </w:r>
      <w:r w:rsidR="000F117C">
        <w:rPr>
          <w:rFonts w:cs="Arial"/>
          <w:color w:val="333333"/>
        </w:rPr>
        <w:t xml:space="preserve">a) S. T. Hilton, W. B. Motherwell, D. L. Selwood, </w:t>
      </w:r>
      <w:r w:rsidR="000F117C" w:rsidRPr="000F117C">
        <w:rPr>
          <w:rFonts w:cs="Arial"/>
          <w:i/>
          <w:color w:val="333333"/>
        </w:rPr>
        <w:t>Synlett</w:t>
      </w:r>
      <w:r w:rsidR="000F117C">
        <w:rPr>
          <w:rFonts w:cs="Arial"/>
          <w:color w:val="333333"/>
        </w:rPr>
        <w:t xml:space="preserve"> </w:t>
      </w:r>
      <w:r w:rsidR="000F117C" w:rsidRPr="000F117C">
        <w:rPr>
          <w:rFonts w:cs="Arial"/>
          <w:b/>
          <w:color w:val="333333"/>
        </w:rPr>
        <w:t>2004</w:t>
      </w:r>
      <w:r w:rsidR="000F117C">
        <w:rPr>
          <w:rFonts w:cs="Arial"/>
          <w:color w:val="333333"/>
        </w:rPr>
        <w:t>, 2609-</w:t>
      </w:r>
      <w:r w:rsidR="00BE66A5">
        <w:rPr>
          <w:rFonts w:cs="Arial"/>
          <w:color w:val="333333"/>
        </w:rPr>
        <w:t>2611</w:t>
      </w:r>
      <w:r w:rsidR="000F117C">
        <w:rPr>
          <w:rFonts w:cs="Arial"/>
          <w:color w:val="333333"/>
        </w:rPr>
        <w:t xml:space="preserve">; b) </w:t>
      </w:r>
      <w:r w:rsidR="009F36F4">
        <w:rPr>
          <w:rFonts w:cs="Arial"/>
          <w:color w:val="333333"/>
        </w:rPr>
        <w:t xml:space="preserve">A. E. Aliev, S. T. Hilton, W. B. Motherwell, D. L. Selwood, </w:t>
      </w:r>
      <w:r w:rsidR="009F36F4" w:rsidRPr="008D1225">
        <w:rPr>
          <w:rFonts w:cs="Arial"/>
          <w:i/>
          <w:color w:val="333333"/>
        </w:rPr>
        <w:t xml:space="preserve">Tetrahedron </w:t>
      </w:r>
      <w:r w:rsidR="008D1225">
        <w:rPr>
          <w:rFonts w:cs="Arial"/>
          <w:i/>
          <w:color w:val="333333"/>
        </w:rPr>
        <w:t>L</w:t>
      </w:r>
      <w:r w:rsidR="009F36F4" w:rsidRPr="008D1225">
        <w:rPr>
          <w:rFonts w:cs="Arial"/>
          <w:i/>
          <w:color w:val="333333"/>
        </w:rPr>
        <w:t>e</w:t>
      </w:r>
      <w:r w:rsidR="008D1225">
        <w:rPr>
          <w:rFonts w:cs="Arial"/>
          <w:i/>
          <w:color w:val="333333"/>
        </w:rPr>
        <w:t>t</w:t>
      </w:r>
      <w:r w:rsidR="009F36F4" w:rsidRPr="008D1225">
        <w:rPr>
          <w:rFonts w:cs="Arial"/>
          <w:i/>
          <w:color w:val="333333"/>
        </w:rPr>
        <w:t>t.</w:t>
      </w:r>
      <w:r w:rsidR="009F36F4">
        <w:rPr>
          <w:rFonts w:cs="Arial"/>
          <w:color w:val="333333"/>
        </w:rPr>
        <w:t xml:space="preserve"> </w:t>
      </w:r>
      <w:r w:rsidR="009F36F4" w:rsidRPr="008D1225">
        <w:rPr>
          <w:rFonts w:cs="Arial"/>
          <w:b/>
          <w:color w:val="333333"/>
        </w:rPr>
        <w:t>2006</w:t>
      </w:r>
      <w:r w:rsidR="009F36F4">
        <w:rPr>
          <w:rFonts w:cs="Arial"/>
          <w:color w:val="333333"/>
        </w:rPr>
        <w:t xml:space="preserve">, </w:t>
      </w:r>
      <w:r w:rsidR="009F36F4" w:rsidRPr="008D1225">
        <w:rPr>
          <w:rFonts w:cs="Arial"/>
          <w:i/>
          <w:color w:val="333333"/>
        </w:rPr>
        <w:t>47</w:t>
      </w:r>
      <w:r w:rsidR="009F36F4">
        <w:rPr>
          <w:rFonts w:cs="Arial"/>
          <w:color w:val="333333"/>
        </w:rPr>
        <w:t>, 2387-</w:t>
      </w:r>
      <w:r w:rsidR="008D1225">
        <w:rPr>
          <w:rFonts w:cs="Arial"/>
          <w:color w:val="333333"/>
        </w:rPr>
        <w:t xml:space="preserve">2390. </w:t>
      </w:r>
    </w:p>
    <w:p w:rsidR="000444C8" w:rsidRDefault="000444C8" w:rsidP="006F3A7B">
      <w:pPr>
        <w:pStyle w:val="References"/>
        <w:spacing w:line="360" w:lineRule="auto"/>
        <w:rPr>
          <w:rStyle w:val="databold"/>
          <w:rFonts w:cs="Arial"/>
          <w:color w:val="333333"/>
        </w:rPr>
      </w:pPr>
      <w:r>
        <w:rPr>
          <w:rFonts w:cs="Arial"/>
          <w:color w:val="333333"/>
        </w:rPr>
        <w:t>[</w:t>
      </w:r>
      <w:r w:rsidR="004B4B79">
        <w:rPr>
          <w:rFonts w:cs="Arial"/>
          <w:color w:val="333333"/>
        </w:rPr>
        <w:t>34</w:t>
      </w:r>
      <w:r>
        <w:rPr>
          <w:rFonts w:cs="Arial"/>
          <w:color w:val="333333"/>
        </w:rPr>
        <w:t>]</w:t>
      </w:r>
      <w:r>
        <w:rPr>
          <w:rFonts w:cs="Arial"/>
          <w:color w:val="333333"/>
        </w:rPr>
        <w:tab/>
      </w:r>
      <w:r w:rsidR="006F3A7B">
        <w:rPr>
          <w:rStyle w:val="databold"/>
          <w:rFonts w:cs="Arial"/>
          <w:color w:val="333333"/>
        </w:rPr>
        <w:t xml:space="preserve"> </w:t>
      </w:r>
      <w:r w:rsidR="009F36F4">
        <w:rPr>
          <w:rFonts w:cs="Arial"/>
          <w:color w:val="333333"/>
        </w:rPr>
        <w:t xml:space="preserve">B. C. Sil, S. T. Hilton, </w:t>
      </w:r>
      <w:r w:rsidR="009F36F4" w:rsidRPr="008D1225">
        <w:rPr>
          <w:rFonts w:cs="Arial"/>
          <w:i/>
          <w:color w:val="333333"/>
        </w:rPr>
        <w:t>Synlett</w:t>
      </w:r>
      <w:r w:rsidR="009F36F4">
        <w:rPr>
          <w:rFonts w:cs="Arial"/>
          <w:color w:val="333333"/>
        </w:rPr>
        <w:t xml:space="preserve"> </w:t>
      </w:r>
      <w:r w:rsidR="009F36F4" w:rsidRPr="008D1225">
        <w:rPr>
          <w:rFonts w:cs="Arial"/>
          <w:b/>
          <w:color w:val="333333"/>
        </w:rPr>
        <w:t>2013</w:t>
      </w:r>
      <w:r w:rsidR="009F36F4">
        <w:rPr>
          <w:rFonts w:cs="Arial"/>
          <w:color w:val="333333"/>
        </w:rPr>
        <w:t xml:space="preserve">, </w:t>
      </w:r>
      <w:r w:rsidR="009F36F4" w:rsidRPr="008D1225">
        <w:rPr>
          <w:rFonts w:cs="Arial"/>
          <w:i/>
          <w:color w:val="333333"/>
        </w:rPr>
        <w:t>24</w:t>
      </w:r>
      <w:r w:rsidR="009F36F4">
        <w:rPr>
          <w:rFonts w:cs="Arial"/>
          <w:color w:val="333333"/>
        </w:rPr>
        <w:t>, 2563-2566.</w:t>
      </w:r>
    </w:p>
    <w:p w:rsidR="0006207D" w:rsidRDefault="000444C8" w:rsidP="006F3A7B">
      <w:pPr>
        <w:pStyle w:val="References"/>
        <w:spacing w:line="360" w:lineRule="auto"/>
        <w:rPr>
          <w:rFonts w:eastAsia="Calibri" w:cs="Arial"/>
          <w:color w:val="181818"/>
          <w:lang w:eastAsia="en-US"/>
        </w:rPr>
      </w:pPr>
      <w:r>
        <w:rPr>
          <w:rStyle w:val="databold"/>
          <w:rFonts w:cs="Arial"/>
          <w:color w:val="333333"/>
        </w:rPr>
        <w:t>[</w:t>
      </w:r>
      <w:r w:rsidR="004B4B79">
        <w:rPr>
          <w:rStyle w:val="databold"/>
          <w:rFonts w:cs="Arial"/>
          <w:color w:val="333333"/>
        </w:rPr>
        <w:t>35</w:t>
      </w:r>
      <w:r>
        <w:rPr>
          <w:rStyle w:val="databold"/>
          <w:rFonts w:cs="Arial"/>
          <w:color w:val="333333"/>
        </w:rPr>
        <w:t>]</w:t>
      </w:r>
      <w:r>
        <w:rPr>
          <w:rStyle w:val="databold"/>
          <w:rFonts w:cs="Arial"/>
          <w:color w:val="333333"/>
        </w:rPr>
        <w:tab/>
      </w:r>
      <w:r w:rsidR="000F117C" w:rsidRPr="000F117C">
        <w:rPr>
          <w:rFonts w:eastAsia="Calibri" w:cs="Arial"/>
          <w:lang w:eastAsia="en-US"/>
        </w:rPr>
        <w:t>T. Q. Dinh, X. Du, and R. W. Armstrong</w:t>
      </w:r>
      <w:r w:rsidR="000F117C" w:rsidRPr="000F117C">
        <w:rPr>
          <w:rFonts w:eastAsia="Calibri" w:cs="Arial"/>
          <w:i/>
          <w:lang w:eastAsia="en-US"/>
        </w:rPr>
        <w:t>, J. Org. Chem</w:t>
      </w:r>
      <w:r w:rsidR="000F117C" w:rsidRPr="000F117C">
        <w:rPr>
          <w:rFonts w:eastAsia="Calibri" w:cs="Arial"/>
          <w:lang w:eastAsia="en-US"/>
        </w:rPr>
        <w:t xml:space="preserve">. </w:t>
      </w:r>
      <w:r w:rsidR="000F117C" w:rsidRPr="000F117C">
        <w:rPr>
          <w:rFonts w:eastAsia="Calibri" w:cs="Arial"/>
          <w:b/>
          <w:bCs/>
          <w:color w:val="181818"/>
          <w:lang w:eastAsia="en-US"/>
        </w:rPr>
        <w:t xml:space="preserve">1996 </w:t>
      </w:r>
      <w:r w:rsidR="000F117C" w:rsidRPr="000F117C">
        <w:rPr>
          <w:rFonts w:eastAsia="Calibri" w:cs="Arial"/>
          <w:color w:val="181818"/>
          <w:lang w:eastAsia="en-US"/>
        </w:rPr>
        <w:t xml:space="preserve">, </w:t>
      </w:r>
      <w:r w:rsidR="000F117C" w:rsidRPr="000F117C">
        <w:rPr>
          <w:rFonts w:eastAsia="Calibri" w:cs="Arial"/>
          <w:i/>
          <w:color w:val="181818"/>
          <w:lang w:eastAsia="en-US"/>
        </w:rPr>
        <w:t>61</w:t>
      </w:r>
      <w:r w:rsidR="000F117C" w:rsidRPr="000F117C">
        <w:rPr>
          <w:rFonts w:eastAsia="Calibri" w:cs="Arial"/>
          <w:color w:val="181818"/>
          <w:lang w:eastAsia="en-US"/>
        </w:rPr>
        <w:t>, 6606–6616.</w:t>
      </w:r>
    </w:p>
    <w:p w:rsidR="000F117C" w:rsidRDefault="000F117C" w:rsidP="006F3A7B">
      <w:pPr>
        <w:pStyle w:val="References"/>
        <w:spacing w:line="360" w:lineRule="auto"/>
        <w:rPr>
          <w:rFonts w:eastAsia="Calibri" w:cs="Arial"/>
          <w:color w:val="181818"/>
          <w:lang w:eastAsia="en-US"/>
        </w:rPr>
      </w:pPr>
      <w:r>
        <w:rPr>
          <w:rFonts w:eastAsia="Calibri" w:cs="Arial"/>
          <w:color w:val="181818"/>
          <w:lang w:eastAsia="en-US"/>
        </w:rPr>
        <w:t>[36]</w:t>
      </w:r>
      <w:r>
        <w:rPr>
          <w:rFonts w:eastAsia="Calibri" w:cs="Arial"/>
          <w:color w:val="181818"/>
          <w:lang w:eastAsia="en-US"/>
        </w:rPr>
        <w:tab/>
      </w:r>
      <w:r w:rsidRPr="000F117C">
        <w:rPr>
          <w:rFonts w:eastAsia="Calibri" w:cs="Arial"/>
          <w:bCs/>
          <w:color w:val="181818"/>
          <w:lang w:eastAsia="en-US"/>
        </w:rPr>
        <w:t xml:space="preserve">A. Adima; C. Bied; J. J. E. Moreau; M. W. C. Man, </w:t>
      </w:r>
      <w:r w:rsidRPr="000F117C">
        <w:rPr>
          <w:rFonts w:eastAsia="Calibri" w:cs="Arial"/>
          <w:i/>
          <w:color w:val="181818"/>
          <w:lang w:eastAsia="en-US"/>
        </w:rPr>
        <w:t>Eur. J. Org. Chem</w:t>
      </w:r>
      <w:r w:rsidRPr="000F117C">
        <w:rPr>
          <w:rFonts w:eastAsia="Calibri" w:cs="Arial"/>
          <w:color w:val="181818"/>
          <w:lang w:eastAsia="en-US"/>
        </w:rPr>
        <w:t xml:space="preserve">. </w:t>
      </w:r>
      <w:r w:rsidRPr="000F117C">
        <w:rPr>
          <w:rFonts w:eastAsia="Calibri" w:cs="Arial"/>
          <w:b/>
          <w:bCs/>
          <w:color w:val="181818"/>
          <w:lang w:eastAsia="en-US"/>
        </w:rPr>
        <w:t xml:space="preserve">2004 </w:t>
      </w:r>
      <w:r w:rsidRPr="000F117C">
        <w:rPr>
          <w:rFonts w:eastAsia="Calibri" w:cs="Arial"/>
          <w:color w:val="181818"/>
          <w:lang w:eastAsia="en-US"/>
        </w:rPr>
        <w:t>, 2582-2588.</w:t>
      </w:r>
    </w:p>
    <w:p w:rsidR="000F117C" w:rsidRDefault="000F117C" w:rsidP="006F3A7B">
      <w:pPr>
        <w:pStyle w:val="References"/>
        <w:spacing w:line="360" w:lineRule="auto"/>
        <w:rPr>
          <w:rFonts w:eastAsia="Calibri" w:cs="Arial"/>
          <w:color w:val="181818"/>
          <w:lang w:eastAsia="en-US"/>
        </w:rPr>
      </w:pPr>
      <w:r>
        <w:rPr>
          <w:rFonts w:eastAsia="Calibri" w:cs="Arial"/>
          <w:color w:val="181818"/>
          <w:lang w:eastAsia="en-US"/>
        </w:rPr>
        <w:t>[37]</w:t>
      </w:r>
      <w:r>
        <w:rPr>
          <w:rFonts w:eastAsia="Calibri" w:cs="Arial"/>
          <w:color w:val="181818"/>
          <w:lang w:eastAsia="en-US"/>
        </w:rPr>
        <w:tab/>
        <w:t xml:space="preserve">S. Lu, A. H. Lewin, </w:t>
      </w:r>
      <w:r w:rsidRPr="000F117C">
        <w:rPr>
          <w:rFonts w:eastAsia="Calibri" w:cs="Arial"/>
          <w:i/>
          <w:color w:val="181818"/>
          <w:lang w:eastAsia="en-US"/>
        </w:rPr>
        <w:t>Tetrahedron</w:t>
      </w:r>
      <w:r>
        <w:rPr>
          <w:rFonts w:eastAsia="Calibri" w:cs="Arial"/>
          <w:color w:val="181818"/>
          <w:lang w:eastAsia="en-US"/>
        </w:rPr>
        <w:t xml:space="preserve"> </w:t>
      </w:r>
      <w:r w:rsidRPr="000F117C">
        <w:rPr>
          <w:rFonts w:eastAsia="Calibri" w:cs="Arial"/>
          <w:b/>
          <w:color w:val="181818"/>
          <w:lang w:eastAsia="en-US"/>
        </w:rPr>
        <w:t>1998</w:t>
      </w:r>
      <w:r>
        <w:rPr>
          <w:rFonts w:eastAsia="Calibri" w:cs="Arial"/>
          <w:color w:val="181818"/>
          <w:lang w:eastAsia="en-US"/>
        </w:rPr>
        <w:t xml:space="preserve">, </w:t>
      </w:r>
      <w:r w:rsidRPr="000F117C">
        <w:rPr>
          <w:rFonts w:eastAsia="Calibri" w:cs="Arial"/>
          <w:i/>
          <w:color w:val="181818"/>
          <w:lang w:eastAsia="en-US"/>
        </w:rPr>
        <w:t>54</w:t>
      </w:r>
      <w:r>
        <w:rPr>
          <w:rFonts w:eastAsia="Calibri" w:cs="Arial"/>
          <w:color w:val="181818"/>
          <w:lang w:eastAsia="en-US"/>
        </w:rPr>
        <w:t xml:space="preserve">, 15097-15104. </w:t>
      </w:r>
    </w:p>
    <w:p w:rsidR="00773C4B" w:rsidRPr="006722A0" w:rsidRDefault="000F117C" w:rsidP="00B43DA8">
      <w:pPr>
        <w:pStyle w:val="References"/>
        <w:spacing w:line="360" w:lineRule="auto"/>
        <w:sectPr w:rsidR="00773C4B" w:rsidRPr="006722A0" w:rsidSect="000D37AC">
          <w:type w:val="continuous"/>
          <w:pgSz w:w="11906" w:h="16838" w:code="9"/>
          <w:pgMar w:top="1673" w:right="936" w:bottom="1134" w:left="936" w:header="709" w:footer="709" w:gutter="0"/>
          <w:cols w:num="2" w:space="284"/>
          <w:docGrid w:linePitch="360"/>
        </w:sectPr>
      </w:pPr>
      <w:r w:rsidRPr="000F117C">
        <w:rPr>
          <w:rFonts w:cs="Arial"/>
        </w:rPr>
        <w:t>[38]</w:t>
      </w:r>
      <w:r w:rsidRPr="000F117C">
        <w:rPr>
          <w:rFonts w:cs="Arial"/>
        </w:rPr>
        <w:tab/>
        <w:t xml:space="preserve">R. J. McCaully, </w:t>
      </w:r>
      <w:r w:rsidRPr="000F117C">
        <w:rPr>
          <w:rFonts w:cs="Arial"/>
          <w:i/>
        </w:rPr>
        <w:t>U.S. Patent</w:t>
      </w:r>
      <w:r w:rsidRPr="000F117C">
        <w:rPr>
          <w:rFonts w:cs="Arial"/>
        </w:rPr>
        <w:t xml:space="preserve"> 3,896,170, </w:t>
      </w:r>
      <w:r w:rsidRPr="000F117C">
        <w:rPr>
          <w:rFonts w:cs="Arial"/>
          <w:b/>
        </w:rPr>
        <w:t>1975</w:t>
      </w:r>
      <w:r w:rsidRPr="000F117C">
        <w:rPr>
          <w:rFonts w:cs="Arial"/>
        </w:rPr>
        <w:t xml:space="preserve">; </w:t>
      </w:r>
      <w:r w:rsidRPr="000F117C">
        <w:rPr>
          <w:rFonts w:cs="Arial"/>
          <w:i/>
        </w:rPr>
        <w:t>Chem. Abstr</w:t>
      </w:r>
      <w:r w:rsidRPr="000F117C">
        <w:rPr>
          <w:rFonts w:cs="Arial"/>
        </w:rPr>
        <w:t xml:space="preserve">. </w:t>
      </w:r>
      <w:r w:rsidRPr="000F117C">
        <w:rPr>
          <w:rFonts w:cs="Arial"/>
          <w:b/>
        </w:rPr>
        <w:t>1975</w:t>
      </w:r>
      <w:r w:rsidRPr="000F117C">
        <w:rPr>
          <w:rFonts w:cs="Arial"/>
        </w:rPr>
        <w:t xml:space="preserve">, </w:t>
      </w:r>
      <w:r w:rsidRPr="000F117C">
        <w:rPr>
          <w:rFonts w:cs="Arial"/>
          <w:i/>
        </w:rPr>
        <w:t>84</w:t>
      </w:r>
      <w:r w:rsidRPr="000F117C">
        <w:rPr>
          <w:rFonts w:cs="Arial"/>
        </w:rPr>
        <w:t>, 4664.</w:t>
      </w:r>
    </w:p>
    <w:p w:rsidR="00773C4B" w:rsidRDefault="00773C4B" w:rsidP="00773C4B">
      <w:pPr>
        <w:rPr>
          <w:bCs/>
          <w:lang w:val="en-GB"/>
        </w:rPr>
      </w:pPr>
    </w:p>
    <w:p w:rsidR="00773C4B" w:rsidRDefault="00773C4B" w:rsidP="00773C4B">
      <w:pPr>
        <w:rPr>
          <w:bCs/>
          <w:lang w:val="en-GB"/>
        </w:rPr>
        <w:sectPr w:rsidR="00773C4B" w:rsidSect="000D37AC">
          <w:type w:val="continuous"/>
          <w:pgSz w:w="11906" w:h="16838" w:code="9"/>
          <w:pgMar w:top="1134" w:right="936" w:bottom="1134" w:left="936" w:header="1021" w:footer="0" w:gutter="0"/>
          <w:cols w:num="2" w:space="284"/>
          <w:docGrid w:linePitch="360"/>
        </w:sectPr>
      </w:pPr>
    </w:p>
    <w:p w:rsidR="00773C4B" w:rsidRDefault="00773C4B" w:rsidP="00773C4B">
      <w:pPr>
        <w:rPr>
          <w:bCs/>
          <w:lang w:val="en-GB"/>
        </w:rPr>
      </w:pPr>
    </w:p>
    <w:p w:rsidR="00A8458D" w:rsidRDefault="00A8458D" w:rsidP="00A8458D">
      <w:pPr>
        <w:rPr>
          <w:b/>
          <w:lang w:val="en-GB"/>
        </w:rPr>
      </w:pPr>
      <w:r w:rsidRPr="00621868">
        <w:rPr>
          <w:b/>
          <w:lang w:val="en-GB"/>
        </w:rPr>
        <w:t>Entry for the Table of Contents</w:t>
      </w:r>
      <w:r>
        <w:rPr>
          <w:lang w:val="en-GB"/>
        </w:rPr>
        <w:t xml:space="preserve"> (Please choose one layout)</w:t>
      </w:r>
    </w:p>
    <w:p w:rsidR="00A8458D" w:rsidRPr="00621868" w:rsidRDefault="00A8458D" w:rsidP="00A8458D">
      <w:pPr>
        <w:rPr>
          <w:b/>
          <w:lang w:val="en-GB"/>
        </w:rPr>
      </w:pPr>
    </w:p>
    <w:p w:rsidR="00A8458D" w:rsidRDefault="00A8458D" w:rsidP="00A8458D">
      <w:pPr>
        <w:rPr>
          <w:lang w:val="en-GB"/>
        </w:rPr>
      </w:pPr>
    </w:p>
    <w:p w:rsidR="00A8458D" w:rsidRDefault="00A8458D" w:rsidP="00A8458D">
      <w:pPr>
        <w:spacing w:after="240"/>
        <w:rPr>
          <w:lang w:val="en-GB"/>
        </w:rPr>
      </w:pPr>
      <w:r w:rsidRPr="00621868">
        <w:rPr>
          <w:lang w:val="en-GB"/>
        </w:rPr>
        <w:t>Layout 2:</w:t>
      </w:r>
    </w:p>
    <w:tbl>
      <w:tblPr>
        <w:tblW w:w="10093" w:type="dxa"/>
        <w:tblLayout w:type="fixed"/>
        <w:tblLook w:val="01E0" w:firstRow="1" w:lastRow="1" w:firstColumn="1" w:lastColumn="1" w:noHBand="0" w:noVBand="0"/>
      </w:tblPr>
      <w:tblGrid>
        <w:gridCol w:w="6520"/>
        <w:gridCol w:w="284"/>
        <w:gridCol w:w="3289"/>
      </w:tblGrid>
      <w:tr w:rsidR="00A8458D" w:rsidTr="00A968D0">
        <w:trPr>
          <w:trHeight w:hRule="exact" w:val="340"/>
        </w:trPr>
        <w:tc>
          <w:tcPr>
            <w:tcW w:w="10093" w:type="dxa"/>
            <w:gridSpan w:val="3"/>
            <w:tcBorders>
              <w:bottom w:val="single" w:sz="36" w:space="0" w:color="BFBFBF"/>
            </w:tcBorders>
            <w:shd w:val="clear" w:color="auto" w:fill="auto"/>
          </w:tcPr>
          <w:p w:rsidR="00A8458D" w:rsidRDefault="00A8458D" w:rsidP="003B6C60">
            <w:pPr>
              <w:pStyle w:val="ColumnTitleTOC"/>
            </w:pPr>
            <w:r>
              <w:t>COMMUNICATION</w:t>
            </w:r>
          </w:p>
        </w:tc>
      </w:tr>
      <w:tr w:rsidR="00E04961" w:rsidTr="00235938">
        <w:trPr>
          <w:trHeight w:val="340"/>
        </w:trPr>
        <w:tc>
          <w:tcPr>
            <w:tcW w:w="6520" w:type="dxa"/>
            <w:tcBorders>
              <w:top w:val="single" w:sz="36" w:space="0" w:color="BFBFBF"/>
            </w:tcBorders>
            <w:shd w:val="clear" w:color="auto" w:fill="auto"/>
          </w:tcPr>
          <w:p w:rsidR="00E04961" w:rsidRDefault="0024471B" w:rsidP="005E12EC">
            <w:pPr>
              <w:pStyle w:val="TableOfContentText"/>
              <w:spacing w:before="1680"/>
              <w:jc w:val="both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73025</wp:posOffset>
                      </wp:positionV>
                      <wp:extent cx="2687955" cy="796290"/>
                      <wp:effectExtent l="0" t="0" r="0" b="0"/>
                      <wp:wrapNone/>
                      <wp:docPr id="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7955" cy="796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0376" w:rsidRPr="006F5ABC" w:rsidRDefault="00BB0376" w:rsidP="00E04961">
                                  <w:pPr>
                                    <w:spacing w:before="3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E2FC7">
                                    <w:object w:dxaOrig="7869" w:dyaOrig="1744">
                                      <v:shape id="_x0000_i1032" type="#_x0000_t75" style="width:197.25pt;height:42.75pt" o:ole="">
                                        <v:imagedata r:id="rId26" o:title=""/>
                                      </v:shape>
                                      <o:OLEObject Type="Embed" ProgID="ChemDraw.Document.6.0" ShapeID="_x0000_i1032" DrawAspect="Content" ObjectID="_1547889024" r:id="rId2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7" style="position:absolute;left:0;text-align:left;margin-left:-5.7pt;margin-top:5.75pt;width:211.65pt;height:62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" fillcolor="#eaeaea" stroked="f">
                      <v:textbox style="mso-fit-shape-to-text:t">
                        <w:txbxContent>
                          <w:p w:rsidR="00BB0376" w:rsidRPr="006F5ABC" w:rsidRDefault="00BB0376" w:rsidP="00E04961">
                            <w:pPr>
                              <w:spacing w:before="360"/>
                              <w:jc w:val="center"/>
                              <w:rPr>
                                <w:sz w:val="18"/>
                              </w:rPr>
                            </w:pPr>
                            <w:r w:rsidRPr="003E2FC7">
                              <w:object w:dxaOrig="7869" w:dyaOrig="1744">
                                <v:shape id="_x0000_i1032" type="#_x0000_t75" style="width:197.25pt;height:42.75pt" o:ole="">
                                  <v:imagedata r:id="rId26" o:title=""/>
                                </v:shape>
                                <o:OLEObject Type="Embed" ProgID="ChemDraw.Document.6.0" ShapeID="_x0000_i1032" DrawAspect="Content" ObjectID="_1547889024" r:id="rId28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0376">
              <w:rPr>
                <w:lang w:val="en-US"/>
              </w:rPr>
              <w:t xml:space="preserve">Structurally </w:t>
            </w:r>
            <w:r w:rsidR="005E12EC">
              <w:rPr>
                <w:lang w:val="en-US"/>
              </w:rPr>
              <w:t xml:space="preserve">unrelated </w:t>
            </w:r>
            <w:r w:rsidR="00BB0376">
              <w:rPr>
                <w:lang w:val="en-US"/>
              </w:rPr>
              <w:t xml:space="preserve">natural products </w:t>
            </w:r>
            <w:r w:rsidR="005E12EC">
              <w:rPr>
                <w:lang w:val="en-US"/>
              </w:rPr>
              <w:t>often</w:t>
            </w:r>
            <w:r w:rsidR="00BB0376">
              <w:rPr>
                <w:lang w:val="en-US"/>
              </w:rPr>
              <w:t xml:space="preserve"> require individual synthetic routes. In </w:t>
            </w:r>
            <w:r w:rsidR="005E12EC">
              <w:rPr>
                <w:lang w:val="en-US"/>
              </w:rPr>
              <w:t>our</w:t>
            </w:r>
            <w:r w:rsidR="00BB0376">
              <w:rPr>
                <w:lang w:val="en-US"/>
              </w:rPr>
              <w:t xml:space="preserve"> approach, the epidithiodiketopiperazine natural product (</w:t>
            </w:r>
            <w:r w:rsidR="00BB0376">
              <w:rPr>
                <w:rFonts w:cs="Arial"/>
                <w:lang w:val="en-US"/>
              </w:rPr>
              <w:t>±</w:t>
            </w:r>
            <w:r w:rsidR="00BB0376">
              <w:rPr>
                <w:lang w:val="en-US"/>
              </w:rPr>
              <w:t xml:space="preserve">)-hyalodendrin and the core structure of the unrelated pyrrolidine </w:t>
            </w:r>
            <w:r w:rsidR="008F5A3D">
              <w:rPr>
                <w:lang w:val="en-US"/>
              </w:rPr>
              <w:t xml:space="preserve">derived </w:t>
            </w:r>
            <w:r w:rsidR="00BB0376">
              <w:rPr>
                <w:lang w:val="en-US"/>
              </w:rPr>
              <w:t xml:space="preserve">natural product clausenamide </w:t>
            </w:r>
            <w:r w:rsidR="005E12EC">
              <w:rPr>
                <w:lang w:val="en-US"/>
              </w:rPr>
              <w:t>were</w:t>
            </w:r>
            <w:r w:rsidR="00BB0376">
              <w:rPr>
                <w:lang w:val="en-US"/>
              </w:rPr>
              <w:t xml:space="preserve"> synthesised from a common precursor by simple variation of the reaction conditions.</w:t>
            </w:r>
          </w:p>
        </w:tc>
        <w:tc>
          <w:tcPr>
            <w:tcW w:w="284" w:type="dxa"/>
            <w:tcBorders>
              <w:top w:val="single" w:sz="36" w:space="0" w:color="BFBFBF"/>
            </w:tcBorders>
            <w:shd w:val="clear" w:color="auto" w:fill="auto"/>
          </w:tcPr>
          <w:p w:rsidR="00E04961" w:rsidRDefault="00E04961" w:rsidP="00235938">
            <w:pPr>
              <w:rPr>
                <w:lang w:val="en-GB"/>
              </w:rPr>
            </w:pPr>
          </w:p>
        </w:tc>
        <w:tc>
          <w:tcPr>
            <w:tcW w:w="3289" w:type="dxa"/>
            <w:tcBorders>
              <w:top w:val="single" w:sz="36" w:space="0" w:color="BFBFBF"/>
            </w:tcBorders>
            <w:shd w:val="clear" w:color="auto" w:fill="auto"/>
          </w:tcPr>
          <w:p w:rsidR="00E04961" w:rsidRPr="001F0321" w:rsidRDefault="001F0321" w:rsidP="00235938">
            <w:pPr>
              <w:pStyle w:val="AuthorsTOC"/>
            </w:pPr>
            <w:r w:rsidRPr="001F0321">
              <w:t>Blanka R. Szulc, B. C. Sil, A. Ruiz and Stephen T. Hilton*</w:t>
            </w:r>
          </w:p>
          <w:p w:rsidR="00E04961" w:rsidRPr="009E5C87" w:rsidRDefault="00E04961" w:rsidP="00235938">
            <w:pPr>
              <w:pStyle w:val="PageNumbers"/>
              <w:rPr>
                <w:lang w:val="en-GB"/>
              </w:rPr>
            </w:pPr>
            <w:r w:rsidRPr="009E5C87">
              <w:rPr>
                <w:lang w:val="en-GB"/>
              </w:rPr>
              <w:t>Page No. – Page No.</w:t>
            </w:r>
          </w:p>
          <w:p w:rsidR="00E04961" w:rsidRPr="001F0321" w:rsidRDefault="001F0321" w:rsidP="00235938">
            <w:pPr>
              <w:pStyle w:val="TitleTOC"/>
              <w:framePr w:hSpace="141" w:wrap="around" w:vAnchor="page" w:hAnchor="margin" w:y="1504"/>
              <w:rPr>
                <w:szCs w:val="17"/>
              </w:rPr>
            </w:pPr>
            <w:r w:rsidRPr="001F0321">
              <w:rPr>
                <w:rFonts w:cs="Arial"/>
                <w:szCs w:val="17"/>
                <w:lang w:val="en-US" w:eastAsia="en-GB"/>
              </w:rPr>
              <w:t>A Common Precursor Approach to Structurally Diverse Natural Products: The Synthesis of the Core Structure of (±)-Clausenamide and the Total Synthesis of (±)-Hyalodendrin</w:t>
            </w:r>
          </w:p>
          <w:p w:rsidR="00E04961" w:rsidRPr="009E5C87" w:rsidRDefault="00E04961" w:rsidP="00235938">
            <w:pPr>
              <w:framePr w:hSpace="141" w:wrap="around" w:vAnchor="page" w:hAnchor="margin" w:y="1504"/>
              <w:rPr>
                <w:lang w:val="en-GB"/>
              </w:rPr>
            </w:pPr>
          </w:p>
        </w:tc>
      </w:tr>
    </w:tbl>
    <w:p w:rsidR="00A8458D" w:rsidRDefault="00A8458D" w:rsidP="00A8458D">
      <w:pPr>
        <w:rPr>
          <w:lang w:val="en-GB"/>
        </w:rPr>
      </w:pPr>
    </w:p>
    <w:p w:rsidR="00773C4B" w:rsidRPr="008F525A" w:rsidRDefault="00773C4B" w:rsidP="00773C4B">
      <w:pPr>
        <w:rPr>
          <w:bCs/>
          <w:lang w:val="en-GB"/>
        </w:rPr>
      </w:pPr>
    </w:p>
    <w:sectPr w:rsidR="00773C4B" w:rsidRPr="008F525A" w:rsidSect="000D37AC">
      <w:pgSz w:w="11906" w:h="16838" w:code="9"/>
      <w:pgMar w:top="1134" w:right="936" w:bottom="1134" w:left="936" w:header="1021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7A" w:rsidRDefault="00FF4D7A">
      <w:r>
        <w:separator/>
      </w:r>
    </w:p>
  </w:endnote>
  <w:endnote w:type="continuationSeparator" w:id="0">
    <w:p w:rsidR="00FF4D7A" w:rsidRDefault="00FF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TN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76" w:rsidRDefault="00BB0376" w:rsidP="000C4579">
    <w:pPr>
      <w:pStyle w:val="Footer"/>
      <w:pBdr>
        <w:top w:val="single" w:sz="18" w:space="1" w:color="C0C0C0"/>
      </w:pBdr>
    </w:pPr>
  </w:p>
  <w:p w:rsidR="00BB0376" w:rsidRDefault="00BB0376" w:rsidP="000C4579">
    <w:pPr>
      <w:pStyle w:val="Footer"/>
    </w:pPr>
  </w:p>
  <w:p w:rsidR="00BB0376" w:rsidRDefault="00BB0376" w:rsidP="000C4579">
    <w:pPr>
      <w:pStyle w:val="Footer"/>
    </w:pPr>
  </w:p>
  <w:p w:rsidR="00BB0376" w:rsidRPr="00205632" w:rsidRDefault="00BB0376" w:rsidP="000C4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7A" w:rsidRDefault="00FF4D7A">
      <w:r>
        <w:separator/>
      </w:r>
    </w:p>
  </w:footnote>
  <w:footnote w:type="continuationSeparator" w:id="0">
    <w:p w:rsidR="00FF4D7A" w:rsidRDefault="00FF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76" w:rsidRPr="00C8278A" w:rsidRDefault="0024471B" w:rsidP="00490E63">
    <w:pPr>
      <w:pStyle w:val="Header"/>
      <w:pBdr>
        <w:bottom w:val="single" w:sz="36" w:space="1" w:color="C0C0C0"/>
      </w:pBdr>
      <w:rPr>
        <w:rFonts w:ascii="Arial Narrow" w:hAnsi="Arial Narrow" w:cs="Arial"/>
        <w:b/>
        <w:bCs/>
        <w:color w:val="C0C0C0"/>
        <w:sz w:val="36"/>
        <w:szCs w:val="36"/>
      </w:rPr>
    </w:pPr>
    <w:r>
      <w:rPr>
        <w:rFonts w:ascii="Arial Narrow" w:hAnsi="Arial Narrow" w:cs="Arial"/>
        <w:b/>
        <w:bCs/>
        <w:noProof/>
        <w:color w:val="C0C0C0"/>
        <w:sz w:val="40"/>
        <w:szCs w:val="36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8795" o:spid="_x0000_s2061" type="#_x0000_t75" style="position:absolute;margin-left:0;margin-top:0;width:688.65pt;height:937.8pt;z-index:-251658240;mso-position-horizontal:center;mso-position-horizontal-relative:margin;mso-position-vertical:center;mso-position-vertical-relative:margin" o:allowincell="f">
          <v:imagedata r:id="rId1" o:title="Wiley-VCH_gedreht" gain="19661f" blacklevel="22938f"/>
          <w10:wrap anchorx="margin" anchory="margin"/>
        </v:shape>
      </w:pict>
    </w:r>
    <w:r w:rsidR="00BB0376">
      <w:rPr>
        <w:rFonts w:ascii="Arial Narrow" w:hAnsi="Arial Narrow" w:cs="Arial"/>
        <w:b/>
        <w:bCs/>
        <w:noProof/>
        <w:color w:val="C0C0C0"/>
        <w:sz w:val="40"/>
        <w:szCs w:val="36"/>
        <w:lang w:val="en-GB" w:eastAsia="en-GB"/>
      </w:rPr>
      <w:drawing>
        <wp:inline distT="0" distB="0" distL="0" distR="0">
          <wp:extent cx="1457325" cy="3714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0376">
      <w:rPr>
        <w:rFonts w:ascii="Arial Narrow" w:hAnsi="Arial Narrow" w:cs="Arial"/>
        <w:b/>
        <w:bCs/>
        <w:color w:val="C0C0C0"/>
        <w:sz w:val="40"/>
        <w:szCs w:val="36"/>
      </w:rPr>
      <w:tab/>
    </w:r>
    <w:r w:rsidR="00BB0376">
      <w:rPr>
        <w:rFonts w:ascii="Arial Narrow" w:hAnsi="Arial Narrow" w:cs="Arial"/>
        <w:b/>
        <w:bCs/>
        <w:color w:val="C0C0C0"/>
        <w:sz w:val="40"/>
        <w:szCs w:val="36"/>
      </w:rPr>
      <w:tab/>
      <w:t xml:space="preserve">                            </w:t>
    </w:r>
    <w:r w:rsidR="00BB0376" w:rsidRPr="00FB4551">
      <w:rPr>
        <w:rFonts w:ascii="Arial" w:hAnsi="Arial" w:cs="Arial"/>
        <w:b/>
        <w:bCs/>
        <w:color w:val="C0C0C0"/>
      </w:rPr>
      <w:t>www.chemsuschem.org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76" w:rsidRPr="00971FC5" w:rsidRDefault="0024471B" w:rsidP="000C4579">
    <w:pPr>
      <w:pStyle w:val="Header"/>
      <w:pBdr>
        <w:bottom w:val="single" w:sz="18" w:space="1" w:color="C0C0C0"/>
      </w:pBdr>
      <w:rPr>
        <w:rFonts w:ascii="Arial Narrow" w:hAnsi="Arial Narrow" w:cs="Arial"/>
        <w:sz w:val="32"/>
        <w:szCs w:val="36"/>
      </w:rPr>
    </w:pPr>
    <w:r>
      <w:rPr>
        <w:noProof/>
        <w:sz w:val="20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8796" o:spid="_x0000_s2062" type="#_x0000_t75" style="position:absolute;margin-left:0;margin-top:0;width:688.65pt;height:937.8pt;z-index:-251657216;mso-position-horizontal:center;mso-position-horizontal-relative:margin;mso-position-vertical:center;mso-position-vertical-relative:margin" o:allowincell="f">
          <v:imagedata r:id="rId1" o:title="Wiley-VCH_gedreht" gain="19661f" blacklevel="22938f"/>
          <w10:wrap anchorx="margin" anchory="margin"/>
        </v:shape>
      </w:pict>
    </w:r>
    <w:r w:rsidR="00BB0376">
      <w:rPr>
        <w:noProof/>
        <w:sz w:val="20"/>
        <w:lang w:val="en-GB"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5344160</wp:posOffset>
          </wp:positionH>
          <wp:positionV relativeFrom="paragraph">
            <wp:posOffset>-40005</wp:posOffset>
          </wp:positionV>
          <wp:extent cx="1079500" cy="273050"/>
          <wp:effectExtent l="0" t="0" r="12700" b="6350"/>
          <wp:wrapTopAndBottom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7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0376" w:rsidRPr="00971FC5">
      <w:rPr>
        <w:rFonts w:ascii="Arial Narrow" w:hAnsi="Arial Narrow" w:cs="Arial"/>
        <w:b/>
        <w:bCs/>
        <w:color w:val="C0C0C0"/>
        <w:sz w:val="32"/>
        <w:szCs w:val="36"/>
      </w:rPr>
      <w:t>COMMUNICATION</w:t>
    </w:r>
    <w:r w:rsidR="00BB0376" w:rsidRPr="00971FC5">
      <w:rPr>
        <w:rFonts w:ascii="Arial Narrow" w:hAnsi="Arial Narrow" w:cs="Arial"/>
        <w:sz w:val="32"/>
        <w:szCs w:val="36"/>
      </w:rPr>
      <w:tab/>
    </w:r>
    <w:r w:rsidR="00BB0376" w:rsidRPr="00971FC5">
      <w:rPr>
        <w:rFonts w:ascii="Arial Narrow" w:hAnsi="Arial Narrow" w:cs="Arial"/>
        <w:sz w:val="32"/>
        <w:szCs w:val="36"/>
      </w:rPr>
      <w:tab/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76" w:rsidRDefault="0024471B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8794" o:spid="_x0000_s2060" type="#_x0000_t75" style="position:absolute;margin-left:0;margin-top:0;width:688.65pt;height:937.8pt;z-index:-251659264;mso-position-horizontal:center;mso-position-horizontal-relative:margin;mso-position-vertical:center;mso-position-vertical-relative:margin" o:allowincell="f">
          <v:imagedata r:id="rId1" o:title="Wiley-VCH_gedre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211C8"/>
    <w:multiLevelType w:val="hybridMultilevel"/>
    <w:tmpl w:val="CCA2EE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86"/>
    <w:rsid w:val="0000214A"/>
    <w:rsid w:val="00002DBC"/>
    <w:rsid w:val="00003927"/>
    <w:rsid w:val="0000457A"/>
    <w:rsid w:val="000045E9"/>
    <w:rsid w:val="0000581B"/>
    <w:rsid w:val="00010410"/>
    <w:rsid w:val="00011D51"/>
    <w:rsid w:val="00013DD7"/>
    <w:rsid w:val="00016157"/>
    <w:rsid w:val="00022DB4"/>
    <w:rsid w:val="00024BFF"/>
    <w:rsid w:val="00027F3A"/>
    <w:rsid w:val="00032302"/>
    <w:rsid w:val="00033C26"/>
    <w:rsid w:val="00033D1A"/>
    <w:rsid w:val="00033F43"/>
    <w:rsid w:val="00034033"/>
    <w:rsid w:val="00034689"/>
    <w:rsid w:val="00036490"/>
    <w:rsid w:val="0004091A"/>
    <w:rsid w:val="00042BF0"/>
    <w:rsid w:val="000444C8"/>
    <w:rsid w:val="00045AB9"/>
    <w:rsid w:val="0005096E"/>
    <w:rsid w:val="0005140E"/>
    <w:rsid w:val="00055485"/>
    <w:rsid w:val="0006207D"/>
    <w:rsid w:val="0006281D"/>
    <w:rsid w:val="00063E0F"/>
    <w:rsid w:val="0006489B"/>
    <w:rsid w:val="000650AB"/>
    <w:rsid w:val="0006694D"/>
    <w:rsid w:val="000669E3"/>
    <w:rsid w:val="00066B8E"/>
    <w:rsid w:val="00070B55"/>
    <w:rsid w:val="00070E0D"/>
    <w:rsid w:val="00071F2C"/>
    <w:rsid w:val="0007315F"/>
    <w:rsid w:val="000740BE"/>
    <w:rsid w:val="000769DF"/>
    <w:rsid w:val="00077560"/>
    <w:rsid w:val="0008077D"/>
    <w:rsid w:val="000869C4"/>
    <w:rsid w:val="0009539C"/>
    <w:rsid w:val="00095C2F"/>
    <w:rsid w:val="000A37F3"/>
    <w:rsid w:val="000A77DC"/>
    <w:rsid w:val="000B1A6E"/>
    <w:rsid w:val="000B221D"/>
    <w:rsid w:val="000B64B1"/>
    <w:rsid w:val="000B6DF3"/>
    <w:rsid w:val="000C1DBD"/>
    <w:rsid w:val="000C40CA"/>
    <w:rsid w:val="000C4579"/>
    <w:rsid w:val="000C53F1"/>
    <w:rsid w:val="000D37AC"/>
    <w:rsid w:val="000D3F0B"/>
    <w:rsid w:val="000D42DD"/>
    <w:rsid w:val="000D44C9"/>
    <w:rsid w:val="000D70F8"/>
    <w:rsid w:val="000D75B7"/>
    <w:rsid w:val="000D7701"/>
    <w:rsid w:val="000E0815"/>
    <w:rsid w:val="000E0CEA"/>
    <w:rsid w:val="000E0EC4"/>
    <w:rsid w:val="000E1C81"/>
    <w:rsid w:val="000E517A"/>
    <w:rsid w:val="000E5FDC"/>
    <w:rsid w:val="000E718F"/>
    <w:rsid w:val="000E76B8"/>
    <w:rsid w:val="000E7EFF"/>
    <w:rsid w:val="000F0136"/>
    <w:rsid w:val="000F117C"/>
    <w:rsid w:val="000F29A4"/>
    <w:rsid w:val="000F2C63"/>
    <w:rsid w:val="000F2EA1"/>
    <w:rsid w:val="000F5BD1"/>
    <w:rsid w:val="000F7847"/>
    <w:rsid w:val="00100F75"/>
    <w:rsid w:val="001037A1"/>
    <w:rsid w:val="00103EF7"/>
    <w:rsid w:val="00104119"/>
    <w:rsid w:val="0010543E"/>
    <w:rsid w:val="00105F97"/>
    <w:rsid w:val="00107E8C"/>
    <w:rsid w:val="001158DE"/>
    <w:rsid w:val="00120573"/>
    <w:rsid w:val="00120F2E"/>
    <w:rsid w:val="001237B3"/>
    <w:rsid w:val="0012381E"/>
    <w:rsid w:val="001256B0"/>
    <w:rsid w:val="001306B5"/>
    <w:rsid w:val="001322FF"/>
    <w:rsid w:val="0013316F"/>
    <w:rsid w:val="001332DF"/>
    <w:rsid w:val="001344F7"/>
    <w:rsid w:val="001348CD"/>
    <w:rsid w:val="00136E8B"/>
    <w:rsid w:val="001379F3"/>
    <w:rsid w:val="0014043E"/>
    <w:rsid w:val="00141356"/>
    <w:rsid w:val="00143551"/>
    <w:rsid w:val="0014374D"/>
    <w:rsid w:val="00143B89"/>
    <w:rsid w:val="001475BF"/>
    <w:rsid w:val="00152E6D"/>
    <w:rsid w:val="00155FB7"/>
    <w:rsid w:val="0015631F"/>
    <w:rsid w:val="00157C67"/>
    <w:rsid w:val="0016203E"/>
    <w:rsid w:val="001639AE"/>
    <w:rsid w:val="001654DF"/>
    <w:rsid w:val="00166BEB"/>
    <w:rsid w:val="00166D41"/>
    <w:rsid w:val="001678B6"/>
    <w:rsid w:val="0017048F"/>
    <w:rsid w:val="00171CF9"/>
    <w:rsid w:val="00172F48"/>
    <w:rsid w:val="001732A4"/>
    <w:rsid w:val="0017569B"/>
    <w:rsid w:val="00177BD9"/>
    <w:rsid w:val="001800AA"/>
    <w:rsid w:val="0018165B"/>
    <w:rsid w:val="00181774"/>
    <w:rsid w:val="00184380"/>
    <w:rsid w:val="00186601"/>
    <w:rsid w:val="001878D0"/>
    <w:rsid w:val="0019014F"/>
    <w:rsid w:val="00190F8E"/>
    <w:rsid w:val="00194818"/>
    <w:rsid w:val="00194A21"/>
    <w:rsid w:val="00196DEB"/>
    <w:rsid w:val="00197F42"/>
    <w:rsid w:val="001A0D55"/>
    <w:rsid w:val="001A3120"/>
    <w:rsid w:val="001A39AE"/>
    <w:rsid w:val="001A438D"/>
    <w:rsid w:val="001B0DFC"/>
    <w:rsid w:val="001C1039"/>
    <w:rsid w:val="001C1F9B"/>
    <w:rsid w:val="001C21E3"/>
    <w:rsid w:val="001C26A7"/>
    <w:rsid w:val="001C591D"/>
    <w:rsid w:val="001D0C03"/>
    <w:rsid w:val="001D1155"/>
    <w:rsid w:val="001D13EA"/>
    <w:rsid w:val="001D216B"/>
    <w:rsid w:val="001D29CA"/>
    <w:rsid w:val="001D54CA"/>
    <w:rsid w:val="001D799B"/>
    <w:rsid w:val="001D7ECC"/>
    <w:rsid w:val="001E164A"/>
    <w:rsid w:val="001E2F1C"/>
    <w:rsid w:val="001F0321"/>
    <w:rsid w:val="001F16EF"/>
    <w:rsid w:val="001F1A2D"/>
    <w:rsid w:val="001F252B"/>
    <w:rsid w:val="001F4235"/>
    <w:rsid w:val="001F45C3"/>
    <w:rsid w:val="001F4B8D"/>
    <w:rsid w:val="001F4EE4"/>
    <w:rsid w:val="00200C6E"/>
    <w:rsid w:val="00200CD8"/>
    <w:rsid w:val="0020306E"/>
    <w:rsid w:val="00205632"/>
    <w:rsid w:val="00210215"/>
    <w:rsid w:val="00212CDE"/>
    <w:rsid w:val="00213D0E"/>
    <w:rsid w:val="002221BA"/>
    <w:rsid w:val="00222CDD"/>
    <w:rsid w:val="00222D97"/>
    <w:rsid w:val="0022537E"/>
    <w:rsid w:val="0022582C"/>
    <w:rsid w:val="00232C14"/>
    <w:rsid w:val="00235938"/>
    <w:rsid w:val="002362C7"/>
    <w:rsid w:val="00240D94"/>
    <w:rsid w:val="00241D85"/>
    <w:rsid w:val="00242E54"/>
    <w:rsid w:val="002433F0"/>
    <w:rsid w:val="00243927"/>
    <w:rsid w:val="0024471B"/>
    <w:rsid w:val="00245D30"/>
    <w:rsid w:val="00247656"/>
    <w:rsid w:val="00260EDA"/>
    <w:rsid w:val="00261387"/>
    <w:rsid w:val="00261882"/>
    <w:rsid w:val="0026553A"/>
    <w:rsid w:val="00265DCA"/>
    <w:rsid w:val="00267F8A"/>
    <w:rsid w:val="002702BC"/>
    <w:rsid w:val="0027068B"/>
    <w:rsid w:val="002871DA"/>
    <w:rsid w:val="00287256"/>
    <w:rsid w:val="00287B32"/>
    <w:rsid w:val="00291C93"/>
    <w:rsid w:val="00291EC8"/>
    <w:rsid w:val="00295D27"/>
    <w:rsid w:val="002A36FA"/>
    <w:rsid w:val="002A561E"/>
    <w:rsid w:val="002A69D1"/>
    <w:rsid w:val="002B16E2"/>
    <w:rsid w:val="002B22BA"/>
    <w:rsid w:val="002B25E2"/>
    <w:rsid w:val="002B453B"/>
    <w:rsid w:val="002B7CA9"/>
    <w:rsid w:val="002C36E0"/>
    <w:rsid w:val="002C6B86"/>
    <w:rsid w:val="002D0B17"/>
    <w:rsid w:val="002D24CB"/>
    <w:rsid w:val="002D42FF"/>
    <w:rsid w:val="002D5148"/>
    <w:rsid w:val="002D5B99"/>
    <w:rsid w:val="002E066F"/>
    <w:rsid w:val="002E2CA8"/>
    <w:rsid w:val="002E5615"/>
    <w:rsid w:val="002E5A95"/>
    <w:rsid w:val="002F0269"/>
    <w:rsid w:val="002F1479"/>
    <w:rsid w:val="002F17FB"/>
    <w:rsid w:val="002F510E"/>
    <w:rsid w:val="002F56D6"/>
    <w:rsid w:val="002F6A4C"/>
    <w:rsid w:val="002F73A5"/>
    <w:rsid w:val="003006A7"/>
    <w:rsid w:val="00301167"/>
    <w:rsid w:val="00301D1E"/>
    <w:rsid w:val="00303FBE"/>
    <w:rsid w:val="003040CB"/>
    <w:rsid w:val="00305CB7"/>
    <w:rsid w:val="003079D2"/>
    <w:rsid w:val="00307C5A"/>
    <w:rsid w:val="003113EB"/>
    <w:rsid w:val="003116F4"/>
    <w:rsid w:val="00311CB7"/>
    <w:rsid w:val="00312ED2"/>
    <w:rsid w:val="00314335"/>
    <w:rsid w:val="0032048F"/>
    <w:rsid w:val="003219A5"/>
    <w:rsid w:val="00322D02"/>
    <w:rsid w:val="00322E1F"/>
    <w:rsid w:val="00323402"/>
    <w:rsid w:val="00323FC3"/>
    <w:rsid w:val="00324724"/>
    <w:rsid w:val="00324B59"/>
    <w:rsid w:val="00325147"/>
    <w:rsid w:val="003254D1"/>
    <w:rsid w:val="00325516"/>
    <w:rsid w:val="003275FF"/>
    <w:rsid w:val="0033054D"/>
    <w:rsid w:val="00331B5E"/>
    <w:rsid w:val="00333FAD"/>
    <w:rsid w:val="0033586B"/>
    <w:rsid w:val="0033609B"/>
    <w:rsid w:val="00336A5A"/>
    <w:rsid w:val="003403BB"/>
    <w:rsid w:val="00340A08"/>
    <w:rsid w:val="00341583"/>
    <w:rsid w:val="003424B0"/>
    <w:rsid w:val="003447D7"/>
    <w:rsid w:val="0034496B"/>
    <w:rsid w:val="0035293C"/>
    <w:rsid w:val="003529B6"/>
    <w:rsid w:val="00354B57"/>
    <w:rsid w:val="00361A86"/>
    <w:rsid w:val="0036445B"/>
    <w:rsid w:val="00364753"/>
    <w:rsid w:val="00364A2A"/>
    <w:rsid w:val="003657B6"/>
    <w:rsid w:val="00366676"/>
    <w:rsid w:val="00375415"/>
    <w:rsid w:val="00376792"/>
    <w:rsid w:val="00376F37"/>
    <w:rsid w:val="003809F8"/>
    <w:rsid w:val="0038506F"/>
    <w:rsid w:val="00390DD7"/>
    <w:rsid w:val="0039180A"/>
    <w:rsid w:val="00392325"/>
    <w:rsid w:val="00395EBF"/>
    <w:rsid w:val="00396BE2"/>
    <w:rsid w:val="003A53AA"/>
    <w:rsid w:val="003A5D93"/>
    <w:rsid w:val="003B04BA"/>
    <w:rsid w:val="003B0FC4"/>
    <w:rsid w:val="003B23FB"/>
    <w:rsid w:val="003B6C60"/>
    <w:rsid w:val="003B70C8"/>
    <w:rsid w:val="003C11A7"/>
    <w:rsid w:val="003C134A"/>
    <w:rsid w:val="003C1CCA"/>
    <w:rsid w:val="003C2972"/>
    <w:rsid w:val="003C2C9C"/>
    <w:rsid w:val="003C2F45"/>
    <w:rsid w:val="003C6E1A"/>
    <w:rsid w:val="003D0F51"/>
    <w:rsid w:val="003D1C1A"/>
    <w:rsid w:val="003D6377"/>
    <w:rsid w:val="003E0529"/>
    <w:rsid w:val="003E0BAB"/>
    <w:rsid w:val="003E2FC7"/>
    <w:rsid w:val="003E52E4"/>
    <w:rsid w:val="003E54CD"/>
    <w:rsid w:val="003E7319"/>
    <w:rsid w:val="003F1223"/>
    <w:rsid w:val="003F2556"/>
    <w:rsid w:val="003F50D4"/>
    <w:rsid w:val="0040080D"/>
    <w:rsid w:val="0040270E"/>
    <w:rsid w:val="00403876"/>
    <w:rsid w:val="004062B1"/>
    <w:rsid w:val="004064F1"/>
    <w:rsid w:val="004070B6"/>
    <w:rsid w:val="004072DD"/>
    <w:rsid w:val="004116FF"/>
    <w:rsid w:val="00411AA6"/>
    <w:rsid w:val="00414412"/>
    <w:rsid w:val="00415971"/>
    <w:rsid w:val="00416B05"/>
    <w:rsid w:val="00416F79"/>
    <w:rsid w:val="0042257A"/>
    <w:rsid w:val="00422AFE"/>
    <w:rsid w:val="00423593"/>
    <w:rsid w:val="00424978"/>
    <w:rsid w:val="0042545B"/>
    <w:rsid w:val="00427CBD"/>
    <w:rsid w:val="00431151"/>
    <w:rsid w:val="00432307"/>
    <w:rsid w:val="00435D6F"/>
    <w:rsid w:val="00436338"/>
    <w:rsid w:val="00437B5A"/>
    <w:rsid w:val="00440655"/>
    <w:rsid w:val="00444E3C"/>
    <w:rsid w:val="00445D5C"/>
    <w:rsid w:val="004465F9"/>
    <w:rsid w:val="004466B0"/>
    <w:rsid w:val="00452A4C"/>
    <w:rsid w:val="00454A2D"/>
    <w:rsid w:val="004556E1"/>
    <w:rsid w:val="004609E1"/>
    <w:rsid w:val="00460C28"/>
    <w:rsid w:val="004610A1"/>
    <w:rsid w:val="004612CF"/>
    <w:rsid w:val="00461BD2"/>
    <w:rsid w:val="00462935"/>
    <w:rsid w:val="00462A09"/>
    <w:rsid w:val="004644E1"/>
    <w:rsid w:val="00464F4D"/>
    <w:rsid w:val="0046574E"/>
    <w:rsid w:val="004657E8"/>
    <w:rsid w:val="00467E99"/>
    <w:rsid w:val="00470790"/>
    <w:rsid w:val="00470FBB"/>
    <w:rsid w:val="00471E77"/>
    <w:rsid w:val="00473029"/>
    <w:rsid w:val="0047386D"/>
    <w:rsid w:val="00473EE4"/>
    <w:rsid w:val="00476AA9"/>
    <w:rsid w:val="00477B4C"/>
    <w:rsid w:val="00477B99"/>
    <w:rsid w:val="004818D8"/>
    <w:rsid w:val="004841CA"/>
    <w:rsid w:val="00484C4B"/>
    <w:rsid w:val="00485C84"/>
    <w:rsid w:val="00486215"/>
    <w:rsid w:val="0048630D"/>
    <w:rsid w:val="00490E63"/>
    <w:rsid w:val="004921CF"/>
    <w:rsid w:val="004930F0"/>
    <w:rsid w:val="004A0BA8"/>
    <w:rsid w:val="004A489D"/>
    <w:rsid w:val="004A4A2E"/>
    <w:rsid w:val="004A4CD0"/>
    <w:rsid w:val="004A73A8"/>
    <w:rsid w:val="004A75D5"/>
    <w:rsid w:val="004A771F"/>
    <w:rsid w:val="004A78AE"/>
    <w:rsid w:val="004B004E"/>
    <w:rsid w:val="004B0589"/>
    <w:rsid w:val="004B0B74"/>
    <w:rsid w:val="004B1783"/>
    <w:rsid w:val="004B4B79"/>
    <w:rsid w:val="004B5349"/>
    <w:rsid w:val="004B65AE"/>
    <w:rsid w:val="004B7661"/>
    <w:rsid w:val="004C0F17"/>
    <w:rsid w:val="004C159E"/>
    <w:rsid w:val="004C1836"/>
    <w:rsid w:val="004C22E6"/>
    <w:rsid w:val="004C2834"/>
    <w:rsid w:val="004C2FAC"/>
    <w:rsid w:val="004C3CC9"/>
    <w:rsid w:val="004C471F"/>
    <w:rsid w:val="004C58BD"/>
    <w:rsid w:val="004C5F41"/>
    <w:rsid w:val="004C6D04"/>
    <w:rsid w:val="004D090A"/>
    <w:rsid w:val="004D31C6"/>
    <w:rsid w:val="004D4293"/>
    <w:rsid w:val="004D5ABB"/>
    <w:rsid w:val="004D62A0"/>
    <w:rsid w:val="004D6DB8"/>
    <w:rsid w:val="004E3F83"/>
    <w:rsid w:val="004E4A53"/>
    <w:rsid w:val="004E4DFF"/>
    <w:rsid w:val="004E5278"/>
    <w:rsid w:val="004E5D40"/>
    <w:rsid w:val="004E74F4"/>
    <w:rsid w:val="004F0129"/>
    <w:rsid w:val="004F257F"/>
    <w:rsid w:val="004F35CD"/>
    <w:rsid w:val="00501639"/>
    <w:rsid w:val="00501EFF"/>
    <w:rsid w:val="0050277D"/>
    <w:rsid w:val="005035EB"/>
    <w:rsid w:val="0050689B"/>
    <w:rsid w:val="005068AA"/>
    <w:rsid w:val="00506EDB"/>
    <w:rsid w:val="00511093"/>
    <w:rsid w:val="00512A8E"/>
    <w:rsid w:val="00520422"/>
    <w:rsid w:val="0052085F"/>
    <w:rsid w:val="0052220C"/>
    <w:rsid w:val="0052404D"/>
    <w:rsid w:val="00525402"/>
    <w:rsid w:val="00527D68"/>
    <w:rsid w:val="00530284"/>
    <w:rsid w:val="005321B0"/>
    <w:rsid w:val="0053418A"/>
    <w:rsid w:val="005349D6"/>
    <w:rsid w:val="005352D1"/>
    <w:rsid w:val="00536BC1"/>
    <w:rsid w:val="00537F36"/>
    <w:rsid w:val="00541205"/>
    <w:rsid w:val="005433DE"/>
    <w:rsid w:val="0054420E"/>
    <w:rsid w:val="0054539A"/>
    <w:rsid w:val="005455D5"/>
    <w:rsid w:val="005471CB"/>
    <w:rsid w:val="005472E5"/>
    <w:rsid w:val="0055057E"/>
    <w:rsid w:val="00550B0C"/>
    <w:rsid w:val="0055113D"/>
    <w:rsid w:val="00551555"/>
    <w:rsid w:val="00552D12"/>
    <w:rsid w:val="005551F3"/>
    <w:rsid w:val="00556A65"/>
    <w:rsid w:val="00560F1B"/>
    <w:rsid w:val="00561C0E"/>
    <w:rsid w:val="005662EA"/>
    <w:rsid w:val="00567B5A"/>
    <w:rsid w:val="00567C18"/>
    <w:rsid w:val="0057009B"/>
    <w:rsid w:val="00570867"/>
    <w:rsid w:val="00571D5E"/>
    <w:rsid w:val="005735B3"/>
    <w:rsid w:val="005801F0"/>
    <w:rsid w:val="005826CC"/>
    <w:rsid w:val="0058296A"/>
    <w:rsid w:val="005839B9"/>
    <w:rsid w:val="00586DF8"/>
    <w:rsid w:val="00591AB8"/>
    <w:rsid w:val="00592BFE"/>
    <w:rsid w:val="00594F7D"/>
    <w:rsid w:val="00597954"/>
    <w:rsid w:val="005A4C5A"/>
    <w:rsid w:val="005B10C2"/>
    <w:rsid w:val="005B15A7"/>
    <w:rsid w:val="005B24E9"/>
    <w:rsid w:val="005B2832"/>
    <w:rsid w:val="005B3509"/>
    <w:rsid w:val="005B430B"/>
    <w:rsid w:val="005B43B7"/>
    <w:rsid w:val="005B5D4F"/>
    <w:rsid w:val="005B6716"/>
    <w:rsid w:val="005B6C80"/>
    <w:rsid w:val="005B71FC"/>
    <w:rsid w:val="005C08BF"/>
    <w:rsid w:val="005C4CEE"/>
    <w:rsid w:val="005C4F38"/>
    <w:rsid w:val="005C5196"/>
    <w:rsid w:val="005D1EBB"/>
    <w:rsid w:val="005D43FD"/>
    <w:rsid w:val="005D65E6"/>
    <w:rsid w:val="005D65E7"/>
    <w:rsid w:val="005E12EC"/>
    <w:rsid w:val="005E3783"/>
    <w:rsid w:val="005F19CB"/>
    <w:rsid w:val="005F5348"/>
    <w:rsid w:val="005F74E7"/>
    <w:rsid w:val="006011C8"/>
    <w:rsid w:val="006024FD"/>
    <w:rsid w:val="0060310C"/>
    <w:rsid w:val="00605777"/>
    <w:rsid w:val="00605FAC"/>
    <w:rsid w:val="006100BA"/>
    <w:rsid w:val="006150DB"/>
    <w:rsid w:val="006200AB"/>
    <w:rsid w:val="00620450"/>
    <w:rsid w:val="00620753"/>
    <w:rsid w:val="00620911"/>
    <w:rsid w:val="00620C61"/>
    <w:rsid w:val="006227DA"/>
    <w:rsid w:val="00627F57"/>
    <w:rsid w:val="00634952"/>
    <w:rsid w:val="00642CCA"/>
    <w:rsid w:val="00644209"/>
    <w:rsid w:val="00647525"/>
    <w:rsid w:val="006479FE"/>
    <w:rsid w:val="00654E17"/>
    <w:rsid w:val="00656634"/>
    <w:rsid w:val="00660D75"/>
    <w:rsid w:val="0066216C"/>
    <w:rsid w:val="00665E34"/>
    <w:rsid w:val="006675EA"/>
    <w:rsid w:val="006708A7"/>
    <w:rsid w:val="00671E1E"/>
    <w:rsid w:val="006722A0"/>
    <w:rsid w:val="006724B9"/>
    <w:rsid w:val="00672587"/>
    <w:rsid w:val="0067512C"/>
    <w:rsid w:val="006770CB"/>
    <w:rsid w:val="00677AB5"/>
    <w:rsid w:val="00677D6F"/>
    <w:rsid w:val="006812E2"/>
    <w:rsid w:val="00681539"/>
    <w:rsid w:val="0068164B"/>
    <w:rsid w:val="00681A96"/>
    <w:rsid w:val="00685DA5"/>
    <w:rsid w:val="0068673B"/>
    <w:rsid w:val="00694EC1"/>
    <w:rsid w:val="006956E5"/>
    <w:rsid w:val="0069644B"/>
    <w:rsid w:val="00696534"/>
    <w:rsid w:val="006976AD"/>
    <w:rsid w:val="00697E3B"/>
    <w:rsid w:val="006A108F"/>
    <w:rsid w:val="006A2254"/>
    <w:rsid w:val="006A6116"/>
    <w:rsid w:val="006A7E4F"/>
    <w:rsid w:val="006B04A7"/>
    <w:rsid w:val="006B369F"/>
    <w:rsid w:val="006B4056"/>
    <w:rsid w:val="006B4DC6"/>
    <w:rsid w:val="006B4E8D"/>
    <w:rsid w:val="006B5C13"/>
    <w:rsid w:val="006B5DE9"/>
    <w:rsid w:val="006B6806"/>
    <w:rsid w:val="006B72C2"/>
    <w:rsid w:val="006B7C3F"/>
    <w:rsid w:val="006C1123"/>
    <w:rsid w:val="006C13FF"/>
    <w:rsid w:val="006C2702"/>
    <w:rsid w:val="006C2DBE"/>
    <w:rsid w:val="006C5C46"/>
    <w:rsid w:val="006C5F03"/>
    <w:rsid w:val="006C643D"/>
    <w:rsid w:val="006C6BFE"/>
    <w:rsid w:val="006C6D39"/>
    <w:rsid w:val="006C7F18"/>
    <w:rsid w:val="006D02C0"/>
    <w:rsid w:val="006D184F"/>
    <w:rsid w:val="006D2D7B"/>
    <w:rsid w:val="006D31D6"/>
    <w:rsid w:val="006D3595"/>
    <w:rsid w:val="006D4F77"/>
    <w:rsid w:val="006D5F14"/>
    <w:rsid w:val="006D6793"/>
    <w:rsid w:val="006E041E"/>
    <w:rsid w:val="006E10DB"/>
    <w:rsid w:val="006E1AAC"/>
    <w:rsid w:val="006E5BEA"/>
    <w:rsid w:val="006E7083"/>
    <w:rsid w:val="006F0EB7"/>
    <w:rsid w:val="006F3A7B"/>
    <w:rsid w:val="006F6671"/>
    <w:rsid w:val="006F77BC"/>
    <w:rsid w:val="00700F72"/>
    <w:rsid w:val="007013DE"/>
    <w:rsid w:val="00701830"/>
    <w:rsid w:val="00702F63"/>
    <w:rsid w:val="00710812"/>
    <w:rsid w:val="00711E9D"/>
    <w:rsid w:val="007130CE"/>
    <w:rsid w:val="00713548"/>
    <w:rsid w:val="00713B1C"/>
    <w:rsid w:val="00714DB9"/>
    <w:rsid w:val="00714DC9"/>
    <w:rsid w:val="0071700B"/>
    <w:rsid w:val="00717BD5"/>
    <w:rsid w:val="00720FED"/>
    <w:rsid w:val="007249D7"/>
    <w:rsid w:val="007252DA"/>
    <w:rsid w:val="007308A2"/>
    <w:rsid w:val="00732798"/>
    <w:rsid w:val="00735415"/>
    <w:rsid w:val="00737264"/>
    <w:rsid w:val="00740094"/>
    <w:rsid w:val="007406C2"/>
    <w:rsid w:val="007407AE"/>
    <w:rsid w:val="00740CE1"/>
    <w:rsid w:val="0074126C"/>
    <w:rsid w:val="00741B47"/>
    <w:rsid w:val="00745DE7"/>
    <w:rsid w:val="00746C0D"/>
    <w:rsid w:val="00750326"/>
    <w:rsid w:val="00750DEF"/>
    <w:rsid w:val="0075278E"/>
    <w:rsid w:val="00752806"/>
    <w:rsid w:val="00754F5F"/>
    <w:rsid w:val="007554C9"/>
    <w:rsid w:val="00757401"/>
    <w:rsid w:val="00757673"/>
    <w:rsid w:val="007576FA"/>
    <w:rsid w:val="00757C71"/>
    <w:rsid w:val="00763D77"/>
    <w:rsid w:val="00763EDE"/>
    <w:rsid w:val="00764F01"/>
    <w:rsid w:val="00765C4D"/>
    <w:rsid w:val="007663E0"/>
    <w:rsid w:val="00773904"/>
    <w:rsid w:val="00773C4B"/>
    <w:rsid w:val="00773D16"/>
    <w:rsid w:val="007740A8"/>
    <w:rsid w:val="00775C8A"/>
    <w:rsid w:val="00775F73"/>
    <w:rsid w:val="007776E8"/>
    <w:rsid w:val="007815C4"/>
    <w:rsid w:val="00783515"/>
    <w:rsid w:val="00783FBE"/>
    <w:rsid w:val="0078628B"/>
    <w:rsid w:val="0078729B"/>
    <w:rsid w:val="0078784C"/>
    <w:rsid w:val="007958BF"/>
    <w:rsid w:val="007A6D99"/>
    <w:rsid w:val="007A7E01"/>
    <w:rsid w:val="007B05F5"/>
    <w:rsid w:val="007B0D00"/>
    <w:rsid w:val="007B18CC"/>
    <w:rsid w:val="007B4033"/>
    <w:rsid w:val="007B6926"/>
    <w:rsid w:val="007B6A97"/>
    <w:rsid w:val="007C2805"/>
    <w:rsid w:val="007C3C43"/>
    <w:rsid w:val="007C3D60"/>
    <w:rsid w:val="007C5712"/>
    <w:rsid w:val="007C672F"/>
    <w:rsid w:val="007C6EBE"/>
    <w:rsid w:val="007D0337"/>
    <w:rsid w:val="007D0701"/>
    <w:rsid w:val="007D2ED9"/>
    <w:rsid w:val="007D44C6"/>
    <w:rsid w:val="007D5FEF"/>
    <w:rsid w:val="007E2CB8"/>
    <w:rsid w:val="007E3A49"/>
    <w:rsid w:val="007E52D5"/>
    <w:rsid w:val="007E6031"/>
    <w:rsid w:val="007E6725"/>
    <w:rsid w:val="007E7187"/>
    <w:rsid w:val="007F00BA"/>
    <w:rsid w:val="007F07A8"/>
    <w:rsid w:val="007F202F"/>
    <w:rsid w:val="007F20D9"/>
    <w:rsid w:val="007F46F6"/>
    <w:rsid w:val="007F664A"/>
    <w:rsid w:val="007F66E6"/>
    <w:rsid w:val="007F68CC"/>
    <w:rsid w:val="00804822"/>
    <w:rsid w:val="00813005"/>
    <w:rsid w:val="00813072"/>
    <w:rsid w:val="00813FEF"/>
    <w:rsid w:val="00817ACD"/>
    <w:rsid w:val="00823310"/>
    <w:rsid w:val="008249B7"/>
    <w:rsid w:val="00826879"/>
    <w:rsid w:val="008272FD"/>
    <w:rsid w:val="00827A4E"/>
    <w:rsid w:val="00832891"/>
    <w:rsid w:val="008339A8"/>
    <w:rsid w:val="00836959"/>
    <w:rsid w:val="00843A60"/>
    <w:rsid w:val="00847D4E"/>
    <w:rsid w:val="00851D03"/>
    <w:rsid w:val="008536CE"/>
    <w:rsid w:val="00854C3B"/>
    <w:rsid w:val="00855988"/>
    <w:rsid w:val="00856D80"/>
    <w:rsid w:val="0085700F"/>
    <w:rsid w:val="00860C40"/>
    <w:rsid w:val="00862A5B"/>
    <w:rsid w:val="00862D4C"/>
    <w:rsid w:val="0086441B"/>
    <w:rsid w:val="00865C7C"/>
    <w:rsid w:val="0086718D"/>
    <w:rsid w:val="00870558"/>
    <w:rsid w:val="00870990"/>
    <w:rsid w:val="00873E64"/>
    <w:rsid w:val="00874EBC"/>
    <w:rsid w:val="00875FFC"/>
    <w:rsid w:val="008773A8"/>
    <w:rsid w:val="00880861"/>
    <w:rsid w:val="0088360B"/>
    <w:rsid w:val="00884733"/>
    <w:rsid w:val="00885271"/>
    <w:rsid w:val="00886901"/>
    <w:rsid w:val="008935DC"/>
    <w:rsid w:val="00896252"/>
    <w:rsid w:val="0089651C"/>
    <w:rsid w:val="00896608"/>
    <w:rsid w:val="00897F4C"/>
    <w:rsid w:val="008A3433"/>
    <w:rsid w:val="008A75A2"/>
    <w:rsid w:val="008B61A4"/>
    <w:rsid w:val="008C0905"/>
    <w:rsid w:val="008C26A3"/>
    <w:rsid w:val="008C4A56"/>
    <w:rsid w:val="008C642F"/>
    <w:rsid w:val="008D05CC"/>
    <w:rsid w:val="008D0D68"/>
    <w:rsid w:val="008D1225"/>
    <w:rsid w:val="008D306F"/>
    <w:rsid w:val="008D3292"/>
    <w:rsid w:val="008D3912"/>
    <w:rsid w:val="008D3B35"/>
    <w:rsid w:val="008D775F"/>
    <w:rsid w:val="008E1877"/>
    <w:rsid w:val="008E4C32"/>
    <w:rsid w:val="008F195C"/>
    <w:rsid w:val="008F3789"/>
    <w:rsid w:val="008F525A"/>
    <w:rsid w:val="008F5663"/>
    <w:rsid w:val="008F5A3D"/>
    <w:rsid w:val="008F6D3F"/>
    <w:rsid w:val="008F71A1"/>
    <w:rsid w:val="008F7FE1"/>
    <w:rsid w:val="00900B9E"/>
    <w:rsid w:val="00901A45"/>
    <w:rsid w:val="00901DD1"/>
    <w:rsid w:val="00902555"/>
    <w:rsid w:val="00902AF3"/>
    <w:rsid w:val="00911ECE"/>
    <w:rsid w:val="009122C8"/>
    <w:rsid w:val="00914C0E"/>
    <w:rsid w:val="00915FA4"/>
    <w:rsid w:val="009179FB"/>
    <w:rsid w:val="009203FD"/>
    <w:rsid w:val="0092483C"/>
    <w:rsid w:val="00925EE1"/>
    <w:rsid w:val="009264DF"/>
    <w:rsid w:val="009270CD"/>
    <w:rsid w:val="009273BC"/>
    <w:rsid w:val="009308C0"/>
    <w:rsid w:val="009317ED"/>
    <w:rsid w:val="009333B4"/>
    <w:rsid w:val="009334A5"/>
    <w:rsid w:val="0093355D"/>
    <w:rsid w:val="00935D92"/>
    <w:rsid w:val="009361EB"/>
    <w:rsid w:val="00936B61"/>
    <w:rsid w:val="009379EB"/>
    <w:rsid w:val="00941003"/>
    <w:rsid w:val="009425B3"/>
    <w:rsid w:val="00944859"/>
    <w:rsid w:val="00945BF2"/>
    <w:rsid w:val="0094711E"/>
    <w:rsid w:val="0094724E"/>
    <w:rsid w:val="00952951"/>
    <w:rsid w:val="00953A07"/>
    <w:rsid w:val="00954442"/>
    <w:rsid w:val="00955B6D"/>
    <w:rsid w:val="009570F0"/>
    <w:rsid w:val="00957398"/>
    <w:rsid w:val="0096219B"/>
    <w:rsid w:val="00963289"/>
    <w:rsid w:val="00963607"/>
    <w:rsid w:val="009639EE"/>
    <w:rsid w:val="00964BA2"/>
    <w:rsid w:val="009658DA"/>
    <w:rsid w:val="0096675F"/>
    <w:rsid w:val="00966884"/>
    <w:rsid w:val="00971D8C"/>
    <w:rsid w:val="00971FC5"/>
    <w:rsid w:val="009720EA"/>
    <w:rsid w:val="00972425"/>
    <w:rsid w:val="00972B46"/>
    <w:rsid w:val="009733F5"/>
    <w:rsid w:val="0098401D"/>
    <w:rsid w:val="009849E5"/>
    <w:rsid w:val="0098683C"/>
    <w:rsid w:val="0098753E"/>
    <w:rsid w:val="009923A9"/>
    <w:rsid w:val="00996071"/>
    <w:rsid w:val="009964CD"/>
    <w:rsid w:val="009968E1"/>
    <w:rsid w:val="00997637"/>
    <w:rsid w:val="009A27D2"/>
    <w:rsid w:val="009A2AF7"/>
    <w:rsid w:val="009A3E4B"/>
    <w:rsid w:val="009A53C8"/>
    <w:rsid w:val="009A6414"/>
    <w:rsid w:val="009B3D65"/>
    <w:rsid w:val="009B426B"/>
    <w:rsid w:val="009B53B6"/>
    <w:rsid w:val="009B5513"/>
    <w:rsid w:val="009B626F"/>
    <w:rsid w:val="009B7251"/>
    <w:rsid w:val="009C0ABF"/>
    <w:rsid w:val="009C22A8"/>
    <w:rsid w:val="009C3689"/>
    <w:rsid w:val="009C43E7"/>
    <w:rsid w:val="009C544C"/>
    <w:rsid w:val="009C547D"/>
    <w:rsid w:val="009D0A5C"/>
    <w:rsid w:val="009D14CA"/>
    <w:rsid w:val="009D5757"/>
    <w:rsid w:val="009D7CF4"/>
    <w:rsid w:val="009D7DB0"/>
    <w:rsid w:val="009E11F0"/>
    <w:rsid w:val="009E1D78"/>
    <w:rsid w:val="009E20AB"/>
    <w:rsid w:val="009E295D"/>
    <w:rsid w:val="009E5B17"/>
    <w:rsid w:val="009E78B5"/>
    <w:rsid w:val="009E7925"/>
    <w:rsid w:val="009E798E"/>
    <w:rsid w:val="009F1127"/>
    <w:rsid w:val="009F2CE1"/>
    <w:rsid w:val="009F36F4"/>
    <w:rsid w:val="009F6FBF"/>
    <w:rsid w:val="009F70DC"/>
    <w:rsid w:val="00A001C3"/>
    <w:rsid w:val="00A02C15"/>
    <w:rsid w:val="00A0349A"/>
    <w:rsid w:val="00A03ADC"/>
    <w:rsid w:val="00A04427"/>
    <w:rsid w:val="00A04B91"/>
    <w:rsid w:val="00A04D83"/>
    <w:rsid w:val="00A054B0"/>
    <w:rsid w:val="00A069E1"/>
    <w:rsid w:val="00A1019C"/>
    <w:rsid w:val="00A11648"/>
    <w:rsid w:val="00A2029A"/>
    <w:rsid w:val="00A20300"/>
    <w:rsid w:val="00A24878"/>
    <w:rsid w:val="00A25ED4"/>
    <w:rsid w:val="00A26E89"/>
    <w:rsid w:val="00A30DC0"/>
    <w:rsid w:val="00A32D0C"/>
    <w:rsid w:val="00A33868"/>
    <w:rsid w:val="00A33B6B"/>
    <w:rsid w:val="00A3587B"/>
    <w:rsid w:val="00A41956"/>
    <w:rsid w:val="00A42756"/>
    <w:rsid w:val="00A43EB3"/>
    <w:rsid w:val="00A44DD4"/>
    <w:rsid w:val="00A47DD9"/>
    <w:rsid w:val="00A50FB9"/>
    <w:rsid w:val="00A51F4E"/>
    <w:rsid w:val="00A52862"/>
    <w:rsid w:val="00A5397B"/>
    <w:rsid w:val="00A54DA6"/>
    <w:rsid w:val="00A54E25"/>
    <w:rsid w:val="00A55957"/>
    <w:rsid w:val="00A57D58"/>
    <w:rsid w:val="00A6116D"/>
    <w:rsid w:val="00A614DF"/>
    <w:rsid w:val="00A62183"/>
    <w:rsid w:val="00A62D18"/>
    <w:rsid w:val="00A65F2C"/>
    <w:rsid w:val="00A70473"/>
    <w:rsid w:val="00A71DC3"/>
    <w:rsid w:val="00A72188"/>
    <w:rsid w:val="00A734EF"/>
    <w:rsid w:val="00A737BC"/>
    <w:rsid w:val="00A737D3"/>
    <w:rsid w:val="00A73873"/>
    <w:rsid w:val="00A76D06"/>
    <w:rsid w:val="00A8041F"/>
    <w:rsid w:val="00A8062A"/>
    <w:rsid w:val="00A807A5"/>
    <w:rsid w:val="00A82B29"/>
    <w:rsid w:val="00A842F8"/>
    <w:rsid w:val="00A8458D"/>
    <w:rsid w:val="00A87B0A"/>
    <w:rsid w:val="00A9293E"/>
    <w:rsid w:val="00A93198"/>
    <w:rsid w:val="00A9668D"/>
    <w:rsid w:val="00A968D0"/>
    <w:rsid w:val="00A97137"/>
    <w:rsid w:val="00AA1BF0"/>
    <w:rsid w:val="00AA4441"/>
    <w:rsid w:val="00AA5045"/>
    <w:rsid w:val="00AA73FE"/>
    <w:rsid w:val="00AA7D8F"/>
    <w:rsid w:val="00AB0E49"/>
    <w:rsid w:val="00AB14AF"/>
    <w:rsid w:val="00AB31AE"/>
    <w:rsid w:val="00AC390C"/>
    <w:rsid w:val="00AC51F3"/>
    <w:rsid w:val="00AC532F"/>
    <w:rsid w:val="00AC710B"/>
    <w:rsid w:val="00AC768E"/>
    <w:rsid w:val="00AC7B67"/>
    <w:rsid w:val="00AD0B89"/>
    <w:rsid w:val="00AD47D4"/>
    <w:rsid w:val="00AD62D8"/>
    <w:rsid w:val="00AD6845"/>
    <w:rsid w:val="00AE1546"/>
    <w:rsid w:val="00AE33D9"/>
    <w:rsid w:val="00AE7A63"/>
    <w:rsid w:val="00AF267E"/>
    <w:rsid w:val="00AF55AE"/>
    <w:rsid w:val="00AF63C3"/>
    <w:rsid w:val="00AF7CE1"/>
    <w:rsid w:val="00B00E7C"/>
    <w:rsid w:val="00B011E3"/>
    <w:rsid w:val="00B0301F"/>
    <w:rsid w:val="00B0351C"/>
    <w:rsid w:val="00B03934"/>
    <w:rsid w:val="00B048B1"/>
    <w:rsid w:val="00B11686"/>
    <w:rsid w:val="00B12C6B"/>
    <w:rsid w:val="00B13276"/>
    <w:rsid w:val="00B139D9"/>
    <w:rsid w:val="00B15B96"/>
    <w:rsid w:val="00B2104F"/>
    <w:rsid w:val="00B22DD8"/>
    <w:rsid w:val="00B23B20"/>
    <w:rsid w:val="00B26826"/>
    <w:rsid w:val="00B31D15"/>
    <w:rsid w:val="00B31D8E"/>
    <w:rsid w:val="00B32E81"/>
    <w:rsid w:val="00B34146"/>
    <w:rsid w:val="00B351C5"/>
    <w:rsid w:val="00B361FD"/>
    <w:rsid w:val="00B437D7"/>
    <w:rsid w:val="00B43C10"/>
    <w:rsid w:val="00B43DA8"/>
    <w:rsid w:val="00B46744"/>
    <w:rsid w:val="00B477DB"/>
    <w:rsid w:val="00B50307"/>
    <w:rsid w:val="00B5050B"/>
    <w:rsid w:val="00B50EBF"/>
    <w:rsid w:val="00B52CB4"/>
    <w:rsid w:val="00B53ED3"/>
    <w:rsid w:val="00B54E3D"/>
    <w:rsid w:val="00B55214"/>
    <w:rsid w:val="00B55FAF"/>
    <w:rsid w:val="00B64AEB"/>
    <w:rsid w:val="00B64D08"/>
    <w:rsid w:val="00B70A39"/>
    <w:rsid w:val="00B70AB2"/>
    <w:rsid w:val="00B72EEE"/>
    <w:rsid w:val="00B7670C"/>
    <w:rsid w:val="00B76F72"/>
    <w:rsid w:val="00B809B1"/>
    <w:rsid w:val="00B817B9"/>
    <w:rsid w:val="00B823DD"/>
    <w:rsid w:val="00B824F1"/>
    <w:rsid w:val="00B84A41"/>
    <w:rsid w:val="00B87183"/>
    <w:rsid w:val="00B92AD4"/>
    <w:rsid w:val="00BA1684"/>
    <w:rsid w:val="00BB0376"/>
    <w:rsid w:val="00BB1819"/>
    <w:rsid w:val="00BB42DF"/>
    <w:rsid w:val="00BB4A07"/>
    <w:rsid w:val="00BB4EBA"/>
    <w:rsid w:val="00BB5DA9"/>
    <w:rsid w:val="00BC014F"/>
    <w:rsid w:val="00BC0164"/>
    <w:rsid w:val="00BC28D4"/>
    <w:rsid w:val="00BC5B54"/>
    <w:rsid w:val="00BC6FBA"/>
    <w:rsid w:val="00BC78A2"/>
    <w:rsid w:val="00BD142D"/>
    <w:rsid w:val="00BD505D"/>
    <w:rsid w:val="00BD61A7"/>
    <w:rsid w:val="00BE09CA"/>
    <w:rsid w:val="00BE114C"/>
    <w:rsid w:val="00BE48CA"/>
    <w:rsid w:val="00BE66A5"/>
    <w:rsid w:val="00BE7761"/>
    <w:rsid w:val="00BF03A9"/>
    <w:rsid w:val="00BF0F57"/>
    <w:rsid w:val="00BF14BC"/>
    <w:rsid w:val="00BF7292"/>
    <w:rsid w:val="00C008B3"/>
    <w:rsid w:val="00C00948"/>
    <w:rsid w:val="00C032CE"/>
    <w:rsid w:val="00C047F9"/>
    <w:rsid w:val="00C06CDB"/>
    <w:rsid w:val="00C06D0F"/>
    <w:rsid w:val="00C070FB"/>
    <w:rsid w:val="00C13799"/>
    <w:rsid w:val="00C16FAE"/>
    <w:rsid w:val="00C24038"/>
    <w:rsid w:val="00C2460C"/>
    <w:rsid w:val="00C25354"/>
    <w:rsid w:val="00C2552A"/>
    <w:rsid w:val="00C308BE"/>
    <w:rsid w:val="00C31F5F"/>
    <w:rsid w:val="00C32053"/>
    <w:rsid w:val="00C36154"/>
    <w:rsid w:val="00C40FD8"/>
    <w:rsid w:val="00C41733"/>
    <w:rsid w:val="00C43CE4"/>
    <w:rsid w:val="00C43D44"/>
    <w:rsid w:val="00C461DD"/>
    <w:rsid w:val="00C462C4"/>
    <w:rsid w:val="00C558EA"/>
    <w:rsid w:val="00C55A65"/>
    <w:rsid w:val="00C55AFD"/>
    <w:rsid w:val="00C60C71"/>
    <w:rsid w:val="00C632B3"/>
    <w:rsid w:val="00C63B7C"/>
    <w:rsid w:val="00C70D48"/>
    <w:rsid w:val="00C71038"/>
    <w:rsid w:val="00C7592C"/>
    <w:rsid w:val="00C77158"/>
    <w:rsid w:val="00C77DFE"/>
    <w:rsid w:val="00C80D4B"/>
    <w:rsid w:val="00C8278A"/>
    <w:rsid w:val="00C8558C"/>
    <w:rsid w:val="00C85ABE"/>
    <w:rsid w:val="00C872F4"/>
    <w:rsid w:val="00C87571"/>
    <w:rsid w:val="00C90A57"/>
    <w:rsid w:val="00C91F07"/>
    <w:rsid w:val="00C92120"/>
    <w:rsid w:val="00C942FC"/>
    <w:rsid w:val="00C966DA"/>
    <w:rsid w:val="00C976B2"/>
    <w:rsid w:val="00CA1213"/>
    <w:rsid w:val="00CA2E29"/>
    <w:rsid w:val="00CA3607"/>
    <w:rsid w:val="00CA72F1"/>
    <w:rsid w:val="00CB0CF2"/>
    <w:rsid w:val="00CB2DCB"/>
    <w:rsid w:val="00CB4591"/>
    <w:rsid w:val="00CB6F85"/>
    <w:rsid w:val="00CC0473"/>
    <w:rsid w:val="00CC0953"/>
    <w:rsid w:val="00CC1794"/>
    <w:rsid w:val="00CC1E8D"/>
    <w:rsid w:val="00CC3970"/>
    <w:rsid w:val="00CC3ED1"/>
    <w:rsid w:val="00CC4988"/>
    <w:rsid w:val="00CD583D"/>
    <w:rsid w:val="00CD66D5"/>
    <w:rsid w:val="00CE0A40"/>
    <w:rsid w:val="00CE1852"/>
    <w:rsid w:val="00CE2946"/>
    <w:rsid w:val="00CE4329"/>
    <w:rsid w:val="00CF0939"/>
    <w:rsid w:val="00CF1014"/>
    <w:rsid w:val="00CF7619"/>
    <w:rsid w:val="00D00EA0"/>
    <w:rsid w:val="00D01999"/>
    <w:rsid w:val="00D01A50"/>
    <w:rsid w:val="00D0290F"/>
    <w:rsid w:val="00D02AFB"/>
    <w:rsid w:val="00D05D33"/>
    <w:rsid w:val="00D13728"/>
    <w:rsid w:val="00D160F3"/>
    <w:rsid w:val="00D17B72"/>
    <w:rsid w:val="00D17E86"/>
    <w:rsid w:val="00D201E6"/>
    <w:rsid w:val="00D20FFB"/>
    <w:rsid w:val="00D23118"/>
    <w:rsid w:val="00D24588"/>
    <w:rsid w:val="00D2517E"/>
    <w:rsid w:val="00D25CD7"/>
    <w:rsid w:val="00D30568"/>
    <w:rsid w:val="00D317EE"/>
    <w:rsid w:val="00D3261D"/>
    <w:rsid w:val="00D33A08"/>
    <w:rsid w:val="00D35F06"/>
    <w:rsid w:val="00D36226"/>
    <w:rsid w:val="00D42CCE"/>
    <w:rsid w:val="00D455D4"/>
    <w:rsid w:val="00D45E62"/>
    <w:rsid w:val="00D46DC4"/>
    <w:rsid w:val="00D502A2"/>
    <w:rsid w:val="00D5062B"/>
    <w:rsid w:val="00D527DA"/>
    <w:rsid w:val="00D53541"/>
    <w:rsid w:val="00D55E39"/>
    <w:rsid w:val="00D60633"/>
    <w:rsid w:val="00D620FF"/>
    <w:rsid w:val="00D63E1C"/>
    <w:rsid w:val="00D651F1"/>
    <w:rsid w:val="00D65A90"/>
    <w:rsid w:val="00D65BF3"/>
    <w:rsid w:val="00D73D35"/>
    <w:rsid w:val="00D74C34"/>
    <w:rsid w:val="00D761E4"/>
    <w:rsid w:val="00D7679A"/>
    <w:rsid w:val="00D76A3B"/>
    <w:rsid w:val="00D80305"/>
    <w:rsid w:val="00D83505"/>
    <w:rsid w:val="00D84D69"/>
    <w:rsid w:val="00D86C09"/>
    <w:rsid w:val="00D872B1"/>
    <w:rsid w:val="00D91D07"/>
    <w:rsid w:val="00D966B1"/>
    <w:rsid w:val="00DA4FBE"/>
    <w:rsid w:val="00DA55F6"/>
    <w:rsid w:val="00DB672F"/>
    <w:rsid w:val="00DC04B3"/>
    <w:rsid w:val="00DC0A71"/>
    <w:rsid w:val="00DC1CC0"/>
    <w:rsid w:val="00DC273F"/>
    <w:rsid w:val="00DC38B8"/>
    <w:rsid w:val="00DC4475"/>
    <w:rsid w:val="00DC58C0"/>
    <w:rsid w:val="00DC7E88"/>
    <w:rsid w:val="00DD2311"/>
    <w:rsid w:val="00DD3A2B"/>
    <w:rsid w:val="00DD5E12"/>
    <w:rsid w:val="00DD61DE"/>
    <w:rsid w:val="00DD67CC"/>
    <w:rsid w:val="00DD7094"/>
    <w:rsid w:val="00DE11A5"/>
    <w:rsid w:val="00DE25A0"/>
    <w:rsid w:val="00DE4E91"/>
    <w:rsid w:val="00DF0B35"/>
    <w:rsid w:val="00DF39D2"/>
    <w:rsid w:val="00DF56A7"/>
    <w:rsid w:val="00DF6BBB"/>
    <w:rsid w:val="00DF6C82"/>
    <w:rsid w:val="00DF703A"/>
    <w:rsid w:val="00DF7125"/>
    <w:rsid w:val="00E017F3"/>
    <w:rsid w:val="00E01912"/>
    <w:rsid w:val="00E02FD6"/>
    <w:rsid w:val="00E039A6"/>
    <w:rsid w:val="00E04749"/>
    <w:rsid w:val="00E04961"/>
    <w:rsid w:val="00E07A22"/>
    <w:rsid w:val="00E10161"/>
    <w:rsid w:val="00E14572"/>
    <w:rsid w:val="00E16674"/>
    <w:rsid w:val="00E16E54"/>
    <w:rsid w:val="00E21911"/>
    <w:rsid w:val="00E2417A"/>
    <w:rsid w:val="00E25B4B"/>
    <w:rsid w:val="00E26437"/>
    <w:rsid w:val="00E3090A"/>
    <w:rsid w:val="00E35B52"/>
    <w:rsid w:val="00E37F4B"/>
    <w:rsid w:val="00E411A9"/>
    <w:rsid w:val="00E427C5"/>
    <w:rsid w:val="00E4350D"/>
    <w:rsid w:val="00E4387D"/>
    <w:rsid w:val="00E43A22"/>
    <w:rsid w:val="00E5325E"/>
    <w:rsid w:val="00E54CEB"/>
    <w:rsid w:val="00E557D7"/>
    <w:rsid w:val="00E55B50"/>
    <w:rsid w:val="00E55E85"/>
    <w:rsid w:val="00E55EED"/>
    <w:rsid w:val="00E560EA"/>
    <w:rsid w:val="00E62588"/>
    <w:rsid w:val="00E6313E"/>
    <w:rsid w:val="00E66CE8"/>
    <w:rsid w:val="00E72820"/>
    <w:rsid w:val="00E7396A"/>
    <w:rsid w:val="00E73FD6"/>
    <w:rsid w:val="00E742DE"/>
    <w:rsid w:val="00E74ADC"/>
    <w:rsid w:val="00E74EFA"/>
    <w:rsid w:val="00E75850"/>
    <w:rsid w:val="00E76CD4"/>
    <w:rsid w:val="00E846FB"/>
    <w:rsid w:val="00E85104"/>
    <w:rsid w:val="00E86CF4"/>
    <w:rsid w:val="00E90586"/>
    <w:rsid w:val="00E9183E"/>
    <w:rsid w:val="00E91C1D"/>
    <w:rsid w:val="00E936B6"/>
    <w:rsid w:val="00E94476"/>
    <w:rsid w:val="00E948E4"/>
    <w:rsid w:val="00E94E6C"/>
    <w:rsid w:val="00E95909"/>
    <w:rsid w:val="00E960BA"/>
    <w:rsid w:val="00E96C90"/>
    <w:rsid w:val="00E9768D"/>
    <w:rsid w:val="00EA067A"/>
    <w:rsid w:val="00EA1A26"/>
    <w:rsid w:val="00EA1F63"/>
    <w:rsid w:val="00EA2F92"/>
    <w:rsid w:val="00EA5A23"/>
    <w:rsid w:val="00EA7141"/>
    <w:rsid w:val="00EA716F"/>
    <w:rsid w:val="00EB27E9"/>
    <w:rsid w:val="00EB498D"/>
    <w:rsid w:val="00EB5774"/>
    <w:rsid w:val="00EB6169"/>
    <w:rsid w:val="00EB64CF"/>
    <w:rsid w:val="00EB74A3"/>
    <w:rsid w:val="00EC1F3E"/>
    <w:rsid w:val="00EC65CA"/>
    <w:rsid w:val="00ED2C01"/>
    <w:rsid w:val="00ED51B6"/>
    <w:rsid w:val="00ED7B9C"/>
    <w:rsid w:val="00EE2467"/>
    <w:rsid w:val="00EE3131"/>
    <w:rsid w:val="00EE6D9A"/>
    <w:rsid w:val="00EE7426"/>
    <w:rsid w:val="00EF0027"/>
    <w:rsid w:val="00EF0F49"/>
    <w:rsid w:val="00EF177F"/>
    <w:rsid w:val="00EF26EB"/>
    <w:rsid w:val="00EF291C"/>
    <w:rsid w:val="00EF584E"/>
    <w:rsid w:val="00F007F5"/>
    <w:rsid w:val="00F01D4C"/>
    <w:rsid w:val="00F020BB"/>
    <w:rsid w:val="00F02583"/>
    <w:rsid w:val="00F033E7"/>
    <w:rsid w:val="00F04C12"/>
    <w:rsid w:val="00F052B6"/>
    <w:rsid w:val="00F060CF"/>
    <w:rsid w:val="00F1127F"/>
    <w:rsid w:val="00F115D4"/>
    <w:rsid w:val="00F14219"/>
    <w:rsid w:val="00F14A3D"/>
    <w:rsid w:val="00F1565A"/>
    <w:rsid w:val="00F156C3"/>
    <w:rsid w:val="00F232FF"/>
    <w:rsid w:val="00F25E14"/>
    <w:rsid w:val="00F26BFC"/>
    <w:rsid w:val="00F271F7"/>
    <w:rsid w:val="00F36B32"/>
    <w:rsid w:val="00F41378"/>
    <w:rsid w:val="00F415B6"/>
    <w:rsid w:val="00F43D61"/>
    <w:rsid w:val="00F444F7"/>
    <w:rsid w:val="00F45722"/>
    <w:rsid w:val="00F462EB"/>
    <w:rsid w:val="00F50082"/>
    <w:rsid w:val="00F519C6"/>
    <w:rsid w:val="00F51B2D"/>
    <w:rsid w:val="00F54B9B"/>
    <w:rsid w:val="00F55497"/>
    <w:rsid w:val="00F56075"/>
    <w:rsid w:val="00F57A5E"/>
    <w:rsid w:val="00F62599"/>
    <w:rsid w:val="00F62C3C"/>
    <w:rsid w:val="00F63B47"/>
    <w:rsid w:val="00F64602"/>
    <w:rsid w:val="00F653F7"/>
    <w:rsid w:val="00F65701"/>
    <w:rsid w:val="00F7230C"/>
    <w:rsid w:val="00F74C22"/>
    <w:rsid w:val="00F80338"/>
    <w:rsid w:val="00F80B2F"/>
    <w:rsid w:val="00F81D1A"/>
    <w:rsid w:val="00F84389"/>
    <w:rsid w:val="00F84B6E"/>
    <w:rsid w:val="00F851EC"/>
    <w:rsid w:val="00F854CA"/>
    <w:rsid w:val="00F855A7"/>
    <w:rsid w:val="00F86B1F"/>
    <w:rsid w:val="00F87AF0"/>
    <w:rsid w:val="00F94259"/>
    <w:rsid w:val="00F962C9"/>
    <w:rsid w:val="00F96F1F"/>
    <w:rsid w:val="00FA0025"/>
    <w:rsid w:val="00FA0E7F"/>
    <w:rsid w:val="00FA24B0"/>
    <w:rsid w:val="00FA4314"/>
    <w:rsid w:val="00FA45BB"/>
    <w:rsid w:val="00FA5099"/>
    <w:rsid w:val="00FA72FD"/>
    <w:rsid w:val="00FB04B7"/>
    <w:rsid w:val="00FB1109"/>
    <w:rsid w:val="00FB698B"/>
    <w:rsid w:val="00FB7324"/>
    <w:rsid w:val="00FC2F44"/>
    <w:rsid w:val="00FC5BEF"/>
    <w:rsid w:val="00FC62BC"/>
    <w:rsid w:val="00FC63D2"/>
    <w:rsid w:val="00FD1481"/>
    <w:rsid w:val="00FD30D6"/>
    <w:rsid w:val="00FD6378"/>
    <w:rsid w:val="00FE2612"/>
    <w:rsid w:val="00FE2DE8"/>
    <w:rsid w:val="00FE7F47"/>
    <w:rsid w:val="00FF018B"/>
    <w:rsid w:val="00FF0708"/>
    <w:rsid w:val="00FF0CF2"/>
    <w:rsid w:val="00FF170B"/>
    <w:rsid w:val="00FF3038"/>
    <w:rsid w:val="00FF432E"/>
    <w:rsid w:val="00FF47AC"/>
    <w:rsid w:val="00FF4D7A"/>
    <w:rsid w:val="00FF4ED2"/>
    <w:rsid w:val="00FF7048"/>
    <w:rsid w:val="00FF76A2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>
      <o:colormru v:ext="edit" colors="#eaeaea"/>
    </o:shapedefaults>
    <o:shapelayout v:ext="edit">
      <o:idmap v:ext="edit" data="1"/>
    </o:shapelayout>
  </w:shapeDefaults>
  <w:decimalSymbol w:val="."/>
  <w:listSeparator w:val=","/>
  <w15:docId w15:val="{35D3B202-1BA1-4141-918C-BB374E0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D69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next w:val="Normal"/>
    <w:qFormat/>
    <w:rsid w:val="00411AA6"/>
    <w:pPr>
      <w:spacing w:before="120" w:line="480" w:lineRule="exact"/>
    </w:pPr>
    <w:rPr>
      <w:rFonts w:ascii="Arial" w:hAnsi="Arial"/>
      <w:b/>
      <w:sz w:val="32"/>
      <w:szCs w:val="28"/>
    </w:rPr>
  </w:style>
  <w:style w:type="paragraph" w:customStyle="1" w:styleId="Authors">
    <w:name w:val="Authors"/>
    <w:basedOn w:val="Normal"/>
    <w:qFormat/>
    <w:rsid w:val="00656634"/>
    <w:pPr>
      <w:spacing w:before="120" w:after="120" w:line="320" w:lineRule="exact"/>
    </w:pPr>
    <w:rPr>
      <w:rFonts w:ascii="Arial" w:hAnsi="Arial"/>
      <w:sz w:val="22"/>
      <w:lang w:val="en-GB"/>
    </w:rPr>
  </w:style>
  <w:style w:type="paragraph" w:customStyle="1" w:styleId="Dedication">
    <w:name w:val="Dedication"/>
    <w:basedOn w:val="Normal"/>
    <w:qFormat/>
    <w:rsid w:val="002D5B99"/>
    <w:pPr>
      <w:spacing w:before="230" w:after="360" w:line="230" w:lineRule="exact"/>
    </w:pPr>
    <w:rPr>
      <w:rFonts w:ascii="Arial" w:hAnsi="Arial"/>
      <w:sz w:val="17"/>
    </w:rPr>
  </w:style>
  <w:style w:type="paragraph" w:customStyle="1" w:styleId="P1withoutIndendation">
    <w:name w:val="P1_without_Indendation"/>
    <w:basedOn w:val="Normal"/>
    <w:qFormat/>
    <w:rsid w:val="008D3292"/>
    <w:pPr>
      <w:spacing w:line="225" w:lineRule="exact"/>
      <w:jc w:val="both"/>
    </w:pPr>
    <w:rPr>
      <w:rFonts w:ascii="Arial" w:hAnsi="Arial"/>
      <w:sz w:val="17"/>
    </w:rPr>
  </w:style>
  <w:style w:type="paragraph" w:customStyle="1" w:styleId="History">
    <w:name w:val="History"/>
    <w:basedOn w:val="Normal"/>
    <w:rsid w:val="00713548"/>
    <w:pPr>
      <w:spacing w:before="230" w:after="460" w:line="180" w:lineRule="exact"/>
    </w:pPr>
    <w:rPr>
      <w:rFonts w:ascii="Arial" w:hAnsi="Arial"/>
      <w:sz w:val="14"/>
      <w:szCs w:val="16"/>
    </w:rPr>
  </w:style>
  <w:style w:type="paragraph" w:customStyle="1" w:styleId="Adress">
    <w:name w:val="Adress"/>
    <w:basedOn w:val="Normal"/>
    <w:qFormat/>
    <w:rsid w:val="000D37AC"/>
    <w:pPr>
      <w:spacing w:line="180" w:lineRule="exact"/>
      <w:ind w:left="425" w:hanging="425"/>
    </w:pPr>
    <w:rPr>
      <w:rFonts w:ascii="Arial" w:hAnsi="Arial"/>
      <w:sz w:val="14"/>
      <w:szCs w:val="20"/>
    </w:rPr>
  </w:style>
  <w:style w:type="paragraph" w:customStyle="1" w:styleId="Footnote">
    <w:name w:val="Footnote"/>
    <w:basedOn w:val="Adress"/>
    <w:rsid w:val="00E9183E"/>
    <w:pPr>
      <w:spacing w:before="120"/>
    </w:pPr>
    <w:rPr>
      <w:szCs w:val="14"/>
      <w:lang w:val="en-GB"/>
    </w:rPr>
  </w:style>
  <w:style w:type="paragraph" w:customStyle="1" w:styleId="References">
    <w:name w:val="References"/>
    <w:basedOn w:val="Normal"/>
    <w:qFormat/>
    <w:rsid w:val="00EB27E9"/>
    <w:pPr>
      <w:spacing w:line="200" w:lineRule="exact"/>
      <w:ind w:left="425" w:hanging="425"/>
      <w:jc w:val="both"/>
    </w:pPr>
    <w:rPr>
      <w:rFonts w:ascii="Arial" w:hAnsi="Arial"/>
      <w:sz w:val="14"/>
      <w:szCs w:val="14"/>
      <w:lang w:val="en-GB"/>
    </w:rPr>
  </w:style>
  <w:style w:type="paragraph" w:customStyle="1" w:styleId="ColumnTitle">
    <w:name w:val="ColumnTitle"/>
    <w:basedOn w:val="Normal"/>
    <w:rsid w:val="005B15A7"/>
    <w:pPr>
      <w:pBdr>
        <w:bottom w:val="single" w:sz="36" w:space="1" w:color="DDDDDD"/>
      </w:pBdr>
      <w:spacing w:after="320"/>
      <w:jc w:val="right"/>
    </w:pPr>
    <w:rPr>
      <w:rFonts w:ascii="Arial" w:hAnsi="Arial" w:cs="Arial"/>
      <w:b/>
      <w:color w:val="C0C0C0"/>
      <w:sz w:val="36"/>
      <w:szCs w:val="36"/>
      <w:lang w:val="en-GB"/>
    </w:rPr>
  </w:style>
  <w:style w:type="paragraph" w:customStyle="1" w:styleId="ExperimentalSection">
    <w:name w:val="ExperimentalSection"/>
    <w:basedOn w:val="Normal"/>
    <w:qFormat/>
    <w:rsid w:val="008C642F"/>
    <w:pPr>
      <w:spacing w:after="240" w:line="200" w:lineRule="exact"/>
      <w:jc w:val="both"/>
    </w:pPr>
    <w:rPr>
      <w:rFonts w:ascii="Arial" w:hAnsi="Arial"/>
      <w:sz w:val="15"/>
      <w:szCs w:val="14"/>
      <w:lang w:val="en-GB"/>
    </w:rPr>
  </w:style>
  <w:style w:type="paragraph" w:customStyle="1" w:styleId="HExperimentalSection">
    <w:name w:val="HExperimental_Section"/>
    <w:basedOn w:val="Normal"/>
    <w:autoRedefine/>
    <w:qFormat/>
    <w:rsid w:val="00DD5E12"/>
    <w:pPr>
      <w:spacing w:before="460" w:after="230" w:line="230" w:lineRule="atLeast"/>
    </w:pPr>
    <w:rPr>
      <w:rFonts w:ascii="Arial" w:hAnsi="Arial"/>
      <w:b/>
      <w:i/>
      <w:sz w:val="22"/>
      <w:szCs w:val="20"/>
      <w:lang w:val="en-US"/>
    </w:rPr>
  </w:style>
  <w:style w:type="paragraph" w:customStyle="1" w:styleId="SchemeCaption">
    <w:name w:val="SchemeCaption"/>
    <w:basedOn w:val="Normal"/>
    <w:rsid w:val="00BD505D"/>
    <w:pPr>
      <w:spacing w:before="230" w:after="460" w:line="180" w:lineRule="exact"/>
      <w:jc w:val="both"/>
    </w:pPr>
    <w:rPr>
      <w:rFonts w:ascii="Arial" w:hAnsi="Arial"/>
      <w:sz w:val="14"/>
      <w:szCs w:val="14"/>
      <w:lang w:val="en-GB"/>
    </w:rPr>
  </w:style>
  <w:style w:type="paragraph" w:customStyle="1" w:styleId="FigureCaption">
    <w:name w:val="FigureCaption"/>
    <w:basedOn w:val="Normal"/>
    <w:rsid w:val="00BD505D"/>
    <w:pPr>
      <w:spacing w:before="230" w:after="460" w:line="180" w:lineRule="exact"/>
      <w:jc w:val="both"/>
    </w:pPr>
    <w:rPr>
      <w:rFonts w:ascii="Arial" w:hAnsi="Arial"/>
      <w:sz w:val="14"/>
      <w:szCs w:val="14"/>
      <w:lang w:val="en-GB"/>
    </w:rPr>
  </w:style>
  <w:style w:type="paragraph" w:customStyle="1" w:styleId="TableCaption">
    <w:name w:val="TableCaption"/>
    <w:basedOn w:val="Normal"/>
    <w:qFormat/>
    <w:rsid w:val="000D37AC"/>
    <w:pPr>
      <w:spacing w:after="120" w:line="180" w:lineRule="exact"/>
      <w:jc w:val="both"/>
    </w:pPr>
    <w:rPr>
      <w:rFonts w:ascii="Arial" w:hAnsi="Arial"/>
      <w:sz w:val="14"/>
      <w:szCs w:val="14"/>
      <w:lang w:val="en-GB"/>
    </w:rPr>
  </w:style>
  <w:style w:type="paragraph" w:customStyle="1" w:styleId="TableHead">
    <w:name w:val="TableHead"/>
    <w:basedOn w:val="TableCaption"/>
    <w:qFormat/>
    <w:rsid w:val="00D02AFB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pacing w:after="0"/>
    </w:pPr>
  </w:style>
  <w:style w:type="paragraph" w:customStyle="1" w:styleId="TableBody">
    <w:name w:val="TableBody"/>
    <w:basedOn w:val="TableHead"/>
    <w:rsid w:val="00880861"/>
  </w:style>
  <w:style w:type="paragraph" w:customStyle="1" w:styleId="TableFoot">
    <w:name w:val="TableFoot"/>
    <w:basedOn w:val="TableBody"/>
    <w:rsid w:val="007E3A49"/>
    <w:pPr>
      <w:spacing w:before="60" w:after="60"/>
    </w:pPr>
  </w:style>
  <w:style w:type="paragraph" w:customStyle="1" w:styleId="Keywords">
    <w:name w:val="Keywords"/>
    <w:basedOn w:val="Normal"/>
    <w:qFormat/>
    <w:rsid w:val="008C642F"/>
    <w:pPr>
      <w:spacing w:before="240" w:after="240" w:line="250" w:lineRule="exact"/>
    </w:pPr>
    <w:rPr>
      <w:rFonts w:ascii="Arial" w:hAnsi="Arial"/>
      <w:sz w:val="17"/>
      <w:szCs w:val="20"/>
      <w:lang w:val="en-GB"/>
    </w:rPr>
  </w:style>
  <w:style w:type="paragraph" w:customStyle="1" w:styleId="ManuscriptID">
    <w:name w:val="ManuscriptID"/>
    <w:basedOn w:val="Normal"/>
    <w:qFormat/>
    <w:rsid w:val="00EB27E9"/>
    <w:pPr>
      <w:spacing w:before="220" w:line="230" w:lineRule="exact"/>
    </w:pPr>
    <w:rPr>
      <w:rFonts w:ascii="Arial" w:hAnsi="Arial"/>
      <w:b/>
      <w:sz w:val="17"/>
      <w:szCs w:val="15"/>
      <w:lang w:val="en-GB"/>
    </w:rPr>
  </w:style>
  <w:style w:type="paragraph" w:customStyle="1" w:styleId="AuthorsTOC">
    <w:name w:val="Authors_TOC"/>
    <w:basedOn w:val="Authors"/>
    <w:rsid w:val="00CC3970"/>
    <w:pPr>
      <w:spacing w:after="0" w:line="225" w:lineRule="atLeast"/>
    </w:pPr>
    <w:rPr>
      <w:i/>
      <w:sz w:val="17"/>
      <w:szCs w:val="20"/>
    </w:rPr>
  </w:style>
  <w:style w:type="paragraph" w:customStyle="1" w:styleId="TitleTOC">
    <w:name w:val="Title_TOC"/>
    <w:basedOn w:val="AuthorsTOC"/>
    <w:rsid w:val="00C942FC"/>
    <w:rPr>
      <w:b/>
      <w:i w:val="0"/>
    </w:rPr>
  </w:style>
  <w:style w:type="paragraph" w:customStyle="1" w:styleId="TableOfContentText">
    <w:name w:val="TableOfContentText"/>
    <w:basedOn w:val="AuthorsTOC"/>
    <w:rsid w:val="003040CB"/>
    <w:rPr>
      <w:i w:val="0"/>
      <w:color w:val="000000"/>
    </w:rPr>
  </w:style>
  <w:style w:type="paragraph" w:customStyle="1" w:styleId="P1withIndendation">
    <w:name w:val="P1_with_Indendation"/>
    <w:basedOn w:val="TableCaption"/>
    <w:qFormat/>
    <w:rsid w:val="00EB27E9"/>
    <w:pPr>
      <w:spacing w:line="225" w:lineRule="exact"/>
      <w:ind w:firstLine="284"/>
    </w:pPr>
    <w:rPr>
      <w:sz w:val="17"/>
    </w:rPr>
  </w:style>
  <w:style w:type="paragraph" w:customStyle="1" w:styleId="HAcknowledgements">
    <w:name w:val="HAcknowledgements"/>
    <w:basedOn w:val="Normal"/>
    <w:qFormat/>
    <w:rsid w:val="008C642F"/>
    <w:pPr>
      <w:spacing w:before="480" w:after="230" w:line="230" w:lineRule="atLeast"/>
    </w:pPr>
    <w:rPr>
      <w:rFonts w:ascii="Arial" w:hAnsi="Arial"/>
      <w:b/>
      <w:sz w:val="22"/>
      <w:lang w:val="en-GB"/>
    </w:rPr>
  </w:style>
  <w:style w:type="paragraph" w:customStyle="1" w:styleId="Acknowledgements">
    <w:name w:val="Acknowledgements"/>
    <w:basedOn w:val="P1withoutIndendation"/>
    <w:qFormat/>
    <w:rsid w:val="008C642F"/>
    <w:pPr>
      <w:spacing w:after="240" w:line="230" w:lineRule="atLeast"/>
    </w:pPr>
  </w:style>
  <w:style w:type="paragraph" w:customStyle="1" w:styleId="ColumnTitleTOC">
    <w:name w:val="ColumnTitle_TOC"/>
    <w:basedOn w:val="ColumnTitle"/>
    <w:rsid w:val="00F115D4"/>
    <w:pPr>
      <w:pBdr>
        <w:bottom w:val="single" w:sz="36" w:space="3" w:color="008080"/>
      </w:pBdr>
      <w:spacing w:after="0"/>
      <w:jc w:val="left"/>
    </w:pPr>
    <w:rPr>
      <w:b w:val="0"/>
      <w:color w:val="000000"/>
      <w:sz w:val="28"/>
      <w:szCs w:val="28"/>
    </w:rPr>
  </w:style>
  <w:style w:type="paragraph" w:customStyle="1" w:styleId="SubjectHeadingTOC">
    <w:name w:val="SubjectHeading_TOC"/>
    <w:basedOn w:val="Normal"/>
    <w:rsid w:val="000650AB"/>
    <w:pPr>
      <w:spacing w:before="60" w:after="60" w:line="230" w:lineRule="exact"/>
    </w:pPr>
    <w:rPr>
      <w:rFonts w:ascii="Arial" w:hAnsi="Arial"/>
      <w:b/>
      <w:i/>
      <w:color w:val="FFFFFF"/>
      <w:sz w:val="21"/>
      <w:szCs w:val="18"/>
      <w:lang w:val="en-GB"/>
    </w:rPr>
  </w:style>
  <w:style w:type="paragraph" w:customStyle="1" w:styleId="GAAuthors">
    <w:name w:val="GAAuthors"/>
    <w:basedOn w:val="Normal"/>
    <w:rsid w:val="000650AB"/>
    <w:pPr>
      <w:spacing w:before="360" w:after="60" w:line="220" w:lineRule="exact"/>
    </w:pPr>
    <w:rPr>
      <w:b/>
      <w:sz w:val="18"/>
      <w:szCs w:val="20"/>
      <w:lang w:val="en-GB"/>
    </w:rPr>
  </w:style>
  <w:style w:type="paragraph" w:customStyle="1" w:styleId="GACatchPhrase">
    <w:name w:val="GACatchPhrase"/>
    <w:basedOn w:val="Normal"/>
    <w:rsid w:val="000650AB"/>
    <w:pPr>
      <w:spacing w:before="40"/>
      <w:jc w:val="right"/>
    </w:pPr>
    <w:rPr>
      <w:rFonts w:cs="Arial"/>
      <w:b/>
      <w:color w:val="008080"/>
      <w:sz w:val="18"/>
      <w:szCs w:val="16"/>
      <w:lang w:val="en-GB"/>
    </w:rPr>
  </w:style>
  <w:style w:type="paragraph" w:customStyle="1" w:styleId="GAText">
    <w:name w:val="GAText"/>
    <w:basedOn w:val="Normal"/>
    <w:rsid w:val="000650AB"/>
    <w:pPr>
      <w:spacing w:before="120" w:line="220" w:lineRule="exact"/>
    </w:pPr>
    <w:rPr>
      <w:color w:val="000000"/>
      <w:sz w:val="18"/>
    </w:rPr>
  </w:style>
  <w:style w:type="paragraph" w:customStyle="1" w:styleId="GATitel">
    <w:name w:val="GATitel"/>
    <w:basedOn w:val="GAAuthors"/>
    <w:rsid w:val="000650AB"/>
    <w:pPr>
      <w:spacing w:before="240"/>
    </w:pPr>
    <w:rPr>
      <w:b w:val="0"/>
    </w:rPr>
  </w:style>
  <w:style w:type="paragraph" w:customStyle="1" w:styleId="GAKeywords">
    <w:name w:val="GAKeywords"/>
    <w:basedOn w:val="Keywords"/>
    <w:rsid w:val="000650AB"/>
    <w:pPr>
      <w:framePr w:hSpace="141" w:wrap="around" w:hAnchor="text" w:y="673"/>
      <w:spacing w:before="200" w:after="0" w:line="220" w:lineRule="exact"/>
    </w:pPr>
    <w:rPr>
      <w:rFonts w:ascii="Times New Roman" w:hAnsi="Times New Roman"/>
      <w:b/>
      <w:szCs w:val="24"/>
    </w:rPr>
  </w:style>
  <w:style w:type="paragraph" w:customStyle="1" w:styleId="MSType">
    <w:name w:val="MSType"/>
    <w:basedOn w:val="ColumnTitleTOC"/>
    <w:rsid w:val="000650AB"/>
    <w:pPr>
      <w:framePr w:hSpace="141" w:wrap="around" w:vAnchor="page" w:hAnchor="margin" w:y="1504"/>
      <w:pBdr>
        <w:bottom w:val="none" w:sz="0" w:space="0" w:color="auto"/>
      </w:pBdr>
      <w:spacing w:before="60" w:after="60"/>
    </w:pPr>
    <w:rPr>
      <w:rFonts w:ascii="Arial Black" w:hAnsi="Arial Black"/>
      <w:b/>
      <w:color w:val="FFFFFF"/>
      <w:spacing w:val="20"/>
      <w:sz w:val="20"/>
      <w:szCs w:val="20"/>
    </w:rPr>
  </w:style>
  <w:style w:type="paragraph" w:customStyle="1" w:styleId="PageNumbers">
    <w:name w:val="PageNumbers"/>
    <w:basedOn w:val="Normal"/>
    <w:rsid w:val="004B0B74"/>
    <w:pPr>
      <w:spacing w:before="230"/>
    </w:pPr>
    <w:rPr>
      <w:rFonts w:ascii="Arial" w:hAnsi="Arial"/>
      <w:b/>
      <w:i/>
      <w:sz w:val="17"/>
    </w:rPr>
  </w:style>
  <w:style w:type="paragraph" w:styleId="Header">
    <w:name w:val="header"/>
    <w:basedOn w:val="Normal"/>
    <w:link w:val="HeaderChar"/>
    <w:uiPriority w:val="99"/>
    <w:unhideWhenUsed/>
    <w:rsid w:val="001E2F1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1E2F1C"/>
    <w:rPr>
      <w:sz w:val="24"/>
      <w:szCs w:val="24"/>
      <w:lang w:val="de-DE" w:eastAsia="ja-JP" w:bidi="ar-SA"/>
    </w:rPr>
  </w:style>
  <w:style w:type="paragraph" w:styleId="Footer">
    <w:name w:val="footer"/>
    <w:basedOn w:val="Normal"/>
    <w:link w:val="FooterChar"/>
    <w:uiPriority w:val="99"/>
    <w:unhideWhenUsed/>
    <w:rsid w:val="001E2F1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1E2F1C"/>
    <w:rPr>
      <w:sz w:val="24"/>
      <w:szCs w:val="24"/>
      <w:lang w:val="de-DE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7426"/>
    <w:rPr>
      <w:rFonts w:ascii="Tahoma" w:hAnsi="Tahoma" w:cs="Tahoma"/>
      <w:sz w:val="16"/>
      <w:szCs w:val="16"/>
      <w:lang w:val="de-DE" w:eastAsia="ja-JP" w:bidi="ar-SA"/>
    </w:rPr>
  </w:style>
  <w:style w:type="paragraph" w:customStyle="1" w:styleId="FormatvorlageHistoryObenEinfacheeinfarbigeLinie05PtZeilenbr">
    <w:name w:val="Formatvorlage History + Oben: (Einfache einfarbige Linie  05 Pt. Zeilenbr..."/>
    <w:basedOn w:val="History"/>
    <w:qFormat/>
    <w:rsid w:val="00955B6D"/>
    <w:pPr>
      <w:pBdr>
        <w:top w:val="single" w:sz="4" w:space="14" w:color="000000"/>
      </w:pBdr>
    </w:pPr>
    <w:rPr>
      <w:szCs w:val="20"/>
    </w:rPr>
  </w:style>
  <w:style w:type="paragraph" w:customStyle="1" w:styleId="FormatvorlageP1withoutIndendationVor36Pt">
    <w:name w:val="Formatvorlage P1_without_Indendation + Vor:  36 Pt."/>
    <w:basedOn w:val="P1withoutIndendation"/>
    <w:qFormat/>
    <w:rsid w:val="00EB27E9"/>
    <w:pPr>
      <w:spacing w:before="720"/>
    </w:pPr>
    <w:rPr>
      <w:szCs w:val="20"/>
    </w:rPr>
  </w:style>
  <w:style w:type="paragraph" w:customStyle="1" w:styleId="TableSpacer">
    <w:name w:val="TableSpacer"/>
    <w:basedOn w:val="Normal"/>
    <w:qFormat/>
    <w:rsid w:val="00C8278A"/>
    <w:pPr>
      <w:spacing w:before="360"/>
    </w:pPr>
    <w:rPr>
      <w:rFonts w:ascii="Arial" w:hAnsi="Arial"/>
      <w:noProof/>
      <w:sz w:val="14"/>
    </w:rPr>
  </w:style>
  <w:style w:type="paragraph" w:customStyle="1" w:styleId="Abstract">
    <w:name w:val="Abstract"/>
    <w:basedOn w:val="Normal"/>
    <w:qFormat/>
    <w:rsid w:val="002D5B99"/>
    <w:pPr>
      <w:spacing w:after="360" w:line="225" w:lineRule="exact"/>
      <w:jc w:val="both"/>
    </w:pPr>
    <w:rPr>
      <w:rFonts w:ascii="Arial" w:hAnsi="Arial"/>
      <w:sz w:val="16"/>
      <w:szCs w:val="20"/>
      <w:lang w:val="en-GB"/>
    </w:rPr>
  </w:style>
  <w:style w:type="paragraph" w:customStyle="1" w:styleId="P1">
    <w:name w:val="P1"/>
    <w:basedOn w:val="P1withoutIndendation"/>
    <w:qFormat/>
    <w:rsid w:val="009A3E4B"/>
    <w:rPr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F4ED2"/>
    <w:pPr>
      <w:jc w:val="both"/>
    </w:pPr>
    <w:rPr>
      <w:rFonts w:ascii="Arial" w:eastAsiaTheme="minorHAnsi" w:hAnsi="Arial" w:cs="Arial"/>
      <w:noProof/>
      <w:sz w:val="20"/>
      <w:szCs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F4ED2"/>
    <w:rPr>
      <w:rFonts w:ascii="Arial" w:eastAsiaTheme="minorHAnsi" w:hAnsi="Arial" w:cs="Arial"/>
      <w:noProof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E3783"/>
    <w:rPr>
      <w:strike w:val="0"/>
      <w:dstrike w:val="0"/>
      <w:color w:val="005A84"/>
      <w:u w:val="none"/>
      <w:effect w:val="none"/>
    </w:rPr>
  </w:style>
  <w:style w:type="character" w:customStyle="1" w:styleId="frlabel1">
    <w:name w:val="fr_label1"/>
    <w:basedOn w:val="DefaultParagraphFont"/>
    <w:rsid w:val="005E3783"/>
    <w:rPr>
      <w:b/>
      <w:bCs/>
    </w:rPr>
  </w:style>
  <w:style w:type="character" w:customStyle="1" w:styleId="current-selection">
    <w:name w:val="current-selection"/>
    <w:basedOn w:val="DefaultParagraphFont"/>
    <w:rsid w:val="00FB1109"/>
  </w:style>
  <w:style w:type="character" w:customStyle="1" w:styleId="ff5">
    <w:name w:val="ff5"/>
    <w:basedOn w:val="DefaultParagraphFont"/>
    <w:rsid w:val="00FB1109"/>
  </w:style>
  <w:style w:type="character" w:customStyle="1" w:styleId="label2">
    <w:name w:val="label2"/>
    <w:basedOn w:val="DefaultParagraphFont"/>
    <w:rsid w:val="001256B0"/>
  </w:style>
  <w:style w:type="character" w:customStyle="1" w:styleId="databold">
    <w:name w:val="data_bold"/>
    <w:basedOn w:val="DefaultParagraphFont"/>
    <w:rsid w:val="0012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5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3D3D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6386">
                                      <w:marLeft w:val="236"/>
                                      <w:marRight w:val="236"/>
                                      <w:marTop w:val="0"/>
                                      <w:marBottom w:val="2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5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hilton@ucl.ac.uk" TargetMode="External"/><Relationship Id="rId13" Type="http://schemas.openxmlformats.org/officeDocument/2006/relationships/image" Target="media/image4.emf"/><Relationship Id="rId18" Type="http://schemas.openxmlformats.org/officeDocument/2006/relationships/oleObject" Target="embeddings/oleObject3.bin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hyperlink" Target="mailto:s.hilton@ucl.ac.uk" TargetMode="External"/><Relationship Id="rId12" Type="http://schemas.openxmlformats.org/officeDocument/2006/relationships/header" Target="header3.xml"/><Relationship Id="rId17" Type="http://schemas.openxmlformats.org/officeDocument/2006/relationships/image" Target="media/image6.emf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8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10" Type="http://schemas.openxmlformats.org/officeDocument/2006/relationships/header" Target="header2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image" Target="media/image9.emf"/><Relationship Id="rId27" Type="http://schemas.openxmlformats.org/officeDocument/2006/relationships/oleObject" Target="embeddings/oleObject7.bin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\Desktop\commun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communication.dot</Template>
  <TotalTime>0</TotalTime>
  <Pages>33</Pages>
  <Words>2960</Words>
  <Characters>16872</Characters>
  <Application>Microsoft Office Word</Application>
  <DocSecurity>4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((Title))</vt:lpstr>
    </vt:vector>
  </TitlesOfParts>
  <Company>WILEY-VCH Verlag GmbH &amp; Co. KGaA</Company>
  <LinksUpToDate>false</LinksUpToDate>
  <CharactersWithSpaces>19793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((Title))</dc:title>
  <dc:creator>Stephen Hilton</dc:creator>
  <cp:lastModifiedBy>Alan Bracey</cp:lastModifiedBy>
  <cp:revision>2</cp:revision>
  <cp:lastPrinted>2015-10-14T14:15:00Z</cp:lastPrinted>
  <dcterms:created xsi:type="dcterms:W3CDTF">2017-02-06T12:24:00Z</dcterms:created>
  <dcterms:modified xsi:type="dcterms:W3CDTF">2017-02-06T12:24:00Z</dcterms:modified>
</cp:coreProperties>
</file>